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7F51" w14:textId="77777777" w:rsidR="00464D9C" w:rsidRPr="00B6669B" w:rsidRDefault="002A4307" w:rsidP="00464D9C">
      <w:pPr>
        <w:jc w:val="center"/>
        <w:rPr>
          <w:rFonts w:ascii="Century Schoolbook" w:hAnsi="Century Schoolbook"/>
          <w:b/>
          <w:sz w:val="28"/>
          <w:szCs w:val="28"/>
        </w:rPr>
      </w:pPr>
      <w:r w:rsidRPr="00B6669B">
        <w:rPr>
          <w:rFonts w:ascii="Century Schoolbook" w:hAnsi="Century Schoolbook"/>
          <w:b/>
          <w:sz w:val="28"/>
          <w:szCs w:val="28"/>
        </w:rPr>
        <w:t xml:space="preserve">Review </w:t>
      </w:r>
      <w:r w:rsidR="00DC02F3" w:rsidRPr="00B6669B">
        <w:rPr>
          <w:rFonts w:ascii="Century Schoolbook" w:hAnsi="Century Schoolbook"/>
          <w:b/>
          <w:sz w:val="28"/>
          <w:szCs w:val="28"/>
        </w:rPr>
        <w:t>after</w:t>
      </w:r>
      <w:r w:rsidRPr="00B6669B">
        <w:rPr>
          <w:rFonts w:ascii="Century Schoolbook" w:hAnsi="Century Schoolbook"/>
          <w:b/>
          <w:sz w:val="28"/>
          <w:szCs w:val="28"/>
        </w:rPr>
        <w:t xml:space="preserve"> the Court of Appeals</w:t>
      </w:r>
    </w:p>
    <w:p w14:paraId="68447F52" w14:textId="49AD2253" w:rsidR="00464D9C" w:rsidRPr="00B6669B" w:rsidRDefault="00464D9C" w:rsidP="00464D9C">
      <w:pPr>
        <w:jc w:val="center"/>
        <w:rPr>
          <w:rFonts w:ascii="Century Schoolbook" w:hAnsi="Century Schoolbook"/>
        </w:rPr>
      </w:pPr>
      <w:r w:rsidRPr="00B6669B">
        <w:rPr>
          <w:rFonts w:ascii="Century Schoolbook" w:hAnsi="Century Schoolbook"/>
        </w:rPr>
        <w:t>Appellate Foundations Training 20</w:t>
      </w:r>
      <w:r w:rsidR="00325376">
        <w:rPr>
          <w:rFonts w:ascii="Century Schoolbook" w:hAnsi="Century Schoolbook"/>
        </w:rPr>
        <w:t>2</w:t>
      </w:r>
      <w:r w:rsidR="003A20EF">
        <w:rPr>
          <w:rFonts w:ascii="Century Schoolbook" w:hAnsi="Century Schoolbook"/>
        </w:rPr>
        <w:t>4</w:t>
      </w:r>
    </w:p>
    <w:p w14:paraId="68447F53" w14:textId="77777777" w:rsidR="00497254" w:rsidRDefault="00497254" w:rsidP="00464D9C">
      <w:pPr>
        <w:rPr>
          <w:rFonts w:ascii="Century Schoolbook" w:hAnsi="Century Schoolbook"/>
        </w:rPr>
      </w:pPr>
    </w:p>
    <w:p w14:paraId="68447F54" w14:textId="77777777" w:rsidR="00BF29B8" w:rsidRPr="00B6669B" w:rsidRDefault="00BF29B8" w:rsidP="00464D9C">
      <w:pPr>
        <w:rPr>
          <w:rFonts w:ascii="Century Schoolbook" w:hAnsi="Century Schoolbook"/>
        </w:rPr>
      </w:pPr>
    </w:p>
    <w:p w14:paraId="68447F55" w14:textId="77777777" w:rsidR="00236864" w:rsidRPr="00B6669B" w:rsidRDefault="00236864" w:rsidP="00464D9C">
      <w:pPr>
        <w:rPr>
          <w:rFonts w:ascii="Century Schoolbook" w:hAnsi="Century Schoolbook"/>
        </w:rPr>
      </w:pPr>
    </w:p>
    <w:p w14:paraId="68447F56" w14:textId="77777777" w:rsidR="00C530A1" w:rsidRDefault="00C530A1" w:rsidP="00C530A1">
      <w:pPr>
        <w:pStyle w:val="NormalWeb"/>
        <w:spacing w:before="0" w:beforeAutospacing="0" w:after="0" w:afterAutospacing="0"/>
        <w:jc w:val="center"/>
        <w:rPr>
          <w:rFonts w:ascii="Century Schoolbook" w:hAnsi="Century Schoolbook"/>
          <w:b/>
          <w:bCs/>
          <w:color w:val="000000"/>
          <w:u w:val="single"/>
        </w:rPr>
      </w:pPr>
      <w:r w:rsidRPr="00B6669B">
        <w:rPr>
          <w:rFonts w:ascii="Century Schoolbook" w:hAnsi="Century Schoolbook"/>
          <w:b/>
          <w:bCs/>
          <w:color w:val="000000"/>
          <w:u w:val="single"/>
        </w:rPr>
        <w:t>C O N T E N T S</w:t>
      </w:r>
    </w:p>
    <w:p w14:paraId="68447F57" w14:textId="77777777" w:rsidR="00526AB6" w:rsidRPr="00B6669B" w:rsidRDefault="00526AB6" w:rsidP="00C530A1">
      <w:pPr>
        <w:pStyle w:val="NormalWeb"/>
        <w:spacing w:before="0" w:beforeAutospacing="0" w:after="0" w:afterAutospacing="0"/>
        <w:jc w:val="center"/>
        <w:rPr>
          <w:rFonts w:ascii="Century Schoolbook" w:hAnsi="Century Schoolbook"/>
          <w:u w:val="single"/>
        </w:rPr>
      </w:pPr>
    </w:p>
    <w:p w14:paraId="68447F58" w14:textId="77777777" w:rsidR="00C530A1" w:rsidRPr="00B6669B" w:rsidRDefault="00C530A1" w:rsidP="00C530A1">
      <w:pPr>
        <w:rPr>
          <w:rFonts w:ascii="Century Schoolbook" w:hAnsi="Century Schoolbook"/>
        </w:rPr>
      </w:pPr>
    </w:p>
    <w:p w14:paraId="68447F59" w14:textId="77777777" w:rsidR="00C530A1" w:rsidRPr="00B6669B" w:rsidRDefault="00C530A1" w:rsidP="002A4307">
      <w:pPr>
        <w:pStyle w:val="NormalWeb"/>
        <w:spacing w:before="0" w:beforeAutospacing="0" w:after="0" w:afterAutospacing="0" w:line="276" w:lineRule="auto"/>
        <w:jc w:val="both"/>
        <w:rPr>
          <w:rFonts w:ascii="Century Schoolbook" w:hAnsi="Century Schoolbook"/>
        </w:rPr>
      </w:pPr>
      <w:r w:rsidRPr="00B6669B">
        <w:rPr>
          <w:rFonts w:ascii="Century Schoolbook" w:hAnsi="Century Schoolbook"/>
          <w:b/>
          <w:bCs/>
          <w:color w:val="000000"/>
        </w:rPr>
        <w:t xml:space="preserve">Overview of Options </w:t>
      </w:r>
      <w:r w:rsidR="002A4307" w:rsidRPr="00B6669B">
        <w:rPr>
          <w:rFonts w:ascii="Century Schoolbook" w:hAnsi="Century Schoolbook"/>
          <w:b/>
          <w:bCs/>
          <w:color w:val="000000"/>
        </w:rPr>
        <w:t>a</w:t>
      </w:r>
      <w:r w:rsidR="00043AD9" w:rsidRPr="00B6669B">
        <w:rPr>
          <w:rFonts w:ascii="Century Schoolbook" w:hAnsi="Century Schoolbook"/>
          <w:b/>
          <w:bCs/>
          <w:color w:val="000000"/>
        </w:rPr>
        <w:t xml:space="preserve">fter the Court of Appeals’ </w:t>
      </w:r>
      <w:r w:rsidRPr="00B6669B">
        <w:rPr>
          <w:rFonts w:ascii="Century Schoolbook" w:hAnsi="Century Schoolbook"/>
          <w:b/>
          <w:bCs/>
          <w:color w:val="000000"/>
        </w:rPr>
        <w:t>Decision</w:t>
      </w:r>
    </w:p>
    <w:p w14:paraId="68447F5A" w14:textId="77777777" w:rsidR="002A4307" w:rsidRPr="00B6669B" w:rsidRDefault="002A4307" w:rsidP="002A4307">
      <w:pPr>
        <w:pStyle w:val="NormalWeb"/>
        <w:spacing w:before="0" w:beforeAutospacing="0" w:after="0" w:afterAutospacing="0" w:line="276" w:lineRule="auto"/>
        <w:jc w:val="both"/>
        <w:rPr>
          <w:rFonts w:ascii="Century Schoolbook" w:hAnsi="Century Schoolbook"/>
        </w:rPr>
      </w:pPr>
    </w:p>
    <w:p w14:paraId="68447F5B" w14:textId="77777777" w:rsidR="002A4307" w:rsidRPr="00B6669B" w:rsidRDefault="00C530A1" w:rsidP="002A4307">
      <w:pPr>
        <w:pStyle w:val="NormalWeb"/>
        <w:numPr>
          <w:ilvl w:val="0"/>
          <w:numId w:val="13"/>
        </w:numPr>
        <w:spacing w:before="0" w:beforeAutospacing="0" w:after="0" w:afterAutospacing="0" w:line="276" w:lineRule="auto"/>
        <w:jc w:val="both"/>
        <w:rPr>
          <w:rFonts w:ascii="Century Schoolbook" w:hAnsi="Century Schoolbook"/>
        </w:rPr>
      </w:pPr>
      <w:r w:rsidRPr="00B6669B">
        <w:rPr>
          <w:rFonts w:ascii="Century Schoolbook" w:hAnsi="Century Schoolbook"/>
          <w:color w:val="000000"/>
        </w:rPr>
        <w:t xml:space="preserve">If the COA </w:t>
      </w:r>
      <w:r w:rsidR="00043AD9" w:rsidRPr="00B6669B">
        <w:rPr>
          <w:rFonts w:ascii="Century Schoolbook" w:hAnsi="Century Schoolbook"/>
          <w:color w:val="000000"/>
        </w:rPr>
        <w:t>granted relief</w:t>
      </w:r>
    </w:p>
    <w:p w14:paraId="68447F5C" w14:textId="77777777" w:rsidR="002A4307" w:rsidRPr="00B6669B" w:rsidRDefault="002A4307" w:rsidP="002A4307">
      <w:pPr>
        <w:pStyle w:val="NormalWeb"/>
        <w:spacing w:before="0" w:beforeAutospacing="0" w:after="0" w:afterAutospacing="0" w:line="276" w:lineRule="auto"/>
        <w:ind w:left="720"/>
        <w:jc w:val="both"/>
        <w:rPr>
          <w:rFonts w:ascii="Century Schoolbook" w:hAnsi="Century Schoolbook"/>
        </w:rPr>
      </w:pPr>
    </w:p>
    <w:p w14:paraId="68447F5D" w14:textId="77777777" w:rsidR="00C530A1" w:rsidRPr="00B6669B" w:rsidRDefault="00043AD9" w:rsidP="002A4307">
      <w:pPr>
        <w:pStyle w:val="NormalWeb"/>
        <w:numPr>
          <w:ilvl w:val="0"/>
          <w:numId w:val="13"/>
        </w:numPr>
        <w:spacing w:before="0" w:beforeAutospacing="0" w:after="0" w:afterAutospacing="0" w:line="276" w:lineRule="auto"/>
        <w:jc w:val="both"/>
        <w:rPr>
          <w:rFonts w:ascii="Century Schoolbook" w:hAnsi="Century Schoolbook"/>
        </w:rPr>
      </w:pPr>
      <w:r w:rsidRPr="00B6669B">
        <w:rPr>
          <w:rFonts w:ascii="Century Schoolbook" w:hAnsi="Century Schoolbook"/>
          <w:color w:val="000000"/>
        </w:rPr>
        <w:t>If the COA denied relief</w:t>
      </w:r>
    </w:p>
    <w:p w14:paraId="68447F5E" w14:textId="77777777" w:rsidR="002A4307" w:rsidRPr="00B6669B" w:rsidRDefault="002A4307" w:rsidP="002A4307">
      <w:pPr>
        <w:pStyle w:val="NormalWeb"/>
        <w:spacing w:before="0" w:beforeAutospacing="0" w:after="0" w:afterAutospacing="0" w:line="276" w:lineRule="auto"/>
        <w:jc w:val="both"/>
        <w:rPr>
          <w:rFonts w:ascii="Century Schoolbook" w:hAnsi="Century Schoolbook"/>
          <w:b/>
          <w:bCs/>
          <w:color w:val="000000"/>
        </w:rPr>
      </w:pPr>
    </w:p>
    <w:p w14:paraId="68447F5F" w14:textId="77777777" w:rsidR="00C530A1" w:rsidRPr="00B6669B" w:rsidRDefault="00C530A1" w:rsidP="002A4307">
      <w:pPr>
        <w:pStyle w:val="NormalWeb"/>
        <w:spacing w:before="0" w:beforeAutospacing="0" w:after="0" w:afterAutospacing="0" w:line="276" w:lineRule="auto"/>
        <w:jc w:val="both"/>
        <w:rPr>
          <w:rFonts w:ascii="Century Schoolbook" w:hAnsi="Century Schoolbook"/>
        </w:rPr>
      </w:pPr>
      <w:r w:rsidRPr="00B6669B">
        <w:rPr>
          <w:rFonts w:ascii="Century Schoolbook" w:hAnsi="Century Schoolbook"/>
          <w:b/>
          <w:bCs/>
          <w:color w:val="000000"/>
        </w:rPr>
        <w:t>Post-Decision Pleadings </w:t>
      </w:r>
      <w:r w:rsidR="002A4307" w:rsidRPr="00B6669B">
        <w:rPr>
          <w:rFonts w:ascii="Century Schoolbook" w:hAnsi="Century Schoolbook"/>
          <w:b/>
          <w:bCs/>
          <w:color w:val="000000"/>
        </w:rPr>
        <w:t>and Considerations</w:t>
      </w:r>
    </w:p>
    <w:p w14:paraId="68447F60" w14:textId="77777777" w:rsidR="00C530A1" w:rsidRPr="00B6669B" w:rsidRDefault="00C530A1" w:rsidP="002A4307">
      <w:pPr>
        <w:spacing w:line="276" w:lineRule="auto"/>
        <w:rPr>
          <w:rFonts w:ascii="Century Schoolbook" w:hAnsi="Century Schoolbook"/>
        </w:rPr>
      </w:pPr>
    </w:p>
    <w:p w14:paraId="68447F61" w14:textId="77777777" w:rsidR="002A4307" w:rsidRPr="00B6669B" w:rsidRDefault="00C530A1" w:rsidP="002A4307">
      <w:pPr>
        <w:pStyle w:val="NormalWeb"/>
        <w:numPr>
          <w:ilvl w:val="1"/>
          <w:numId w:val="1"/>
        </w:numPr>
        <w:spacing w:before="0" w:beforeAutospacing="0" w:after="0" w:afterAutospacing="0" w:line="276" w:lineRule="auto"/>
        <w:ind w:left="720"/>
        <w:jc w:val="both"/>
        <w:textAlignment w:val="baseline"/>
        <w:rPr>
          <w:rFonts w:ascii="Century Schoolbook" w:hAnsi="Century Schoolbook"/>
          <w:color w:val="000000"/>
        </w:rPr>
      </w:pPr>
      <w:r w:rsidRPr="00B6669B">
        <w:rPr>
          <w:rFonts w:ascii="Century Schoolbook" w:hAnsi="Century Schoolbook"/>
          <w:color w:val="000000"/>
        </w:rPr>
        <w:t>Moti</w:t>
      </w:r>
      <w:r w:rsidR="00B154AB" w:rsidRPr="00B6669B">
        <w:rPr>
          <w:rFonts w:ascii="Century Schoolbook" w:hAnsi="Century Schoolbook"/>
          <w:color w:val="000000"/>
        </w:rPr>
        <w:t>o</w:t>
      </w:r>
      <w:r w:rsidR="00043AD9" w:rsidRPr="00B6669B">
        <w:rPr>
          <w:rFonts w:ascii="Century Schoolbook" w:hAnsi="Century Schoolbook"/>
          <w:color w:val="000000"/>
        </w:rPr>
        <w:t>n to Stay Mandate and Withdraw/</w:t>
      </w:r>
      <w:r w:rsidRPr="00B6669B">
        <w:rPr>
          <w:rFonts w:ascii="Century Schoolbook" w:hAnsi="Century Schoolbook"/>
          <w:color w:val="000000"/>
        </w:rPr>
        <w:t>Amend Opinion</w:t>
      </w:r>
    </w:p>
    <w:p w14:paraId="68447F62" w14:textId="77777777" w:rsidR="002A4307" w:rsidRPr="00B6669B" w:rsidRDefault="002A4307" w:rsidP="002A4307">
      <w:pPr>
        <w:pStyle w:val="NormalWeb"/>
        <w:spacing w:before="0" w:beforeAutospacing="0" w:after="0" w:afterAutospacing="0" w:line="276" w:lineRule="auto"/>
        <w:ind w:left="720"/>
        <w:jc w:val="both"/>
        <w:textAlignment w:val="baseline"/>
        <w:rPr>
          <w:rFonts w:ascii="Century Schoolbook" w:hAnsi="Century Schoolbook"/>
          <w:color w:val="000000"/>
        </w:rPr>
      </w:pPr>
    </w:p>
    <w:p w14:paraId="68447F63" w14:textId="77777777" w:rsidR="002A4307" w:rsidRPr="00B6669B" w:rsidRDefault="00C530A1" w:rsidP="002A4307">
      <w:pPr>
        <w:pStyle w:val="NormalWeb"/>
        <w:numPr>
          <w:ilvl w:val="1"/>
          <w:numId w:val="1"/>
        </w:numPr>
        <w:spacing w:before="0" w:beforeAutospacing="0" w:after="0" w:afterAutospacing="0" w:line="276" w:lineRule="auto"/>
        <w:ind w:left="720"/>
        <w:jc w:val="both"/>
        <w:textAlignment w:val="baseline"/>
        <w:rPr>
          <w:rFonts w:ascii="Century Schoolbook" w:hAnsi="Century Schoolbook"/>
          <w:color w:val="000000"/>
        </w:rPr>
      </w:pPr>
      <w:r w:rsidRPr="00B6669B">
        <w:rPr>
          <w:rFonts w:ascii="Century Schoolbook" w:hAnsi="Century Schoolbook"/>
          <w:color w:val="000000"/>
        </w:rPr>
        <w:t xml:space="preserve">Motion for </w:t>
      </w:r>
      <w:r w:rsidRPr="00B6669B">
        <w:rPr>
          <w:rFonts w:ascii="Century Schoolbook" w:hAnsi="Century Schoolbook"/>
          <w:i/>
          <w:iCs/>
          <w:color w:val="000000"/>
        </w:rPr>
        <w:t xml:space="preserve">En Banc </w:t>
      </w:r>
      <w:r w:rsidRPr="00B6669B">
        <w:rPr>
          <w:rFonts w:ascii="Century Schoolbook" w:hAnsi="Century Schoolbook"/>
          <w:color w:val="000000"/>
        </w:rPr>
        <w:t>R</w:t>
      </w:r>
      <w:r w:rsidR="00043AD9" w:rsidRPr="00B6669B">
        <w:rPr>
          <w:rFonts w:ascii="Century Schoolbook" w:hAnsi="Century Schoolbook"/>
          <w:color w:val="000000"/>
        </w:rPr>
        <w:t>ehearing</w:t>
      </w:r>
    </w:p>
    <w:p w14:paraId="68447F64" w14:textId="77777777" w:rsidR="002A4307" w:rsidRPr="00B6669B" w:rsidRDefault="002A4307" w:rsidP="00D375E7">
      <w:pPr>
        <w:pStyle w:val="NormalWeb"/>
        <w:spacing w:before="0" w:beforeAutospacing="0" w:after="0" w:afterAutospacing="0" w:line="276" w:lineRule="auto"/>
        <w:jc w:val="both"/>
        <w:textAlignment w:val="baseline"/>
        <w:rPr>
          <w:rFonts w:ascii="Century Schoolbook" w:hAnsi="Century Schoolbook"/>
          <w:color w:val="000000"/>
        </w:rPr>
      </w:pPr>
    </w:p>
    <w:p w14:paraId="68447F65" w14:textId="77777777" w:rsidR="00C530A1" w:rsidRPr="00B6669B" w:rsidRDefault="00C530A1" w:rsidP="002A4307">
      <w:pPr>
        <w:pStyle w:val="NormalWeb"/>
        <w:numPr>
          <w:ilvl w:val="1"/>
          <w:numId w:val="1"/>
        </w:numPr>
        <w:spacing w:before="0" w:beforeAutospacing="0" w:after="0" w:afterAutospacing="0" w:line="276" w:lineRule="auto"/>
        <w:ind w:left="360" w:firstLine="0"/>
        <w:jc w:val="both"/>
        <w:textAlignment w:val="baseline"/>
        <w:rPr>
          <w:rFonts w:ascii="Century Schoolbook" w:hAnsi="Century Schoolbook"/>
          <w:color w:val="000000"/>
        </w:rPr>
      </w:pPr>
      <w:r w:rsidRPr="00B6669B">
        <w:rPr>
          <w:rFonts w:ascii="Century Schoolbook" w:hAnsi="Century Schoolbook"/>
          <w:color w:val="000000"/>
        </w:rPr>
        <w:t>Petition for Discretionary Review </w:t>
      </w:r>
    </w:p>
    <w:p w14:paraId="68447F66" w14:textId="77777777" w:rsidR="002A4307" w:rsidRPr="00B6669B" w:rsidRDefault="00C530A1" w:rsidP="002A4307">
      <w:pPr>
        <w:pStyle w:val="NormalWeb"/>
        <w:numPr>
          <w:ilvl w:val="0"/>
          <w:numId w:val="15"/>
        </w:numPr>
        <w:spacing w:before="0" w:beforeAutospacing="0" w:after="0" w:afterAutospacing="0" w:line="276" w:lineRule="auto"/>
        <w:jc w:val="both"/>
        <w:textAlignment w:val="baseline"/>
        <w:rPr>
          <w:rFonts w:ascii="Century Schoolbook" w:hAnsi="Century Schoolbook"/>
          <w:color w:val="000000"/>
        </w:rPr>
      </w:pPr>
      <w:r w:rsidRPr="00B6669B">
        <w:rPr>
          <w:rFonts w:ascii="Century Schoolbook" w:hAnsi="Century Schoolbook"/>
          <w:color w:val="000000"/>
        </w:rPr>
        <w:t>Temporary Stays and Supersedeas</w:t>
      </w:r>
    </w:p>
    <w:p w14:paraId="68447F67" w14:textId="77777777" w:rsidR="002A4307" w:rsidRPr="00B6669B" w:rsidRDefault="00C530A1" w:rsidP="002A4307">
      <w:pPr>
        <w:pStyle w:val="NormalWeb"/>
        <w:numPr>
          <w:ilvl w:val="0"/>
          <w:numId w:val="15"/>
        </w:numPr>
        <w:spacing w:before="0" w:beforeAutospacing="0" w:after="0" w:afterAutospacing="0" w:line="276" w:lineRule="auto"/>
        <w:jc w:val="both"/>
        <w:textAlignment w:val="baseline"/>
        <w:rPr>
          <w:rFonts w:ascii="Century Schoolbook" w:hAnsi="Century Schoolbook"/>
          <w:color w:val="000000"/>
        </w:rPr>
      </w:pPr>
      <w:r w:rsidRPr="00B6669B">
        <w:rPr>
          <w:rFonts w:ascii="Century Schoolbook" w:hAnsi="Century Schoolbook"/>
          <w:color w:val="000000"/>
        </w:rPr>
        <w:t xml:space="preserve">Certiorari </w:t>
      </w:r>
      <w:r w:rsidR="00BB4F93" w:rsidRPr="00B6669B">
        <w:rPr>
          <w:rFonts w:ascii="Century Schoolbook" w:hAnsi="Century Schoolbook"/>
          <w:color w:val="000000"/>
        </w:rPr>
        <w:t>i</w:t>
      </w:r>
      <w:r w:rsidRPr="00B6669B">
        <w:rPr>
          <w:rFonts w:ascii="Century Schoolbook" w:hAnsi="Century Schoolbook"/>
          <w:color w:val="000000"/>
        </w:rPr>
        <w:t xml:space="preserve">n </w:t>
      </w:r>
      <w:r w:rsidR="00BB4F93" w:rsidRPr="00B6669B">
        <w:rPr>
          <w:rFonts w:ascii="Century Schoolbook" w:hAnsi="Century Schoolbook"/>
          <w:color w:val="000000"/>
        </w:rPr>
        <w:t>l</w:t>
      </w:r>
      <w:r w:rsidRPr="00B6669B">
        <w:rPr>
          <w:rFonts w:ascii="Century Schoolbook" w:hAnsi="Century Schoolbook"/>
          <w:color w:val="000000"/>
        </w:rPr>
        <w:t>ieu of PDR</w:t>
      </w:r>
    </w:p>
    <w:p w14:paraId="68447F68" w14:textId="77777777" w:rsidR="002A4307" w:rsidRPr="00B6669B" w:rsidRDefault="00C530A1" w:rsidP="002A4307">
      <w:pPr>
        <w:pStyle w:val="NormalWeb"/>
        <w:numPr>
          <w:ilvl w:val="0"/>
          <w:numId w:val="15"/>
        </w:numPr>
        <w:spacing w:before="0" w:beforeAutospacing="0" w:after="0" w:afterAutospacing="0" w:line="276" w:lineRule="auto"/>
        <w:jc w:val="both"/>
        <w:textAlignment w:val="baseline"/>
        <w:rPr>
          <w:rFonts w:ascii="Century Schoolbook" w:hAnsi="Century Schoolbook"/>
          <w:color w:val="000000"/>
        </w:rPr>
      </w:pPr>
      <w:r w:rsidRPr="00B6669B">
        <w:rPr>
          <w:rFonts w:ascii="Century Schoolbook" w:hAnsi="Century Schoolbook"/>
          <w:color w:val="000000"/>
        </w:rPr>
        <w:t>Decisions on Motions for Appropriate Relief</w:t>
      </w:r>
    </w:p>
    <w:p w14:paraId="68447F69" w14:textId="77777777" w:rsidR="00C530A1" w:rsidRPr="00B6669B" w:rsidRDefault="00C530A1" w:rsidP="002A4307">
      <w:pPr>
        <w:pStyle w:val="NormalWeb"/>
        <w:numPr>
          <w:ilvl w:val="0"/>
          <w:numId w:val="15"/>
        </w:numPr>
        <w:spacing w:before="0" w:beforeAutospacing="0" w:after="0" w:afterAutospacing="0" w:line="276" w:lineRule="auto"/>
        <w:jc w:val="both"/>
        <w:textAlignment w:val="baseline"/>
        <w:rPr>
          <w:rFonts w:ascii="Century Schoolbook" w:hAnsi="Century Schoolbook"/>
          <w:color w:val="000000"/>
        </w:rPr>
      </w:pPr>
      <w:r w:rsidRPr="00B6669B">
        <w:rPr>
          <w:rFonts w:ascii="Century Schoolbook" w:hAnsi="Century Schoolbook"/>
          <w:color w:val="000000"/>
        </w:rPr>
        <w:t>Responding to the State’s PDR</w:t>
      </w:r>
    </w:p>
    <w:p w14:paraId="68447F6A" w14:textId="77777777" w:rsidR="005A67BD" w:rsidRPr="00B6669B" w:rsidRDefault="005A67BD" w:rsidP="002A4307">
      <w:pPr>
        <w:pStyle w:val="NormalWeb"/>
        <w:numPr>
          <w:ilvl w:val="0"/>
          <w:numId w:val="15"/>
        </w:numPr>
        <w:spacing w:before="0" w:beforeAutospacing="0" w:after="0" w:afterAutospacing="0" w:line="276" w:lineRule="auto"/>
        <w:jc w:val="both"/>
        <w:textAlignment w:val="baseline"/>
        <w:rPr>
          <w:rFonts w:ascii="Century Schoolbook" w:hAnsi="Century Schoolbook"/>
          <w:color w:val="000000"/>
        </w:rPr>
      </w:pPr>
      <w:r w:rsidRPr="00B6669B">
        <w:rPr>
          <w:rFonts w:ascii="Century Schoolbook" w:hAnsi="Century Schoolbook"/>
          <w:color w:val="000000"/>
        </w:rPr>
        <w:t>A Note on Federal Habeas</w:t>
      </w:r>
    </w:p>
    <w:p w14:paraId="68447F6B" w14:textId="77777777" w:rsidR="00C530A1" w:rsidRPr="00B6669B" w:rsidRDefault="00C530A1" w:rsidP="002A4307">
      <w:pPr>
        <w:spacing w:line="276" w:lineRule="auto"/>
        <w:rPr>
          <w:rFonts w:ascii="Century Schoolbook" w:hAnsi="Century Schoolbook"/>
        </w:rPr>
      </w:pPr>
    </w:p>
    <w:p w14:paraId="68447F6C" w14:textId="77AF34C2" w:rsidR="00C530A1" w:rsidRPr="00B6669B" w:rsidRDefault="002A4307" w:rsidP="002A4307">
      <w:pPr>
        <w:pStyle w:val="NormalWeb"/>
        <w:numPr>
          <w:ilvl w:val="1"/>
          <w:numId w:val="1"/>
        </w:numPr>
        <w:spacing w:before="0" w:beforeAutospacing="0" w:after="0" w:afterAutospacing="0" w:line="276" w:lineRule="auto"/>
        <w:ind w:left="630" w:hanging="270"/>
        <w:jc w:val="both"/>
        <w:textAlignment w:val="baseline"/>
        <w:rPr>
          <w:rFonts w:ascii="Century Schoolbook" w:hAnsi="Century Schoolbook"/>
          <w:color w:val="000000"/>
        </w:rPr>
      </w:pPr>
      <w:r w:rsidRPr="00B6669B">
        <w:rPr>
          <w:rFonts w:ascii="Century Schoolbook" w:hAnsi="Century Schoolbook"/>
          <w:color w:val="000000"/>
        </w:rPr>
        <w:t xml:space="preserve"> </w:t>
      </w:r>
      <w:r w:rsidR="00C530A1" w:rsidRPr="00B6669B">
        <w:rPr>
          <w:rFonts w:ascii="Century Schoolbook" w:hAnsi="Century Schoolbook"/>
          <w:color w:val="000000"/>
        </w:rPr>
        <w:t>Notice of Appeal (Dissent)</w:t>
      </w:r>
      <w:r w:rsidR="003A20EF">
        <w:rPr>
          <w:rFonts w:ascii="Century Schoolbook" w:hAnsi="Century Schoolbook"/>
          <w:color w:val="000000"/>
        </w:rPr>
        <w:t xml:space="preserve"> </w:t>
      </w:r>
      <w:r w:rsidR="002059A9">
        <w:rPr>
          <w:rFonts w:ascii="Century Schoolbook" w:hAnsi="Century Schoolbook"/>
          <w:color w:val="000000"/>
        </w:rPr>
        <w:t>*</w:t>
      </w:r>
      <w:r w:rsidR="00EB2A7B" w:rsidRPr="002059A9">
        <w:rPr>
          <w:rFonts w:ascii="Century Schoolbook" w:hAnsi="Century Schoolbook"/>
          <w:b/>
          <w:bCs/>
          <w:color w:val="000000"/>
        </w:rPr>
        <w:t>(</w:t>
      </w:r>
      <w:r w:rsidR="002059A9">
        <w:rPr>
          <w:rFonts w:ascii="Century Schoolbook" w:hAnsi="Century Schoolbook"/>
          <w:b/>
          <w:bCs/>
          <w:color w:val="000000"/>
        </w:rPr>
        <w:t xml:space="preserve">only for </w:t>
      </w:r>
      <w:r w:rsidR="00EB2A7B" w:rsidRPr="002059A9">
        <w:rPr>
          <w:rFonts w:ascii="Century Schoolbook" w:hAnsi="Century Schoolbook"/>
          <w:b/>
          <w:bCs/>
          <w:color w:val="000000"/>
        </w:rPr>
        <w:t>cases “filed in the Court of Appeals”</w:t>
      </w:r>
      <w:r w:rsidR="002059A9" w:rsidRPr="002059A9">
        <w:rPr>
          <w:rFonts w:ascii="Century Schoolbook" w:hAnsi="Century Schoolbook"/>
          <w:b/>
          <w:bCs/>
          <w:color w:val="000000"/>
        </w:rPr>
        <w:t xml:space="preserve"> before 10/3/23)</w:t>
      </w:r>
      <w:r w:rsidR="002059A9">
        <w:rPr>
          <w:rFonts w:ascii="Century Schoolbook" w:hAnsi="Century Schoolbook"/>
          <w:b/>
          <w:bCs/>
          <w:color w:val="000000"/>
        </w:rPr>
        <w:t>*</w:t>
      </w:r>
    </w:p>
    <w:p w14:paraId="68447F6D" w14:textId="77777777" w:rsidR="00C530A1" w:rsidRPr="00B6669B" w:rsidRDefault="00C530A1" w:rsidP="002A4307">
      <w:pPr>
        <w:spacing w:line="276" w:lineRule="auto"/>
        <w:rPr>
          <w:rFonts w:ascii="Century Schoolbook" w:hAnsi="Century Schoolbook"/>
        </w:rPr>
      </w:pPr>
    </w:p>
    <w:p w14:paraId="68447F6E" w14:textId="77777777" w:rsidR="00C530A1" w:rsidRPr="00B6669B" w:rsidRDefault="00C530A1" w:rsidP="002A4307">
      <w:pPr>
        <w:pStyle w:val="NormalWeb"/>
        <w:numPr>
          <w:ilvl w:val="1"/>
          <w:numId w:val="1"/>
        </w:numPr>
        <w:spacing w:before="0" w:beforeAutospacing="0" w:after="0" w:afterAutospacing="0" w:line="276" w:lineRule="auto"/>
        <w:ind w:left="720"/>
        <w:jc w:val="both"/>
        <w:textAlignment w:val="baseline"/>
        <w:rPr>
          <w:rFonts w:ascii="Century Schoolbook" w:hAnsi="Century Schoolbook"/>
          <w:color w:val="000000"/>
        </w:rPr>
      </w:pPr>
      <w:r w:rsidRPr="00B6669B">
        <w:rPr>
          <w:rFonts w:ascii="Century Schoolbook" w:hAnsi="Century Schoolbook"/>
          <w:color w:val="000000"/>
        </w:rPr>
        <w:t>Notice of Appeal (Substantial Constitutional Question)</w:t>
      </w:r>
    </w:p>
    <w:p w14:paraId="68447F6F" w14:textId="77777777" w:rsidR="00C530A1" w:rsidRPr="00B6669B" w:rsidRDefault="00C530A1" w:rsidP="002A4307">
      <w:pPr>
        <w:spacing w:line="276" w:lineRule="auto"/>
        <w:rPr>
          <w:rFonts w:ascii="Century Schoolbook" w:hAnsi="Century Schoolbook"/>
        </w:rPr>
      </w:pPr>
    </w:p>
    <w:p w14:paraId="68447F70" w14:textId="10CADE20" w:rsidR="00043AD9" w:rsidRPr="00B6669B" w:rsidRDefault="00043AD9" w:rsidP="00043AD9">
      <w:pPr>
        <w:pStyle w:val="NormalWeb"/>
        <w:numPr>
          <w:ilvl w:val="1"/>
          <w:numId w:val="1"/>
        </w:numPr>
        <w:spacing w:before="0" w:beforeAutospacing="0" w:after="0" w:afterAutospacing="0" w:line="276" w:lineRule="auto"/>
        <w:ind w:left="720"/>
        <w:jc w:val="both"/>
        <w:textAlignment w:val="baseline"/>
        <w:rPr>
          <w:rFonts w:ascii="Century Schoolbook" w:hAnsi="Century Schoolbook"/>
          <w:color w:val="000000"/>
        </w:rPr>
      </w:pPr>
      <w:r w:rsidRPr="00B6669B">
        <w:rPr>
          <w:rFonts w:ascii="Century Schoolbook" w:hAnsi="Century Schoolbook"/>
          <w:color w:val="000000"/>
        </w:rPr>
        <w:t xml:space="preserve">Remand from </w:t>
      </w:r>
      <w:r w:rsidR="00DD6C5F">
        <w:rPr>
          <w:rFonts w:ascii="Century Schoolbook" w:hAnsi="Century Schoolbook"/>
          <w:color w:val="000000"/>
        </w:rPr>
        <w:t>SCONC</w:t>
      </w:r>
      <w:r w:rsidRPr="00B6669B">
        <w:rPr>
          <w:rFonts w:ascii="Century Schoolbook" w:hAnsi="Century Schoolbook"/>
          <w:color w:val="000000"/>
        </w:rPr>
        <w:t xml:space="preserve"> to the COA </w:t>
      </w:r>
    </w:p>
    <w:p w14:paraId="68447F71" w14:textId="77777777" w:rsidR="00043AD9" w:rsidRPr="00B6669B" w:rsidRDefault="00043AD9" w:rsidP="00043AD9">
      <w:pPr>
        <w:pStyle w:val="NormalWeb"/>
        <w:spacing w:before="0" w:beforeAutospacing="0" w:after="0" w:afterAutospacing="0"/>
        <w:jc w:val="both"/>
        <w:textAlignment w:val="baseline"/>
        <w:rPr>
          <w:rFonts w:ascii="Century Schoolbook" w:hAnsi="Century Schoolbook"/>
          <w:color w:val="000000"/>
        </w:rPr>
      </w:pPr>
    </w:p>
    <w:p w14:paraId="68447F72" w14:textId="77777777" w:rsidR="00C530A1" w:rsidRPr="00B6669B" w:rsidRDefault="00C530A1" w:rsidP="002A4307">
      <w:pPr>
        <w:pStyle w:val="NormalWeb"/>
        <w:numPr>
          <w:ilvl w:val="1"/>
          <w:numId w:val="1"/>
        </w:numPr>
        <w:spacing w:before="0" w:beforeAutospacing="0" w:after="0" w:afterAutospacing="0" w:line="276" w:lineRule="auto"/>
        <w:ind w:left="720"/>
        <w:jc w:val="both"/>
        <w:textAlignment w:val="baseline"/>
        <w:rPr>
          <w:rFonts w:ascii="Century Schoolbook" w:hAnsi="Century Schoolbook"/>
          <w:color w:val="000000"/>
        </w:rPr>
      </w:pPr>
      <w:r w:rsidRPr="00B6669B">
        <w:rPr>
          <w:rFonts w:ascii="Century Schoolbook" w:hAnsi="Century Schoolbook"/>
          <w:color w:val="000000"/>
        </w:rPr>
        <w:t>Petition </w:t>
      </w:r>
      <w:r w:rsidR="002A4307" w:rsidRPr="00B6669B">
        <w:rPr>
          <w:rFonts w:ascii="Century Schoolbook" w:hAnsi="Century Schoolbook"/>
          <w:color w:val="000000"/>
        </w:rPr>
        <w:t>for a Writ of Certiorari</w:t>
      </w:r>
      <w:r w:rsidR="00B643FE" w:rsidRPr="00B6669B">
        <w:rPr>
          <w:rFonts w:ascii="Century Schoolbook" w:hAnsi="Century Schoolbook"/>
          <w:color w:val="000000"/>
        </w:rPr>
        <w:t xml:space="preserve"> (SCOTUS)</w:t>
      </w:r>
    </w:p>
    <w:p w14:paraId="68447F73" w14:textId="77777777" w:rsidR="00C530A1" w:rsidRPr="00B6669B" w:rsidRDefault="00C530A1" w:rsidP="002A4307">
      <w:pPr>
        <w:spacing w:line="276" w:lineRule="auto"/>
        <w:rPr>
          <w:rFonts w:ascii="Century Schoolbook" w:hAnsi="Century Schoolbook"/>
        </w:rPr>
      </w:pPr>
    </w:p>
    <w:p w14:paraId="68447F74" w14:textId="77777777" w:rsidR="002A4307" w:rsidRPr="00B6669B" w:rsidRDefault="002A4307" w:rsidP="00C530A1">
      <w:pPr>
        <w:pStyle w:val="NormalWeb"/>
        <w:spacing w:before="0" w:beforeAutospacing="0" w:after="0" w:afterAutospacing="0"/>
        <w:jc w:val="both"/>
        <w:rPr>
          <w:rFonts w:ascii="Century Schoolbook" w:hAnsi="Century Schoolbook"/>
          <w:b/>
          <w:bCs/>
          <w:color w:val="000000"/>
        </w:rPr>
      </w:pPr>
    </w:p>
    <w:p w14:paraId="68447F75" w14:textId="77777777" w:rsidR="002A4307" w:rsidRPr="00B6669B" w:rsidRDefault="002A4307" w:rsidP="00C530A1">
      <w:pPr>
        <w:pStyle w:val="NormalWeb"/>
        <w:spacing w:before="0" w:beforeAutospacing="0" w:after="0" w:afterAutospacing="0"/>
        <w:jc w:val="both"/>
        <w:rPr>
          <w:rFonts w:ascii="Century Schoolbook" w:hAnsi="Century Schoolbook"/>
          <w:b/>
          <w:bCs/>
          <w:color w:val="000000"/>
        </w:rPr>
      </w:pPr>
    </w:p>
    <w:p w14:paraId="68447F76" w14:textId="77777777" w:rsidR="002A4307" w:rsidRPr="00B6669B" w:rsidRDefault="002A4307" w:rsidP="00C530A1">
      <w:pPr>
        <w:pStyle w:val="NormalWeb"/>
        <w:spacing w:before="0" w:beforeAutospacing="0" w:after="0" w:afterAutospacing="0"/>
        <w:jc w:val="both"/>
        <w:rPr>
          <w:rFonts w:ascii="Century Schoolbook" w:hAnsi="Century Schoolbook"/>
          <w:b/>
          <w:bCs/>
          <w:color w:val="000000"/>
        </w:rPr>
      </w:pPr>
    </w:p>
    <w:p w14:paraId="68447F78" w14:textId="77777777" w:rsidR="00B643FE" w:rsidRPr="00B6669B" w:rsidRDefault="00B643FE" w:rsidP="00C530A1">
      <w:pPr>
        <w:pStyle w:val="NormalWeb"/>
        <w:spacing w:before="0" w:beforeAutospacing="0" w:after="0" w:afterAutospacing="0"/>
        <w:jc w:val="both"/>
        <w:rPr>
          <w:rFonts w:ascii="Century Schoolbook" w:hAnsi="Century Schoolbook"/>
          <w:b/>
          <w:bCs/>
          <w:color w:val="000000"/>
        </w:rPr>
      </w:pPr>
    </w:p>
    <w:p w14:paraId="68447F79" w14:textId="77777777" w:rsidR="00C530A1" w:rsidRPr="00B6669B" w:rsidRDefault="00C530A1" w:rsidP="00B643FE">
      <w:pPr>
        <w:pStyle w:val="NormalWeb"/>
        <w:spacing w:before="0" w:beforeAutospacing="0" w:after="0" w:afterAutospacing="0"/>
        <w:jc w:val="center"/>
        <w:rPr>
          <w:rFonts w:ascii="Century Schoolbook" w:hAnsi="Century Schoolbook"/>
          <w:b/>
          <w:bCs/>
          <w:color w:val="000000"/>
          <w:u w:val="single"/>
        </w:rPr>
      </w:pPr>
      <w:r w:rsidRPr="00B6669B">
        <w:rPr>
          <w:rFonts w:ascii="Century Schoolbook" w:hAnsi="Century Schoolbook"/>
          <w:b/>
          <w:bCs/>
          <w:color w:val="000000"/>
          <w:u w:val="single"/>
        </w:rPr>
        <w:lastRenderedPageBreak/>
        <w:t xml:space="preserve">Overview of Options </w:t>
      </w:r>
      <w:r w:rsidR="00DC02F3" w:rsidRPr="00B6669B">
        <w:rPr>
          <w:rFonts w:ascii="Century Schoolbook" w:hAnsi="Century Schoolbook"/>
          <w:b/>
          <w:bCs/>
          <w:color w:val="000000"/>
          <w:u w:val="single"/>
        </w:rPr>
        <w:t>after</w:t>
      </w:r>
      <w:r w:rsidRPr="00B6669B">
        <w:rPr>
          <w:rFonts w:ascii="Century Schoolbook" w:hAnsi="Century Schoolbook"/>
          <w:b/>
          <w:bCs/>
          <w:color w:val="000000"/>
          <w:u w:val="single"/>
        </w:rPr>
        <w:t xml:space="preserve"> </w:t>
      </w:r>
      <w:r w:rsidR="00B643FE" w:rsidRPr="00B6669B">
        <w:rPr>
          <w:rFonts w:ascii="Century Schoolbook" w:hAnsi="Century Schoolbook"/>
          <w:b/>
          <w:bCs/>
          <w:color w:val="000000"/>
          <w:u w:val="single"/>
        </w:rPr>
        <w:t xml:space="preserve">the </w:t>
      </w:r>
      <w:r w:rsidRPr="00B6669B">
        <w:rPr>
          <w:rFonts w:ascii="Century Schoolbook" w:hAnsi="Century Schoolbook"/>
          <w:b/>
          <w:bCs/>
          <w:color w:val="000000"/>
          <w:u w:val="single"/>
        </w:rPr>
        <w:t>Court of Appeals Opinion</w:t>
      </w:r>
    </w:p>
    <w:p w14:paraId="68447F7A" w14:textId="77777777" w:rsidR="0000087E" w:rsidRPr="00B6669B" w:rsidRDefault="0000087E" w:rsidP="00B643FE">
      <w:pPr>
        <w:pStyle w:val="NormalWeb"/>
        <w:spacing w:before="0" w:beforeAutospacing="0" w:after="0" w:afterAutospacing="0"/>
        <w:jc w:val="center"/>
        <w:rPr>
          <w:rFonts w:ascii="Century Schoolbook" w:hAnsi="Century Schoolbook"/>
          <w:u w:val="single"/>
        </w:rPr>
      </w:pPr>
    </w:p>
    <w:p w14:paraId="68447F7B" w14:textId="77777777" w:rsidR="00C530A1" w:rsidRPr="00B6669B" w:rsidRDefault="005A67BD" w:rsidP="00B643FE">
      <w:pPr>
        <w:pStyle w:val="NormalWeb"/>
        <w:numPr>
          <w:ilvl w:val="0"/>
          <w:numId w:val="18"/>
        </w:numPr>
        <w:spacing w:before="312" w:beforeAutospacing="0" w:after="0" w:afterAutospacing="0"/>
        <w:jc w:val="both"/>
        <w:rPr>
          <w:rFonts w:ascii="Century Schoolbook" w:hAnsi="Century Schoolbook"/>
          <w:b/>
        </w:rPr>
      </w:pPr>
      <w:r w:rsidRPr="00B6669B">
        <w:rPr>
          <w:rFonts w:ascii="Century Schoolbook" w:hAnsi="Century Schoolbook"/>
          <w:b/>
          <w:bCs/>
          <w:iCs/>
          <w:color w:val="000000"/>
        </w:rPr>
        <w:t xml:space="preserve">If the COA </w:t>
      </w:r>
      <w:r w:rsidR="0000087E" w:rsidRPr="00B6669B">
        <w:rPr>
          <w:rFonts w:ascii="Century Schoolbook" w:hAnsi="Century Schoolbook"/>
          <w:b/>
          <w:bCs/>
          <w:iCs/>
          <w:color w:val="000000"/>
        </w:rPr>
        <w:t>g</w:t>
      </w:r>
      <w:r w:rsidRPr="00B6669B">
        <w:rPr>
          <w:rFonts w:ascii="Century Schoolbook" w:hAnsi="Century Schoolbook"/>
          <w:b/>
          <w:bCs/>
          <w:iCs/>
          <w:color w:val="000000"/>
        </w:rPr>
        <w:t xml:space="preserve">ranted </w:t>
      </w:r>
      <w:r w:rsidR="0000087E" w:rsidRPr="00B6669B">
        <w:rPr>
          <w:rFonts w:ascii="Century Schoolbook" w:hAnsi="Century Schoolbook"/>
          <w:b/>
          <w:bCs/>
          <w:iCs/>
          <w:color w:val="000000"/>
        </w:rPr>
        <w:t>r</w:t>
      </w:r>
      <w:r w:rsidR="00043AD9" w:rsidRPr="00B6669B">
        <w:rPr>
          <w:rFonts w:ascii="Century Schoolbook" w:hAnsi="Century Schoolbook"/>
          <w:b/>
          <w:bCs/>
          <w:iCs/>
          <w:color w:val="000000"/>
        </w:rPr>
        <w:t>elief</w:t>
      </w:r>
    </w:p>
    <w:p w14:paraId="68447F7C" w14:textId="5B363B65" w:rsidR="00C530A1" w:rsidRPr="00B6669B" w:rsidRDefault="00C530A1" w:rsidP="00C530A1">
      <w:pPr>
        <w:pStyle w:val="NormalWeb"/>
        <w:spacing w:before="341" w:beforeAutospacing="0" w:after="0" w:afterAutospacing="0"/>
        <w:ind w:right="144" w:firstLine="720"/>
        <w:jc w:val="both"/>
        <w:rPr>
          <w:rFonts w:ascii="Century Schoolbook" w:hAnsi="Century Schoolbook"/>
        </w:rPr>
      </w:pPr>
      <w:r w:rsidRPr="00B6669B">
        <w:rPr>
          <w:rFonts w:ascii="Century Schoolbook" w:hAnsi="Century Schoolbook"/>
          <w:color w:val="000000"/>
        </w:rPr>
        <w:t xml:space="preserve">If the COA grants relief, appellate counsel’s responsibility continues until the client is appointed counsel by the trial court on remand. Jurisdiction is ordinarily returned to the trial division 20 days after the opinion is filed. On that day, the </w:t>
      </w:r>
      <w:r w:rsidR="00043AD9" w:rsidRPr="00B6669B">
        <w:rPr>
          <w:rFonts w:ascii="Century Schoolbook" w:hAnsi="Century Schoolbook"/>
          <w:color w:val="000000"/>
        </w:rPr>
        <w:t>C</w:t>
      </w:r>
      <w:r w:rsidRPr="00B6669B">
        <w:rPr>
          <w:rFonts w:ascii="Century Schoolbook" w:hAnsi="Century Schoolbook"/>
          <w:color w:val="000000"/>
        </w:rPr>
        <w:t>l</w:t>
      </w:r>
      <w:r w:rsidR="00043AD9" w:rsidRPr="00B6669B">
        <w:rPr>
          <w:rFonts w:ascii="Century Schoolbook" w:hAnsi="Century Schoolbook"/>
          <w:color w:val="000000"/>
        </w:rPr>
        <w:t>erk issues the</w:t>
      </w:r>
      <w:r w:rsidRPr="00B6669B">
        <w:rPr>
          <w:rFonts w:ascii="Century Schoolbook" w:hAnsi="Century Schoolbook"/>
          <w:color w:val="000000"/>
        </w:rPr>
        <w:t xml:space="preserve"> “mandate” to the trial court. The mandate consists of certified copies of the COA opinion. “Issuance of the mandate” and “certification of the opinion</w:t>
      </w:r>
      <w:r w:rsidR="00096AC1">
        <w:rPr>
          <w:rFonts w:ascii="Century Schoolbook" w:hAnsi="Century Schoolbook"/>
          <w:color w:val="000000"/>
        </w:rPr>
        <w:t xml:space="preserve"> by the Court of Appeals</w:t>
      </w:r>
      <w:r w:rsidRPr="00B6669B">
        <w:rPr>
          <w:rFonts w:ascii="Century Schoolbook" w:hAnsi="Century Schoolbook"/>
          <w:color w:val="000000"/>
        </w:rPr>
        <w:t xml:space="preserve">” </w:t>
      </w:r>
      <w:r w:rsidR="00B643FE" w:rsidRPr="00B6669B">
        <w:rPr>
          <w:rFonts w:ascii="Century Schoolbook" w:hAnsi="Century Schoolbook"/>
          <w:color w:val="000000"/>
        </w:rPr>
        <w:t xml:space="preserve">in this context </w:t>
      </w:r>
      <w:r w:rsidRPr="00B6669B">
        <w:rPr>
          <w:rFonts w:ascii="Century Schoolbook" w:hAnsi="Century Schoolbook"/>
          <w:color w:val="000000"/>
        </w:rPr>
        <w:t>are often used synonymously</w:t>
      </w:r>
      <w:r w:rsidR="00B643FE" w:rsidRPr="00B6669B">
        <w:rPr>
          <w:rFonts w:ascii="Century Schoolbook" w:hAnsi="Century Schoolbook"/>
          <w:color w:val="000000"/>
        </w:rPr>
        <w:t>, and the “closed” date on the COA docket sheet corresponds to the date the mandate issued.</w:t>
      </w:r>
      <w:r w:rsidRPr="00B6669B">
        <w:rPr>
          <w:rFonts w:ascii="Century Schoolbook" w:hAnsi="Century Schoolbook"/>
          <w:color w:val="000000"/>
        </w:rPr>
        <w:t> </w:t>
      </w:r>
    </w:p>
    <w:p w14:paraId="68447F7D" w14:textId="40D20483" w:rsidR="00C530A1" w:rsidRPr="00B6669B" w:rsidRDefault="00C530A1" w:rsidP="00C530A1">
      <w:pPr>
        <w:pStyle w:val="NormalWeb"/>
        <w:spacing w:before="336" w:beforeAutospacing="0" w:after="0" w:afterAutospacing="0"/>
        <w:ind w:right="106" w:firstLine="720"/>
        <w:jc w:val="both"/>
        <w:rPr>
          <w:rFonts w:ascii="Century Schoolbook" w:hAnsi="Century Schoolbook"/>
        </w:rPr>
      </w:pPr>
      <w:r w:rsidRPr="00B6669B">
        <w:rPr>
          <w:rFonts w:ascii="Century Schoolbook" w:hAnsi="Century Schoolbook"/>
          <w:color w:val="000000"/>
        </w:rPr>
        <w:t>More often than not, the State petitions for further r</w:t>
      </w:r>
      <w:r w:rsidR="00B643FE" w:rsidRPr="00B6669B">
        <w:rPr>
          <w:rFonts w:ascii="Century Schoolbook" w:hAnsi="Century Schoolbook"/>
          <w:color w:val="000000"/>
        </w:rPr>
        <w:t xml:space="preserve">eview if it loses in the COA. </w:t>
      </w:r>
      <w:r w:rsidR="00DD6C5F">
        <w:rPr>
          <w:rFonts w:ascii="Century Schoolbook" w:hAnsi="Century Schoolbook"/>
          <w:color w:val="000000"/>
        </w:rPr>
        <w:t>SCONC</w:t>
      </w:r>
      <w:r w:rsidR="00B643FE" w:rsidRPr="00B6669B">
        <w:rPr>
          <w:rFonts w:ascii="Century Schoolbook" w:hAnsi="Century Schoolbook"/>
          <w:color w:val="000000"/>
        </w:rPr>
        <w:t xml:space="preserve"> will almost always grant the State’s application for a </w:t>
      </w:r>
      <w:r w:rsidRPr="00B6669B">
        <w:rPr>
          <w:rFonts w:ascii="Century Schoolbook" w:hAnsi="Century Schoolbook"/>
          <w:color w:val="000000"/>
        </w:rPr>
        <w:t>temporary stay</w:t>
      </w:r>
      <w:r w:rsidR="00B643FE" w:rsidRPr="00B6669B">
        <w:rPr>
          <w:rFonts w:ascii="Century Schoolbook" w:hAnsi="Century Schoolbook"/>
          <w:color w:val="000000"/>
        </w:rPr>
        <w:t xml:space="preserve"> pending the Court’s review of</w:t>
      </w:r>
      <w:r w:rsidRPr="00B6669B">
        <w:rPr>
          <w:rFonts w:ascii="Century Schoolbook" w:hAnsi="Century Schoolbook"/>
          <w:color w:val="000000"/>
        </w:rPr>
        <w:t xml:space="preserve"> </w:t>
      </w:r>
      <w:r w:rsidR="00B643FE" w:rsidRPr="00B6669B">
        <w:rPr>
          <w:rFonts w:ascii="Century Schoolbook" w:hAnsi="Century Schoolbook"/>
          <w:color w:val="000000"/>
        </w:rPr>
        <w:t>its</w:t>
      </w:r>
      <w:r w:rsidRPr="00B6669B">
        <w:rPr>
          <w:rFonts w:ascii="Century Schoolbook" w:hAnsi="Century Schoolbook"/>
          <w:color w:val="000000"/>
        </w:rPr>
        <w:t xml:space="preserve"> PDR and will </w:t>
      </w:r>
      <w:r w:rsidR="00B643FE" w:rsidRPr="00B6669B">
        <w:rPr>
          <w:rFonts w:ascii="Century Schoolbook" w:hAnsi="Century Schoolbook"/>
          <w:color w:val="000000"/>
        </w:rPr>
        <w:t xml:space="preserve">further issue a writ of </w:t>
      </w:r>
      <w:r w:rsidRPr="00B6669B">
        <w:rPr>
          <w:rFonts w:ascii="Century Schoolbook" w:hAnsi="Century Schoolbook"/>
          <w:color w:val="000000"/>
        </w:rPr>
        <w:t xml:space="preserve">supersedeas in the event it allows a </w:t>
      </w:r>
      <w:proofErr w:type="gramStart"/>
      <w:r w:rsidRPr="00B6669B">
        <w:rPr>
          <w:rFonts w:ascii="Century Schoolbook" w:hAnsi="Century Schoolbook"/>
          <w:color w:val="000000"/>
        </w:rPr>
        <w:t>PDR</w:t>
      </w:r>
      <w:proofErr w:type="gramEnd"/>
      <w:r w:rsidRPr="00B6669B">
        <w:rPr>
          <w:rFonts w:ascii="Century Schoolbook" w:hAnsi="Century Schoolbook"/>
          <w:color w:val="000000"/>
        </w:rPr>
        <w:t xml:space="preserve"> or the State files a Notice of Appeal based on a dissent. It is appellate counsel’s responsibility to respond to </w:t>
      </w:r>
      <w:r w:rsidR="00B643FE" w:rsidRPr="00B6669B">
        <w:rPr>
          <w:rFonts w:ascii="Century Schoolbook" w:hAnsi="Century Schoolbook"/>
          <w:color w:val="000000"/>
        </w:rPr>
        <w:t>the</w:t>
      </w:r>
      <w:r w:rsidRPr="00B6669B">
        <w:rPr>
          <w:rFonts w:ascii="Century Schoolbook" w:hAnsi="Century Schoolbook"/>
          <w:color w:val="000000"/>
        </w:rPr>
        <w:t xml:space="preserve"> State’s PDR and to continue representing the client through th</w:t>
      </w:r>
      <w:r w:rsidR="00043AD9" w:rsidRPr="00B6669B">
        <w:rPr>
          <w:rFonts w:ascii="Century Schoolbook" w:hAnsi="Century Schoolbook"/>
          <w:color w:val="000000"/>
        </w:rPr>
        <w:t xml:space="preserve">e completion of direct review. </w:t>
      </w:r>
      <w:r w:rsidRPr="00B6669B">
        <w:rPr>
          <w:rFonts w:ascii="Century Schoolbook" w:hAnsi="Century Schoolbook"/>
          <w:color w:val="000000"/>
        </w:rPr>
        <w:t xml:space="preserve">For tips on responding to the State’s PDR, see the “Getting Discretionary Review” </w:t>
      </w:r>
      <w:r w:rsidR="0070534E" w:rsidRPr="00B6669B">
        <w:rPr>
          <w:rFonts w:ascii="Century Schoolbook" w:hAnsi="Century Schoolbook"/>
          <w:color w:val="000000"/>
        </w:rPr>
        <w:t>m</w:t>
      </w:r>
      <w:r w:rsidR="00043AD9" w:rsidRPr="00B6669B">
        <w:rPr>
          <w:rFonts w:ascii="Century Schoolbook" w:hAnsi="Century Schoolbook"/>
          <w:color w:val="000000"/>
        </w:rPr>
        <w:t>emo.</w:t>
      </w:r>
    </w:p>
    <w:p w14:paraId="68447F7E" w14:textId="77777777" w:rsidR="00C530A1" w:rsidRPr="00B6669B" w:rsidRDefault="00C530A1" w:rsidP="00C530A1">
      <w:pPr>
        <w:pStyle w:val="NormalWeb"/>
        <w:spacing w:before="336" w:beforeAutospacing="0" w:after="0" w:afterAutospacing="0"/>
        <w:ind w:right="120" w:firstLine="720"/>
        <w:jc w:val="both"/>
        <w:rPr>
          <w:rFonts w:ascii="Century Schoolbook" w:hAnsi="Century Schoolbook"/>
          <w:color w:val="000000"/>
        </w:rPr>
      </w:pPr>
      <w:r w:rsidRPr="00B6669B">
        <w:rPr>
          <w:rFonts w:ascii="Century Schoolbook" w:hAnsi="Century Schoolbook"/>
          <w:color w:val="000000"/>
        </w:rPr>
        <w:t xml:space="preserve">Because the State may seek </w:t>
      </w:r>
      <w:r w:rsidR="00B85565" w:rsidRPr="00B6669B">
        <w:rPr>
          <w:rFonts w:ascii="Century Schoolbook" w:hAnsi="Century Schoolbook"/>
          <w:color w:val="000000"/>
        </w:rPr>
        <w:t xml:space="preserve">further </w:t>
      </w:r>
      <w:r w:rsidRPr="00B6669B">
        <w:rPr>
          <w:rFonts w:ascii="Century Schoolbook" w:hAnsi="Century Schoolbook"/>
          <w:color w:val="000000"/>
        </w:rPr>
        <w:t xml:space="preserve">review, counsel should keep the file (and fee application) open until the State’s 35-day deadline for filing a PDR has expired. If the State does not </w:t>
      </w:r>
      <w:r w:rsidR="00B85565" w:rsidRPr="00B6669B">
        <w:rPr>
          <w:rFonts w:ascii="Century Schoolbook" w:hAnsi="Century Schoolbook"/>
          <w:color w:val="000000"/>
        </w:rPr>
        <w:t>seek further review</w:t>
      </w:r>
      <w:r w:rsidRPr="00B6669B">
        <w:rPr>
          <w:rFonts w:ascii="Century Schoolbook" w:hAnsi="Century Schoolbook"/>
          <w:color w:val="000000"/>
        </w:rPr>
        <w:t xml:space="preserve">, counsel should contact the trial court and make sure trial counsel has been appointed. </w:t>
      </w:r>
      <w:r w:rsidR="00B85565" w:rsidRPr="00B6669B">
        <w:rPr>
          <w:rFonts w:ascii="Century Schoolbook" w:hAnsi="Century Schoolbook"/>
          <w:iCs/>
          <w:color w:val="000000"/>
        </w:rPr>
        <w:t xml:space="preserve">The IDS policy on appellate counsel’s duty following a favorable decision is </w:t>
      </w:r>
      <w:r w:rsidR="00043AD9" w:rsidRPr="00B6669B">
        <w:rPr>
          <w:rFonts w:ascii="Century Schoolbook" w:hAnsi="Century Schoolbook"/>
          <w:iCs/>
          <w:color w:val="000000"/>
        </w:rPr>
        <w:t>included in the materials</w:t>
      </w:r>
      <w:r w:rsidR="00B85565" w:rsidRPr="00B6669B">
        <w:rPr>
          <w:rFonts w:ascii="Century Schoolbook" w:hAnsi="Century Schoolbook"/>
          <w:iCs/>
          <w:color w:val="000000"/>
        </w:rPr>
        <w:t xml:space="preserve">. </w:t>
      </w:r>
      <w:r w:rsidRPr="00B6669B">
        <w:rPr>
          <w:rFonts w:ascii="Century Schoolbook" w:hAnsi="Century Schoolbook"/>
          <w:color w:val="000000"/>
        </w:rPr>
        <w:t> </w:t>
      </w:r>
    </w:p>
    <w:p w14:paraId="68447F7F" w14:textId="77777777" w:rsidR="00B6669B" w:rsidRPr="00B6669B" w:rsidRDefault="00B85565" w:rsidP="00B6669B">
      <w:pPr>
        <w:pStyle w:val="NormalWeb"/>
        <w:spacing w:before="336" w:beforeAutospacing="0" w:after="0" w:afterAutospacing="0"/>
        <w:ind w:right="120" w:firstLine="720"/>
        <w:jc w:val="both"/>
        <w:rPr>
          <w:rFonts w:ascii="Century Schoolbook" w:hAnsi="Century Schoolbook"/>
          <w:color w:val="000000"/>
        </w:rPr>
      </w:pPr>
      <w:r w:rsidRPr="00B6669B">
        <w:rPr>
          <w:rFonts w:ascii="Century Schoolbook" w:hAnsi="Century Schoolbook"/>
          <w:color w:val="000000"/>
        </w:rPr>
        <w:t xml:space="preserve">In the rare event the Court of Appeals’ mandate </w:t>
      </w:r>
      <w:r w:rsidR="00043AD9" w:rsidRPr="00B6669B">
        <w:rPr>
          <w:rFonts w:ascii="Century Schoolbook" w:hAnsi="Century Schoolbook"/>
          <w:color w:val="000000"/>
        </w:rPr>
        <w:t>gives your client an</w:t>
      </w:r>
      <w:r w:rsidRPr="00B6669B">
        <w:rPr>
          <w:rFonts w:ascii="Century Schoolbook" w:hAnsi="Century Schoolbook"/>
          <w:color w:val="000000"/>
        </w:rPr>
        <w:t xml:space="preserve"> immediate </w:t>
      </w:r>
      <w:r w:rsidR="00043AD9" w:rsidRPr="00B6669B">
        <w:rPr>
          <w:rFonts w:ascii="Century Schoolbook" w:hAnsi="Century Schoolbook"/>
          <w:color w:val="000000"/>
        </w:rPr>
        <w:t>right to release</w:t>
      </w:r>
      <w:r w:rsidRPr="00B6669B">
        <w:rPr>
          <w:rFonts w:ascii="Century Schoolbook" w:hAnsi="Century Schoolbook"/>
          <w:color w:val="000000"/>
        </w:rPr>
        <w:t xml:space="preserve">, contact OAD to strategize how to get your client </w:t>
      </w:r>
      <w:r w:rsidR="00B6669B" w:rsidRPr="00B6669B">
        <w:rPr>
          <w:rFonts w:ascii="Century Schoolbook" w:hAnsi="Century Schoolbook"/>
          <w:color w:val="000000"/>
        </w:rPr>
        <w:t xml:space="preserve">released as quickly as possible. </w:t>
      </w:r>
    </w:p>
    <w:p w14:paraId="68447F80" w14:textId="77777777" w:rsidR="00C530A1" w:rsidRPr="00B6669B" w:rsidRDefault="00C530A1" w:rsidP="00B643FE">
      <w:pPr>
        <w:pStyle w:val="NormalWeb"/>
        <w:numPr>
          <w:ilvl w:val="0"/>
          <w:numId w:val="18"/>
        </w:numPr>
        <w:spacing w:before="312" w:beforeAutospacing="0" w:after="0" w:afterAutospacing="0"/>
        <w:jc w:val="both"/>
        <w:rPr>
          <w:rFonts w:ascii="Century Schoolbook" w:hAnsi="Century Schoolbook"/>
        </w:rPr>
      </w:pPr>
      <w:r w:rsidRPr="00B6669B">
        <w:rPr>
          <w:rFonts w:ascii="Century Schoolbook" w:hAnsi="Century Schoolbook"/>
          <w:b/>
          <w:bCs/>
          <w:iCs/>
          <w:color w:val="000000"/>
        </w:rPr>
        <w:t>If</w:t>
      </w:r>
      <w:r w:rsidR="00B6669B" w:rsidRPr="00B6669B">
        <w:rPr>
          <w:rFonts w:ascii="Century Schoolbook" w:hAnsi="Century Schoolbook"/>
          <w:b/>
          <w:bCs/>
          <w:iCs/>
          <w:color w:val="000000"/>
        </w:rPr>
        <w:t xml:space="preserve"> the COA denied relief</w:t>
      </w:r>
    </w:p>
    <w:p w14:paraId="68447F81" w14:textId="77777777" w:rsidR="00C530A1" w:rsidRPr="00B6669B" w:rsidRDefault="00C530A1" w:rsidP="00C530A1">
      <w:pPr>
        <w:pStyle w:val="NormalWeb"/>
        <w:spacing w:before="341" w:beforeAutospacing="0" w:after="0" w:afterAutospacing="0"/>
        <w:ind w:right="365" w:firstLine="720"/>
        <w:rPr>
          <w:rFonts w:ascii="Century Schoolbook" w:hAnsi="Century Schoolbook"/>
        </w:rPr>
      </w:pPr>
      <w:r w:rsidRPr="00B6669B">
        <w:rPr>
          <w:rFonts w:ascii="Century Schoolbook" w:hAnsi="Century Schoolbook"/>
          <w:color w:val="000000"/>
        </w:rPr>
        <w:t>After an unfavorable opinion, the main options are: </w:t>
      </w:r>
    </w:p>
    <w:p w14:paraId="68447F82" w14:textId="0F96B45E" w:rsidR="005A67BD" w:rsidRPr="00B6669B" w:rsidRDefault="00C530A1" w:rsidP="00663B29">
      <w:pPr>
        <w:pStyle w:val="NormalWeb"/>
        <w:spacing w:before="360" w:beforeAutospacing="0" w:after="0" w:afterAutospacing="0"/>
        <w:ind w:left="720" w:right="48"/>
        <w:jc w:val="both"/>
        <w:rPr>
          <w:rFonts w:ascii="Century Schoolbook" w:hAnsi="Century Schoolbook"/>
        </w:rPr>
      </w:pPr>
      <w:r w:rsidRPr="00B6669B">
        <w:rPr>
          <w:rFonts w:ascii="Century Schoolbook" w:hAnsi="Century Schoolbook"/>
          <w:color w:val="000000"/>
        </w:rPr>
        <w:t xml:space="preserve">• </w:t>
      </w:r>
      <w:r w:rsidR="005A67BD" w:rsidRPr="00B6669B">
        <w:rPr>
          <w:rFonts w:ascii="Century Schoolbook" w:hAnsi="Century Schoolbook"/>
          <w:b/>
          <w:iCs/>
          <w:color w:val="000000"/>
        </w:rPr>
        <w:t>Motion to Stay Issuance of the Mandate and Withdraw Opinion:</w:t>
      </w:r>
      <w:r w:rsidRPr="00B6669B">
        <w:rPr>
          <w:rFonts w:ascii="Century Schoolbook" w:hAnsi="Century Schoolbook"/>
          <w:i/>
          <w:iCs/>
          <w:color w:val="000000"/>
        </w:rPr>
        <w:t xml:space="preserve"> </w:t>
      </w:r>
      <w:r w:rsidR="005A67BD" w:rsidRPr="00B6669B">
        <w:rPr>
          <w:rFonts w:ascii="Century Schoolbook" w:hAnsi="Century Schoolbook"/>
          <w:iCs/>
          <w:color w:val="000000"/>
        </w:rPr>
        <w:t>D</w:t>
      </w:r>
      <w:r w:rsidRPr="00B6669B">
        <w:rPr>
          <w:rFonts w:ascii="Century Schoolbook" w:hAnsi="Century Schoolbook"/>
          <w:color w:val="000000"/>
        </w:rPr>
        <w:t xml:space="preserve">irected to the COA panel that issued the opinion. The rules expressly preclude petitions for rehearing in criminal cases, </w:t>
      </w:r>
      <w:r w:rsidR="005A67BD" w:rsidRPr="00B6669B">
        <w:rPr>
          <w:rFonts w:ascii="Century Schoolbook" w:hAnsi="Century Schoolbook"/>
          <w:color w:val="000000"/>
        </w:rPr>
        <w:t xml:space="preserve">so this kind of motion is only </w:t>
      </w:r>
      <w:r w:rsidRPr="00B6669B">
        <w:rPr>
          <w:rFonts w:ascii="Century Schoolbook" w:hAnsi="Century Schoolbook"/>
          <w:color w:val="000000"/>
        </w:rPr>
        <w:t xml:space="preserve">to </w:t>
      </w:r>
      <w:r w:rsidR="005A67BD" w:rsidRPr="00B6669B">
        <w:rPr>
          <w:rFonts w:ascii="Century Schoolbook" w:hAnsi="Century Schoolbook"/>
          <w:color w:val="000000"/>
        </w:rPr>
        <w:t xml:space="preserve">be used to </w:t>
      </w:r>
      <w:r w:rsidRPr="00B6669B">
        <w:rPr>
          <w:rFonts w:ascii="Century Schoolbook" w:hAnsi="Century Schoolbook"/>
          <w:color w:val="000000"/>
        </w:rPr>
        <w:t xml:space="preserve">correct </w:t>
      </w:r>
      <w:r w:rsidRPr="00B6669B">
        <w:rPr>
          <w:rFonts w:ascii="Century Schoolbook" w:hAnsi="Century Schoolbook"/>
          <w:bCs/>
          <w:color w:val="000000"/>
        </w:rPr>
        <w:t>readily apparent mistakes or oversights in the opinion.</w:t>
      </w:r>
      <w:r w:rsidRPr="00B6669B">
        <w:rPr>
          <w:rFonts w:ascii="Century Schoolbook" w:hAnsi="Century Schoolbook"/>
          <w:b/>
          <w:bCs/>
          <w:color w:val="000000"/>
        </w:rPr>
        <w:t xml:space="preserve"> </w:t>
      </w:r>
      <w:r w:rsidRPr="00B6669B">
        <w:rPr>
          <w:rFonts w:ascii="Century Schoolbook" w:hAnsi="Century Schoolbook"/>
          <w:color w:val="000000"/>
        </w:rPr>
        <w:t xml:space="preserve">The theoretical </w:t>
      </w:r>
      <w:r w:rsidR="00B6669B" w:rsidRPr="00B6669B">
        <w:rPr>
          <w:rFonts w:ascii="Century Schoolbook" w:hAnsi="Century Schoolbook"/>
          <w:color w:val="000000"/>
        </w:rPr>
        <w:t>deadline</w:t>
      </w:r>
      <w:r w:rsidRPr="00B6669B">
        <w:rPr>
          <w:rFonts w:ascii="Century Schoolbook" w:hAnsi="Century Schoolbook"/>
          <w:color w:val="000000"/>
        </w:rPr>
        <w:t xml:space="preserve"> is 20 days after the opinion (when </w:t>
      </w:r>
      <w:r w:rsidR="005A67BD" w:rsidRPr="00B6669B">
        <w:rPr>
          <w:rFonts w:ascii="Century Schoolbook" w:hAnsi="Century Schoolbook"/>
          <w:color w:val="000000"/>
        </w:rPr>
        <w:t xml:space="preserve">the </w:t>
      </w:r>
      <w:r w:rsidRPr="00B6669B">
        <w:rPr>
          <w:rFonts w:ascii="Century Schoolbook" w:hAnsi="Century Schoolbook"/>
          <w:color w:val="000000"/>
        </w:rPr>
        <w:t xml:space="preserve">mandate issues), but the effective </w:t>
      </w:r>
      <w:r w:rsidR="00B6669B" w:rsidRPr="00B6669B">
        <w:rPr>
          <w:rFonts w:ascii="Century Schoolbook" w:hAnsi="Century Schoolbook"/>
          <w:color w:val="000000"/>
        </w:rPr>
        <w:t>deadline</w:t>
      </w:r>
      <w:r w:rsidRPr="00B6669B">
        <w:rPr>
          <w:rFonts w:ascii="Century Schoolbook" w:hAnsi="Century Schoolbook"/>
          <w:color w:val="000000"/>
        </w:rPr>
        <w:t xml:space="preserve"> is probably 15 days or less.</w:t>
      </w:r>
      <w:r w:rsidR="00DD6C5F">
        <w:rPr>
          <w:rFonts w:ascii="Century Schoolbook" w:hAnsi="Century Schoolbook"/>
          <w:color w:val="000000"/>
        </w:rPr>
        <w:t xml:space="preserve"> You must cite Rule 2 as the basis for your motion. </w:t>
      </w:r>
      <w:r w:rsidRPr="00B6669B">
        <w:rPr>
          <w:rFonts w:ascii="Century Schoolbook" w:hAnsi="Century Schoolbook"/>
          <w:color w:val="000000"/>
        </w:rPr>
        <w:t> </w:t>
      </w:r>
    </w:p>
    <w:p w14:paraId="68447F83" w14:textId="52AF1721" w:rsidR="005A67BD" w:rsidRPr="00B6669B" w:rsidRDefault="00C530A1" w:rsidP="005A67BD">
      <w:pPr>
        <w:pStyle w:val="NormalWeb"/>
        <w:spacing w:before="355" w:beforeAutospacing="0" w:after="0" w:afterAutospacing="0"/>
        <w:ind w:left="720" w:right="58"/>
        <w:jc w:val="both"/>
        <w:rPr>
          <w:rFonts w:ascii="Century Schoolbook" w:hAnsi="Century Schoolbook"/>
        </w:rPr>
      </w:pPr>
      <w:r w:rsidRPr="00B6669B">
        <w:rPr>
          <w:rFonts w:ascii="Century Schoolbook" w:hAnsi="Century Schoolbook"/>
          <w:color w:val="000000"/>
        </w:rPr>
        <w:lastRenderedPageBreak/>
        <w:t xml:space="preserve">• </w:t>
      </w:r>
      <w:r w:rsidR="005A67BD" w:rsidRPr="00B6669B">
        <w:rPr>
          <w:rFonts w:ascii="Century Schoolbook" w:hAnsi="Century Schoolbook"/>
          <w:b/>
          <w:iCs/>
          <w:color w:val="000000"/>
        </w:rPr>
        <w:t xml:space="preserve">Motion for </w:t>
      </w:r>
      <w:r w:rsidR="005A67BD" w:rsidRPr="00B6669B">
        <w:rPr>
          <w:rFonts w:ascii="Century Schoolbook" w:hAnsi="Century Schoolbook"/>
          <w:b/>
          <w:i/>
          <w:iCs/>
          <w:color w:val="000000"/>
        </w:rPr>
        <w:t>En Banc</w:t>
      </w:r>
      <w:r w:rsidR="005A67BD" w:rsidRPr="00B6669B">
        <w:rPr>
          <w:rFonts w:ascii="Century Schoolbook" w:hAnsi="Century Schoolbook"/>
          <w:b/>
          <w:iCs/>
          <w:color w:val="000000"/>
        </w:rPr>
        <w:t xml:space="preserve"> Rehearing [</w:t>
      </w:r>
      <w:proofErr w:type="spellStart"/>
      <w:r w:rsidR="005A67BD" w:rsidRPr="00B6669B">
        <w:rPr>
          <w:rFonts w:ascii="Century Schoolbook" w:hAnsi="Century Schoolbook"/>
          <w:b/>
          <w:iCs/>
          <w:color w:val="000000"/>
        </w:rPr>
        <w:t>MEBR</w:t>
      </w:r>
      <w:proofErr w:type="spellEnd"/>
      <w:r w:rsidR="005A67BD" w:rsidRPr="00B6669B">
        <w:rPr>
          <w:rFonts w:ascii="Century Schoolbook" w:hAnsi="Century Schoolbook"/>
          <w:b/>
          <w:iCs/>
          <w:color w:val="000000"/>
        </w:rPr>
        <w:t>]:</w:t>
      </w:r>
      <w:r w:rsidR="005A67BD" w:rsidRPr="00B6669B">
        <w:rPr>
          <w:rFonts w:ascii="Century Schoolbook" w:hAnsi="Century Schoolbook"/>
          <w:color w:val="000000"/>
        </w:rPr>
        <w:t xml:space="preserve"> D</w:t>
      </w:r>
      <w:r w:rsidRPr="00B6669B">
        <w:rPr>
          <w:rFonts w:ascii="Century Schoolbook" w:hAnsi="Century Schoolbook"/>
          <w:color w:val="000000"/>
        </w:rPr>
        <w:t xml:space="preserve">irected to all sitting COA judges. Deadline: 15 days after opinion filed. Grounds for </w:t>
      </w:r>
      <w:proofErr w:type="spellStart"/>
      <w:r w:rsidRPr="00B6669B">
        <w:rPr>
          <w:rFonts w:ascii="Century Schoolbook" w:hAnsi="Century Schoolbook"/>
          <w:i/>
          <w:iCs/>
          <w:color w:val="000000"/>
        </w:rPr>
        <w:t>en</w:t>
      </w:r>
      <w:proofErr w:type="spellEnd"/>
      <w:r w:rsidRPr="00B6669B">
        <w:rPr>
          <w:rFonts w:ascii="Century Schoolbook" w:hAnsi="Century Schoolbook"/>
          <w:i/>
          <w:iCs/>
          <w:color w:val="000000"/>
        </w:rPr>
        <w:t xml:space="preserve"> banc </w:t>
      </w:r>
      <w:r w:rsidRPr="00B6669B">
        <w:rPr>
          <w:rFonts w:ascii="Century Schoolbook" w:hAnsi="Century Schoolbook"/>
          <w:color w:val="000000"/>
        </w:rPr>
        <w:t xml:space="preserve">review are not defined, but </w:t>
      </w:r>
      <w:r w:rsidR="005A67BD" w:rsidRPr="00B6669B">
        <w:rPr>
          <w:rFonts w:ascii="Century Schoolbook" w:hAnsi="Century Schoolbook"/>
          <w:color w:val="000000"/>
        </w:rPr>
        <w:t xml:space="preserve">a </w:t>
      </w:r>
      <w:r w:rsidRPr="00B6669B">
        <w:rPr>
          <w:rFonts w:ascii="Century Schoolbook" w:hAnsi="Century Schoolbook"/>
          <w:color w:val="000000"/>
        </w:rPr>
        <w:t xml:space="preserve">MEBR should show it is “necessary to secure or maintain </w:t>
      </w:r>
      <w:r w:rsidRPr="00B6669B">
        <w:rPr>
          <w:rFonts w:ascii="Century Schoolbook" w:hAnsi="Century Schoolbook"/>
          <w:bCs/>
          <w:color w:val="000000"/>
        </w:rPr>
        <w:t>uniformity of the [COA]’s decisions</w:t>
      </w:r>
      <w:r w:rsidRPr="00B6669B">
        <w:rPr>
          <w:rFonts w:ascii="Century Schoolbook" w:hAnsi="Century Schoolbook"/>
          <w:color w:val="000000"/>
        </w:rPr>
        <w:t xml:space="preserve">,” or the case “involves a </w:t>
      </w:r>
      <w:r w:rsidRPr="00B6669B">
        <w:rPr>
          <w:rFonts w:ascii="Century Schoolbook" w:hAnsi="Century Schoolbook"/>
          <w:bCs/>
          <w:color w:val="000000"/>
        </w:rPr>
        <w:t>question of exceptional importance</w:t>
      </w:r>
      <w:r w:rsidRPr="00B6669B">
        <w:rPr>
          <w:rFonts w:ascii="Century Schoolbook" w:hAnsi="Century Schoolbook"/>
          <w:color w:val="000000"/>
        </w:rPr>
        <w:t>.” N.C. R. App. P. 31.1(a).</w:t>
      </w:r>
      <w:r w:rsidR="00DD6C5F">
        <w:rPr>
          <w:rFonts w:ascii="Century Schoolbook" w:hAnsi="Century Schoolbook"/>
          <w:color w:val="000000"/>
        </w:rPr>
        <w:t xml:space="preserve"> </w:t>
      </w:r>
    </w:p>
    <w:p w14:paraId="68447F84" w14:textId="590600CB" w:rsidR="005A67BD" w:rsidRPr="00B6669B" w:rsidRDefault="005A67BD" w:rsidP="005A67BD">
      <w:pPr>
        <w:pStyle w:val="NormalWeb"/>
        <w:spacing w:before="355" w:beforeAutospacing="0" w:after="0" w:afterAutospacing="0"/>
        <w:ind w:left="720" w:right="58"/>
        <w:jc w:val="both"/>
        <w:rPr>
          <w:rFonts w:ascii="Century Schoolbook" w:hAnsi="Century Schoolbook"/>
        </w:rPr>
      </w:pPr>
      <w:r w:rsidRPr="00B6669B">
        <w:rPr>
          <w:rFonts w:ascii="Century Schoolbook" w:hAnsi="Century Schoolbook"/>
          <w:b/>
          <w:color w:val="000000"/>
        </w:rPr>
        <w:t xml:space="preserve">• </w:t>
      </w:r>
      <w:r w:rsidRPr="00B6669B">
        <w:rPr>
          <w:rFonts w:ascii="Century Schoolbook" w:hAnsi="Century Schoolbook"/>
          <w:b/>
          <w:iCs/>
          <w:color w:val="000000"/>
        </w:rPr>
        <w:t>Petition for Discretionary Review [PDR]:</w:t>
      </w:r>
      <w:r w:rsidRPr="00B6669B">
        <w:rPr>
          <w:rFonts w:ascii="Century Schoolbook" w:hAnsi="Century Schoolbook"/>
          <w:color w:val="000000"/>
        </w:rPr>
        <w:t xml:space="preserve"> D</w:t>
      </w:r>
      <w:r w:rsidR="00C530A1" w:rsidRPr="00B6669B">
        <w:rPr>
          <w:rFonts w:ascii="Century Schoolbook" w:hAnsi="Century Schoolbook"/>
          <w:color w:val="000000"/>
        </w:rPr>
        <w:t xml:space="preserve">irected to </w:t>
      </w:r>
      <w:r w:rsidR="00DD6C5F">
        <w:rPr>
          <w:rFonts w:ascii="Century Schoolbook" w:hAnsi="Century Schoolbook"/>
          <w:color w:val="000000"/>
        </w:rPr>
        <w:t>SCONC</w:t>
      </w:r>
      <w:r w:rsidR="00C530A1" w:rsidRPr="00B6669B">
        <w:rPr>
          <w:rFonts w:ascii="Century Schoolbook" w:hAnsi="Century Schoolbook"/>
          <w:color w:val="000000"/>
        </w:rPr>
        <w:t>. Deadline: 15 days after issuance of</w:t>
      </w:r>
      <w:r w:rsidR="00B6669B" w:rsidRPr="00B6669B">
        <w:rPr>
          <w:rFonts w:ascii="Century Schoolbook" w:hAnsi="Century Schoolbook"/>
          <w:color w:val="000000"/>
        </w:rPr>
        <w:t xml:space="preserve"> the</w:t>
      </w:r>
      <w:r w:rsidR="00C530A1" w:rsidRPr="00B6669B">
        <w:rPr>
          <w:rFonts w:ascii="Century Schoolbook" w:hAnsi="Century Schoolbook"/>
          <w:color w:val="000000"/>
        </w:rPr>
        <w:t xml:space="preserve"> mandate (</w:t>
      </w:r>
      <w:r w:rsidR="00C530A1" w:rsidRPr="00B6669B">
        <w:rPr>
          <w:rFonts w:ascii="Century Schoolbook" w:hAnsi="Century Schoolbook"/>
          <w:i/>
          <w:iCs/>
          <w:color w:val="000000"/>
        </w:rPr>
        <w:t>i.e.,</w:t>
      </w:r>
      <w:r w:rsidR="00DD6C5F">
        <w:rPr>
          <w:rFonts w:ascii="Century Schoolbook" w:hAnsi="Century Schoolbook"/>
          <w:color w:val="000000"/>
        </w:rPr>
        <w:t xml:space="preserve"> usually</w:t>
      </w:r>
      <w:r w:rsidR="00C530A1" w:rsidRPr="00B6669B">
        <w:rPr>
          <w:rFonts w:ascii="Century Schoolbook" w:hAnsi="Century Schoolbook"/>
          <w:i/>
          <w:iCs/>
          <w:color w:val="000000"/>
        </w:rPr>
        <w:t xml:space="preserve"> </w:t>
      </w:r>
      <w:r w:rsidR="00C530A1" w:rsidRPr="00B6669B">
        <w:rPr>
          <w:rFonts w:ascii="Century Schoolbook" w:hAnsi="Century Schoolbook"/>
          <w:color w:val="000000"/>
        </w:rPr>
        <w:t xml:space="preserve">35 days after filing of the opinion), or 15 days after entry of an order denying a MEBR. Statutory grounds for discretionary review are that “the subject matter . . . has </w:t>
      </w:r>
      <w:r w:rsidR="00C530A1" w:rsidRPr="00B6669B">
        <w:rPr>
          <w:rFonts w:ascii="Century Schoolbook" w:hAnsi="Century Schoolbook"/>
          <w:bCs/>
          <w:color w:val="000000"/>
        </w:rPr>
        <w:t>significant public interest</w:t>
      </w:r>
      <w:r w:rsidR="00C530A1" w:rsidRPr="00B6669B">
        <w:rPr>
          <w:rFonts w:ascii="Century Schoolbook" w:hAnsi="Century Schoolbook"/>
          <w:color w:val="000000"/>
        </w:rPr>
        <w:t>,” the case presents “</w:t>
      </w:r>
      <w:r w:rsidR="00C530A1" w:rsidRPr="00B6669B">
        <w:rPr>
          <w:rFonts w:ascii="Century Schoolbook" w:hAnsi="Century Schoolbook"/>
          <w:bCs/>
          <w:color w:val="000000"/>
        </w:rPr>
        <w:t>legal principles of major significance</w:t>
      </w:r>
      <w:r w:rsidRPr="00B6669B">
        <w:rPr>
          <w:rFonts w:ascii="Century Schoolbook" w:hAnsi="Century Schoolbook"/>
          <w:color w:val="000000"/>
        </w:rPr>
        <w:t xml:space="preserve"> to the jurisprudence of the state</w:t>
      </w:r>
      <w:r w:rsidR="00C530A1" w:rsidRPr="00B6669B">
        <w:rPr>
          <w:rFonts w:ascii="Century Schoolbook" w:hAnsi="Century Schoolbook"/>
          <w:color w:val="000000"/>
        </w:rPr>
        <w:t xml:space="preserve">” or the COA opinion “likely . . . </w:t>
      </w:r>
      <w:r w:rsidR="00C530A1" w:rsidRPr="00B6669B">
        <w:rPr>
          <w:rFonts w:ascii="Century Schoolbook" w:hAnsi="Century Schoolbook"/>
          <w:bCs/>
          <w:color w:val="000000"/>
        </w:rPr>
        <w:t>conflict[s] with a decision of the Supreme Court</w:t>
      </w:r>
      <w:r w:rsidR="00C530A1" w:rsidRPr="00B6669B">
        <w:rPr>
          <w:rFonts w:ascii="Century Schoolbook" w:hAnsi="Century Schoolbook"/>
          <w:color w:val="000000"/>
        </w:rPr>
        <w:t>.” N.C.G</w:t>
      </w:r>
      <w:r w:rsidRPr="00B6669B">
        <w:rPr>
          <w:rFonts w:ascii="Century Schoolbook" w:hAnsi="Century Schoolbook"/>
          <w:color w:val="000000"/>
        </w:rPr>
        <w:t>.</w:t>
      </w:r>
      <w:r w:rsidR="00C530A1" w:rsidRPr="00B6669B">
        <w:rPr>
          <w:rFonts w:ascii="Century Schoolbook" w:hAnsi="Century Schoolbook"/>
          <w:color w:val="000000"/>
        </w:rPr>
        <w:t xml:space="preserve">S. § 7A-31(c). </w:t>
      </w:r>
    </w:p>
    <w:p w14:paraId="68447F85" w14:textId="4F852D26" w:rsidR="005A67BD" w:rsidRPr="002D36A6" w:rsidRDefault="00C530A1" w:rsidP="00613313">
      <w:pPr>
        <w:pStyle w:val="NormalWeb"/>
        <w:spacing w:before="355" w:beforeAutospacing="0" w:after="0" w:afterAutospacing="0"/>
        <w:ind w:left="720" w:right="58"/>
        <w:jc w:val="both"/>
        <w:rPr>
          <w:rFonts w:ascii="Century Schoolbook" w:hAnsi="Century Schoolbook"/>
          <w:b/>
        </w:rPr>
      </w:pPr>
      <w:r w:rsidRPr="00B6669B">
        <w:rPr>
          <w:rFonts w:ascii="Century Schoolbook" w:hAnsi="Century Schoolbook"/>
          <w:color w:val="000000"/>
        </w:rPr>
        <w:t xml:space="preserve">• </w:t>
      </w:r>
      <w:r w:rsidR="005A67BD" w:rsidRPr="00B6669B">
        <w:rPr>
          <w:rFonts w:ascii="Century Schoolbook" w:hAnsi="Century Schoolbook"/>
          <w:b/>
          <w:iCs/>
          <w:color w:val="000000"/>
        </w:rPr>
        <w:t>Notice of Appeal</w:t>
      </w:r>
      <w:r w:rsidR="00613313" w:rsidRPr="00B6669B">
        <w:rPr>
          <w:rFonts w:ascii="Century Schoolbook" w:hAnsi="Century Schoolbook"/>
          <w:b/>
          <w:iCs/>
          <w:color w:val="000000"/>
        </w:rPr>
        <w:t xml:space="preserve"> [NOA]</w:t>
      </w:r>
      <w:r w:rsidR="005A67BD" w:rsidRPr="00B6669B">
        <w:rPr>
          <w:rFonts w:ascii="Century Schoolbook" w:hAnsi="Century Schoolbook"/>
          <w:b/>
          <w:iCs/>
          <w:color w:val="000000"/>
        </w:rPr>
        <w:t>:</w:t>
      </w:r>
      <w:r w:rsidRPr="00B6669B">
        <w:rPr>
          <w:rFonts w:ascii="Century Schoolbook" w:hAnsi="Century Schoolbook"/>
          <w:i/>
          <w:iCs/>
          <w:color w:val="000000"/>
        </w:rPr>
        <w:t xml:space="preserve"> </w:t>
      </w:r>
      <w:r w:rsidR="005A67BD" w:rsidRPr="00B6669B">
        <w:rPr>
          <w:rFonts w:ascii="Century Schoolbook" w:hAnsi="Century Schoolbook"/>
          <w:iCs/>
          <w:color w:val="000000"/>
        </w:rPr>
        <w:t>F</w:t>
      </w:r>
      <w:r w:rsidRPr="00B6669B">
        <w:rPr>
          <w:rFonts w:ascii="Century Schoolbook" w:hAnsi="Century Schoolbook"/>
          <w:color w:val="000000"/>
        </w:rPr>
        <w:t xml:space="preserve">iled in both the COA and </w:t>
      </w:r>
      <w:r w:rsidR="00DD6C5F">
        <w:rPr>
          <w:rFonts w:ascii="Century Schoolbook" w:hAnsi="Century Schoolbook"/>
          <w:color w:val="000000"/>
        </w:rPr>
        <w:t>SCONC</w:t>
      </w:r>
      <w:r w:rsidRPr="00B6669B">
        <w:rPr>
          <w:rFonts w:ascii="Century Schoolbook" w:hAnsi="Century Schoolbook"/>
          <w:color w:val="000000"/>
        </w:rPr>
        <w:t xml:space="preserve">. </w:t>
      </w:r>
      <w:r w:rsidR="00613313" w:rsidRPr="00B6669B">
        <w:rPr>
          <w:rFonts w:ascii="Century Schoolbook" w:hAnsi="Century Schoolbook"/>
          <w:color w:val="000000"/>
        </w:rPr>
        <w:t>Deadline: 15 days after issuance of mandate (</w:t>
      </w:r>
      <w:r w:rsidR="00DD6C5F">
        <w:rPr>
          <w:rFonts w:ascii="Century Schoolbook" w:hAnsi="Century Schoolbook"/>
          <w:color w:val="000000"/>
        </w:rPr>
        <w:t>~</w:t>
      </w:r>
      <w:r w:rsidR="00613313" w:rsidRPr="00B6669B">
        <w:rPr>
          <w:rFonts w:ascii="Century Schoolbook" w:hAnsi="Century Schoolbook"/>
          <w:color w:val="000000"/>
        </w:rPr>
        <w:t>35 days after opinion). </w:t>
      </w:r>
      <w:r w:rsidRPr="00B6669B">
        <w:rPr>
          <w:rFonts w:ascii="Century Schoolbook" w:hAnsi="Century Schoolbook"/>
          <w:color w:val="000000"/>
        </w:rPr>
        <w:t xml:space="preserve">An appeal of right lies from the COA to </w:t>
      </w:r>
      <w:r w:rsidR="00DD6C5F">
        <w:rPr>
          <w:rFonts w:ascii="Century Schoolbook" w:hAnsi="Century Schoolbook"/>
          <w:color w:val="000000"/>
        </w:rPr>
        <w:t>SCONC</w:t>
      </w:r>
      <w:r w:rsidRPr="00B6669B">
        <w:rPr>
          <w:rFonts w:ascii="Century Schoolbook" w:hAnsi="Century Schoolbook"/>
          <w:color w:val="000000"/>
        </w:rPr>
        <w:t xml:space="preserve"> regarding </w:t>
      </w:r>
      <w:r w:rsidRPr="00B6669B">
        <w:rPr>
          <w:rFonts w:ascii="Century Schoolbook" w:hAnsi="Century Schoolbook"/>
          <w:bCs/>
          <w:color w:val="000000"/>
        </w:rPr>
        <w:t xml:space="preserve">issues as to which there was a dissent </w:t>
      </w:r>
      <w:r w:rsidRPr="00B6669B">
        <w:rPr>
          <w:rFonts w:ascii="Century Schoolbook" w:hAnsi="Century Schoolbook"/>
          <w:color w:val="000000"/>
        </w:rPr>
        <w:t xml:space="preserve">in the COA, and </w:t>
      </w:r>
      <w:r w:rsidRPr="00B6669B">
        <w:rPr>
          <w:rFonts w:ascii="Century Schoolbook" w:hAnsi="Century Schoolbook"/>
          <w:bCs/>
          <w:color w:val="000000"/>
        </w:rPr>
        <w:t>substantial constitutional questions</w:t>
      </w:r>
      <w:r w:rsidR="00613313" w:rsidRPr="00B6669B">
        <w:rPr>
          <w:rFonts w:ascii="Century Schoolbook" w:hAnsi="Century Schoolbook"/>
          <w:bCs/>
          <w:color w:val="000000"/>
        </w:rPr>
        <w:t xml:space="preserve">. </w:t>
      </w:r>
      <w:r w:rsidR="00613313" w:rsidRPr="002D36A6">
        <w:rPr>
          <w:rFonts w:ascii="Century Schoolbook" w:hAnsi="Century Schoolbook"/>
          <w:b/>
          <w:color w:val="000000"/>
        </w:rPr>
        <w:t xml:space="preserve">Note: </w:t>
      </w:r>
      <w:r w:rsidR="00842D74" w:rsidRPr="002D36A6">
        <w:rPr>
          <w:rFonts w:ascii="Century Schoolbook" w:hAnsi="Century Schoolbook"/>
          <w:b/>
          <w:color w:val="000000"/>
        </w:rPr>
        <w:t xml:space="preserve">Dissent-based appeals of right have been eliminated </w:t>
      </w:r>
      <w:r w:rsidR="00842D74" w:rsidRPr="002D36A6">
        <w:rPr>
          <w:rFonts w:ascii="Century Schoolbook" w:hAnsi="Century Schoolbook"/>
          <w:b/>
          <w:color w:val="000000"/>
        </w:rPr>
        <w:t xml:space="preserve">for cases “filed in the Court of Appeals” </w:t>
      </w:r>
      <w:r w:rsidR="002D36A6" w:rsidRPr="002D36A6">
        <w:rPr>
          <w:rFonts w:ascii="Century Schoolbook" w:hAnsi="Century Schoolbook"/>
          <w:b/>
          <w:color w:val="000000"/>
        </w:rPr>
        <w:t>after</w:t>
      </w:r>
      <w:r w:rsidR="00842D74" w:rsidRPr="002D36A6">
        <w:rPr>
          <w:rFonts w:ascii="Century Schoolbook" w:hAnsi="Century Schoolbook"/>
          <w:b/>
          <w:color w:val="000000"/>
        </w:rPr>
        <w:t xml:space="preserve"> 10/3/23</w:t>
      </w:r>
      <w:r w:rsidR="002D36A6" w:rsidRPr="002D36A6">
        <w:rPr>
          <w:rFonts w:ascii="Century Schoolbook" w:hAnsi="Century Schoolbook"/>
          <w:b/>
          <w:color w:val="000000"/>
        </w:rPr>
        <w:t>.</w:t>
      </w:r>
      <w:r w:rsidR="00842D74" w:rsidRPr="002D36A6">
        <w:rPr>
          <w:rFonts w:ascii="Century Schoolbook" w:hAnsi="Century Schoolbook"/>
          <w:b/>
          <w:color w:val="000000"/>
        </w:rPr>
        <w:t xml:space="preserve"> Also, </w:t>
      </w:r>
      <w:r w:rsidR="00613313" w:rsidRPr="002D36A6">
        <w:rPr>
          <w:rFonts w:ascii="Century Schoolbook" w:hAnsi="Century Schoolbook"/>
          <w:b/>
          <w:color w:val="000000"/>
        </w:rPr>
        <w:t xml:space="preserve">for the reasons explained below, </w:t>
      </w:r>
      <w:r w:rsidR="00B6669B" w:rsidRPr="002D36A6">
        <w:rPr>
          <w:rFonts w:ascii="Century Schoolbook" w:hAnsi="Century Schoolbook"/>
          <w:b/>
          <w:color w:val="000000"/>
        </w:rPr>
        <w:t xml:space="preserve">a NOA based on a substantial constitutional issue should </w:t>
      </w:r>
      <w:r w:rsidR="00B6669B" w:rsidRPr="002D36A6">
        <w:rPr>
          <w:rFonts w:ascii="Century Schoolbook" w:hAnsi="Century Schoolbook"/>
          <w:b/>
          <w:i/>
          <w:iCs/>
          <w:color w:val="000000"/>
          <w:u w:val="single"/>
        </w:rPr>
        <w:t>always</w:t>
      </w:r>
      <w:r w:rsidR="00B6669B" w:rsidRPr="002D36A6">
        <w:rPr>
          <w:rFonts w:ascii="Century Schoolbook" w:hAnsi="Century Schoolbook"/>
          <w:b/>
          <w:i/>
          <w:iCs/>
          <w:color w:val="000000"/>
        </w:rPr>
        <w:t xml:space="preserve"> </w:t>
      </w:r>
      <w:r w:rsidR="00B6669B" w:rsidRPr="002D36A6">
        <w:rPr>
          <w:rFonts w:ascii="Century Schoolbook" w:hAnsi="Century Schoolbook"/>
          <w:b/>
          <w:color w:val="000000"/>
        </w:rPr>
        <w:t>be combined with a PDR in the alternative.</w:t>
      </w:r>
    </w:p>
    <w:p w14:paraId="68447F86" w14:textId="15E31CA5" w:rsidR="00946A91" w:rsidRPr="00B6669B" w:rsidRDefault="00C530A1" w:rsidP="00B6669B">
      <w:pPr>
        <w:pStyle w:val="NormalWeb"/>
        <w:spacing w:before="355" w:beforeAutospacing="0" w:after="240" w:afterAutospacing="0"/>
        <w:ind w:left="720" w:right="58"/>
        <w:jc w:val="both"/>
        <w:rPr>
          <w:rFonts w:ascii="Century Schoolbook" w:hAnsi="Century Schoolbook"/>
        </w:rPr>
      </w:pPr>
      <w:r w:rsidRPr="00B6669B">
        <w:rPr>
          <w:rFonts w:ascii="Century Schoolbook" w:hAnsi="Century Schoolbook"/>
          <w:color w:val="000000"/>
        </w:rPr>
        <w:t xml:space="preserve">• </w:t>
      </w:r>
      <w:r w:rsidR="00946A91" w:rsidRPr="00B6669B">
        <w:rPr>
          <w:rFonts w:ascii="Century Schoolbook" w:hAnsi="Century Schoolbook"/>
          <w:b/>
          <w:iCs/>
          <w:color w:val="000000"/>
        </w:rPr>
        <w:t xml:space="preserve">Close File and Advise Client of </w:t>
      </w:r>
      <w:r w:rsidR="00946A91" w:rsidRPr="00B6669B">
        <w:rPr>
          <w:rFonts w:ascii="Century Schoolbook" w:hAnsi="Century Schoolbook"/>
          <w:b/>
          <w:i/>
          <w:iCs/>
          <w:color w:val="000000"/>
        </w:rPr>
        <w:t>Pro Se</w:t>
      </w:r>
      <w:r w:rsidR="00946A91" w:rsidRPr="00B6669B">
        <w:rPr>
          <w:rFonts w:ascii="Century Schoolbook" w:hAnsi="Century Schoolbook"/>
          <w:b/>
          <w:iCs/>
          <w:color w:val="000000"/>
        </w:rPr>
        <w:t xml:space="preserve"> Options: </w:t>
      </w:r>
      <w:r w:rsidRPr="00B6669B">
        <w:rPr>
          <w:rFonts w:ascii="Century Schoolbook" w:hAnsi="Century Schoolbook"/>
          <w:i/>
          <w:iCs/>
          <w:color w:val="000000"/>
        </w:rPr>
        <w:t xml:space="preserve"> </w:t>
      </w:r>
      <w:r w:rsidRPr="00B6669B">
        <w:rPr>
          <w:rFonts w:ascii="Century Schoolbook" w:hAnsi="Century Schoolbook"/>
          <w:color w:val="000000"/>
        </w:rPr>
        <w:t xml:space="preserve">If appointed appellate counsel concludes there is no reasonable chance of obtaining further review, the representation </w:t>
      </w:r>
      <w:r w:rsidR="00DD6C5F">
        <w:rPr>
          <w:rFonts w:ascii="Century Schoolbook" w:hAnsi="Century Schoolbook"/>
          <w:color w:val="000000"/>
        </w:rPr>
        <w:t>may</w:t>
      </w:r>
      <w:r w:rsidRPr="00B6669B">
        <w:rPr>
          <w:rFonts w:ascii="Century Schoolbook" w:hAnsi="Century Schoolbook"/>
          <w:color w:val="000000"/>
        </w:rPr>
        <w:t xml:space="preserve"> be concluded. Counsel must provide the client basic information on filing a MEBR and PDR </w:t>
      </w:r>
      <w:r w:rsidRPr="00B6669B">
        <w:rPr>
          <w:rFonts w:ascii="Century Schoolbook" w:hAnsi="Century Schoolbook"/>
          <w:i/>
          <w:iCs/>
          <w:color w:val="000000"/>
        </w:rPr>
        <w:t>pro se</w:t>
      </w:r>
      <w:r w:rsidRPr="00B6669B">
        <w:rPr>
          <w:rFonts w:ascii="Century Schoolbook" w:hAnsi="Century Schoolbook"/>
          <w:color w:val="000000"/>
        </w:rPr>
        <w:t xml:space="preserve">. </w:t>
      </w:r>
      <w:r w:rsidR="00B6669B" w:rsidRPr="00B6669B">
        <w:rPr>
          <w:rFonts w:ascii="Century Schoolbook" w:hAnsi="Century Schoolbook"/>
          <w:iCs/>
          <w:color w:val="000000"/>
        </w:rPr>
        <w:t>The</w:t>
      </w:r>
      <w:r w:rsidR="00946A91" w:rsidRPr="00B6669B">
        <w:rPr>
          <w:rFonts w:ascii="Century Schoolbook" w:hAnsi="Century Schoolbook"/>
          <w:i/>
          <w:iCs/>
        </w:rPr>
        <w:t xml:space="preserve"> </w:t>
      </w:r>
      <w:r w:rsidR="00DD6C5F" w:rsidRPr="00DD6C5F">
        <w:rPr>
          <w:rFonts w:ascii="Century Schoolbook" w:hAnsi="Century Schoolbook"/>
        </w:rPr>
        <w:t>relevant</w:t>
      </w:r>
      <w:r w:rsidR="00DD6C5F">
        <w:rPr>
          <w:rFonts w:ascii="Century Schoolbook" w:hAnsi="Century Schoolbook"/>
          <w:i/>
          <w:iCs/>
        </w:rPr>
        <w:t xml:space="preserve"> </w:t>
      </w:r>
      <w:r w:rsidR="00946A91" w:rsidRPr="00B6669B">
        <w:rPr>
          <w:rFonts w:ascii="Century Schoolbook" w:hAnsi="Century Schoolbook"/>
        </w:rPr>
        <w:t xml:space="preserve">IDS </w:t>
      </w:r>
      <w:r w:rsidR="00B6669B">
        <w:rPr>
          <w:rFonts w:ascii="Century Schoolbook" w:hAnsi="Century Schoolbook"/>
        </w:rPr>
        <w:t>p</w:t>
      </w:r>
      <w:r w:rsidR="00946A91" w:rsidRPr="00B6669B">
        <w:rPr>
          <w:rFonts w:ascii="Century Schoolbook" w:hAnsi="Century Schoolbook"/>
        </w:rPr>
        <w:t>olicies</w:t>
      </w:r>
      <w:r w:rsidRPr="00B6669B">
        <w:rPr>
          <w:rFonts w:ascii="Century Schoolbook" w:hAnsi="Century Schoolbook"/>
        </w:rPr>
        <w:t xml:space="preserve"> </w:t>
      </w:r>
      <w:r w:rsidR="00DD6C5F">
        <w:rPr>
          <w:rFonts w:ascii="Century Schoolbook" w:hAnsi="Century Schoolbook"/>
        </w:rPr>
        <w:t>are</w:t>
      </w:r>
      <w:r w:rsidR="00B6669B">
        <w:rPr>
          <w:rFonts w:ascii="Century Schoolbook" w:hAnsi="Century Schoolbook"/>
        </w:rPr>
        <w:t xml:space="preserve"> included in the materials</w:t>
      </w:r>
      <w:r w:rsidR="00946A91" w:rsidRPr="00B6669B">
        <w:rPr>
          <w:rFonts w:ascii="Century Schoolbook" w:hAnsi="Century Schoolbook"/>
        </w:rPr>
        <w:t>.</w:t>
      </w:r>
      <w:r w:rsidR="00B6669B">
        <w:rPr>
          <w:rFonts w:ascii="Century Schoolbook" w:hAnsi="Century Schoolbook"/>
        </w:rPr>
        <w:t xml:space="preserve"> </w:t>
      </w:r>
      <w:r w:rsidRPr="00B6669B">
        <w:rPr>
          <w:rFonts w:ascii="Century Schoolbook" w:hAnsi="Century Schoolbook"/>
          <w:color w:val="000000"/>
        </w:rPr>
        <w:t>Counsel may also refer the client to NCPLS, or proactively contact NCPLS if counsel has identified a promising post</w:t>
      </w:r>
      <w:r w:rsidR="00946A91" w:rsidRPr="00B6669B">
        <w:rPr>
          <w:rFonts w:ascii="Century Schoolbook" w:hAnsi="Century Schoolbook"/>
          <w:color w:val="000000"/>
        </w:rPr>
        <w:t>-</w:t>
      </w:r>
      <w:r w:rsidRPr="00B6669B">
        <w:rPr>
          <w:rFonts w:ascii="Century Schoolbook" w:hAnsi="Century Schoolbook"/>
          <w:color w:val="000000"/>
        </w:rPr>
        <w:t>conviction issue: </w:t>
      </w:r>
    </w:p>
    <w:p w14:paraId="68447F87" w14:textId="77777777" w:rsidR="00946A91" w:rsidRPr="00B6669B" w:rsidRDefault="00C530A1" w:rsidP="0002207A">
      <w:pPr>
        <w:pStyle w:val="NormalWeb"/>
        <w:spacing w:before="0" w:beforeAutospacing="0" w:after="0" w:afterAutospacing="0"/>
        <w:ind w:left="2160" w:right="3648"/>
        <w:rPr>
          <w:rFonts w:ascii="Century Schoolbook" w:hAnsi="Century Schoolbook"/>
          <w:color w:val="000000"/>
        </w:rPr>
      </w:pPr>
      <w:r w:rsidRPr="00B6669B">
        <w:rPr>
          <w:rFonts w:ascii="Century Schoolbook" w:hAnsi="Century Schoolbook"/>
          <w:color w:val="000000"/>
        </w:rPr>
        <w:t>N.C</w:t>
      </w:r>
      <w:r w:rsidR="00946A91" w:rsidRPr="00B6669B">
        <w:rPr>
          <w:rFonts w:ascii="Century Schoolbook" w:hAnsi="Century Schoolbook"/>
          <w:color w:val="000000"/>
        </w:rPr>
        <w:t>. Prisoner Legal Services</w:t>
      </w:r>
    </w:p>
    <w:p w14:paraId="68447F88" w14:textId="77777777" w:rsidR="00946A91" w:rsidRPr="00B6669B" w:rsidRDefault="00F06316" w:rsidP="0002207A">
      <w:pPr>
        <w:pStyle w:val="NormalWeb"/>
        <w:spacing w:before="0" w:beforeAutospacing="0" w:after="0" w:afterAutospacing="0"/>
        <w:ind w:left="1440" w:right="3648" w:firstLine="720"/>
        <w:rPr>
          <w:rFonts w:ascii="Century Schoolbook" w:hAnsi="Century Schoolbook"/>
          <w:color w:val="000000"/>
        </w:rPr>
      </w:pPr>
      <w:r w:rsidRPr="00B6669B">
        <w:rPr>
          <w:rFonts w:ascii="Century Schoolbook" w:hAnsi="Century Schoolbook"/>
          <w:color w:val="000000"/>
        </w:rPr>
        <w:t>PO</w:t>
      </w:r>
      <w:r w:rsidR="00946A91" w:rsidRPr="00B6669B">
        <w:rPr>
          <w:rFonts w:ascii="Century Schoolbook" w:hAnsi="Century Schoolbook"/>
          <w:color w:val="000000"/>
        </w:rPr>
        <w:t xml:space="preserve"> Box 25397</w:t>
      </w:r>
    </w:p>
    <w:p w14:paraId="68447F89" w14:textId="77777777" w:rsidR="005A67BD" w:rsidRDefault="00946A91" w:rsidP="0002207A">
      <w:pPr>
        <w:pStyle w:val="NormalWeb"/>
        <w:spacing w:before="0" w:beforeAutospacing="0" w:after="0" w:afterAutospacing="0"/>
        <w:ind w:left="1440" w:right="3648" w:firstLine="720"/>
        <w:rPr>
          <w:rFonts w:ascii="Century Schoolbook" w:hAnsi="Century Schoolbook"/>
          <w:color w:val="000000"/>
        </w:rPr>
      </w:pPr>
      <w:r w:rsidRPr="00B6669B">
        <w:rPr>
          <w:rFonts w:ascii="Century Schoolbook" w:hAnsi="Century Schoolbook"/>
          <w:color w:val="000000"/>
        </w:rPr>
        <w:t>Raleigh, NC 27611</w:t>
      </w:r>
    </w:p>
    <w:p w14:paraId="68447F8A"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r>
        <w:rPr>
          <w:rFonts w:ascii="Century Schoolbook" w:hAnsi="Century Schoolbook"/>
          <w:color w:val="000000"/>
        </w:rPr>
        <w:t>919.856.2200</w:t>
      </w:r>
    </w:p>
    <w:p w14:paraId="68447F8B"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r>
        <w:rPr>
          <w:rFonts w:ascii="Century Schoolbook" w:hAnsi="Century Schoolbook"/>
          <w:color w:val="000000"/>
        </w:rPr>
        <w:t>ncpls@ncpls.org</w:t>
      </w:r>
    </w:p>
    <w:p w14:paraId="68447F8C"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8D"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8E"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8F"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90"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91"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92" w14:textId="77777777" w:rsidR="00B6669B" w:rsidRPr="00B6669B" w:rsidRDefault="00B6669B" w:rsidP="0002207A">
      <w:pPr>
        <w:pStyle w:val="NormalWeb"/>
        <w:spacing w:before="0" w:beforeAutospacing="0" w:after="0" w:afterAutospacing="0"/>
        <w:ind w:left="1440" w:right="3648" w:firstLine="720"/>
        <w:rPr>
          <w:rFonts w:ascii="Century Schoolbook" w:hAnsi="Century Schoolbook"/>
          <w:color w:val="000000"/>
        </w:rPr>
      </w:pPr>
    </w:p>
    <w:p w14:paraId="68447F95" w14:textId="77777777" w:rsidR="00B6669B" w:rsidRPr="00B6669B" w:rsidRDefault="00B6669B" w:rsidP="006E24E3">
      <w:pPr>
        <w:pStyle w:val="NormalWeb"/>
        <w:spacing w:before="0" w:beforeAutospacing="0" w:after="0" w:afterAutospacing="0" w:line="276" w:lineRule="auto"/>
        <w:rPr>
          <w:rFonts w:ascii="Century Schoolbook" w:hAnsi="Century Schoolbook"/>
          <w:b/>
          <w:bCs/>
          <w:color w:val="000000"/>
          <w:u w:val="single"/>
        </w:rPr>
      </w:pPr>
    </w:p>
    <w:p w14:paraId="68447F96" w14:textId="77777777" w:rsidR="005A67BD" w:rsidRPr="00B6669B" w:rsidRDefault="005A67BD" w:rsidP="000542C7">
      <w:pPr>
        <w:pStyle w:val="NormalWeb"/>
        <w:spacing w:before="0" w:beforeAutospacing="0" w:after="0" w:afterAutospacing="0" w:line="276" w:lineRule="auto"/>
        <w:jc w:val="center"/>
        <w:rPr>
          <w:rFonts w:ascii="Century Schoolbook" w:hAnsi="Century Schoolbook"/>
          <w:u w:val="single"/>
        </w:rPr>
      </w:pPr>
      <w:r w:rsidRPr="00B6669B">
        <w:rPr>
          <w:rFonts w:ascii="Century Schoolbook" w:hAnsi="Century Schoolbook"/>
          <w:b/>
          <w:bCs/>
          <w:color w:val="000000"/>
          <w:u w:val="single"/>
        </w:rPr>
        <w:lastRenderedPageBreak/>
        <w:t>Post-Decision Pleadings and Considerations</w:t>
      </w:r>
    </w:p>
    <w:p w14:paraId="68447F97" w14:textId="77777777" w:rsidR="00C530A1" w:rsidRPr="00B6669B" w:rsidRDefault="005A67BD" w:rsidP="00C530A1">
      <w:pPr>
        <w:pStyle w:val="NormalWeb"/>
        <w:spacing w:before="336" w:beforeAutospacing="0" w:after="0" w:afterAutospacing="0"/>
        <w:ind w:right="120"/>
        <w:jc w:val="both"/>
        <w:rPr>
          <w:rFonts w:ascii="Century Schoolbook" w:hAnsi="Century Schoolbook"/>
          <w:b/>
        </w:rPr>
      </w:pPr>
      <w:r w:rsidRPr="00B6669B">
        <w:rPr>
          <w:rFonts w:ascii="Century Schoolbook" w:hAnsi="Century Schoolbook"/>
          <w:b/>
          <w:color w:val="000000"/>
        </w:rPr>
        <w:t>A</w:t>
      </w:r>
      <w:r w:rsidR="00C530A1" w:rsidRPr="00B6669B">
        <w:rPr>
          <w:rFonts w:ascii="Century Schoolbook" w:hAnsi="Century Schoolbook"/>
          <w:b/>
          <w:color w:val="000000"/>
        </w:rPr>
        <w:t>. Motion to Stay Issua</w:t>
      </w:r>
      <w:r w:rsidR="00B154AB" w:rsidRPr="00B6669B">
        <w:rPr>
          <w:rFonts w:ascii="Century Schoolbook" w:hAnsi="Century Schoolbook"/>
          <w:b/>
          <w:color w:val="000000"/>
        </w:rPr>
        <w:t>nc</w:t>
      </w:r>
      <w:r w:rsidR="006E24E3">
        <w:rPr>
          <w:rFonts w:ascii="Century Schoolbook" w:hAnsi="Century Schoolbook"/>
          <w:b/>
          <w:color w:val="000000"/>
        </w:rPr>
        <w:t xml:space="preserve">e of the Mandate and Withdraw/Amend </w:t>
      </w:r>
      <w:r w:rsidR="00C530A1" w:rsidRPr="00B6669B">
        <w:rPr>
          <w:rFonts w:ascii="Century Schoolbook" w:hAnsi="Century Schoolbook"/>
          <w:b/>
          <w:color w:val="000000"/>
        </w:rPr>
        <w:t>Opinion</w:t>
      </w:r>
    </w:p>
    <w:p w14:paraId="68447F98" w14:textId="2C23F0B0" w:rsidR="00C530A1" w:rsidRPr="00B6669B" w:rsidRDefault="00C530A1" w:rsidP="0002207A">
      <w:pPr>
        <w:pStyle w:val="NormalWeb"/>
        <w:spacing w:before="341" w:beforeAutospacing="0" w:after="0" w:afterAutospacing="0"/>
        <w:ind w:right="10" w:firstLine="720"/>
        <w:jc w:val="both"/>
        <w:rPr>
          <w:rFonts w:ascii="Century Schoolbook" w:hAnsi="Century Schoolbook"/>
          <w:color w:val="000000"/>
        </w:rPr>
      </w:pPr>
      <w:r w:rsidRPr="00B6669B">
        <w:rPr>
          <w:rFonts w:ascii="Century Schoolbook" w:hAnsi="Century Schoolbook"/>
          <w:color w:val="000000"/>
        </w:rPr>
        <w:t xml:space="preserve">Even though the Appellate Rules prohibit motions for panel rehearing of criminal cases, N.C. R. App. P. 31(g), it is occasionally appropriate to ask the panel to correct a manifest error before certifying its opinion to the trial court. Such a motion should be filed as soon as possible since jurisdiction reverts to the trial court upon issuance of the mandate 20 days after filing of the opinion. N.C. R. App. P. 32(b). Motions of this type are typically styled “Motion to Stay Mandate and </w:t>
      </w:r>
      <w:r w:rsidR="006E24E3">
        <w:rPr>
          <w:rFonts w:ascii="Century Schoolbook" w:hAnsi="Century Schoolbook"/>
          <w:color w:val="000000"/>
        </w:rPr>
        <w:t>Withdraw and Amend Opinion</w:t>
      </w:r>
      <w:r w:rsidRPr="00B6669B">
        <w:rPr>
          <w:rFonts w:ascii="Century Schoolbook" w:hAnsi="Century Schoolbook"/>
          <w:color w:val="000000"/>
        </w:rPr>
        <w:t xml:space="preserve">,” and cite </w:t>
      </w:r>
      <w:r w:rsidR="00DD6C5F">
        <w:rPr>
          <w:rFonts w:ascii="Century Schoolbook" w:hAnsi="Century Schoolbook"/>
          <w:color w:val="000000"/>
        </w:rPr>
        <w:t>Rule</w:t>
      </w:r>
      <w:r w:rsidRPr="00B6669B">
        <w:rPr>
          <w:rFonts w:ascii="Century Schoolbook" w:hAnsi="Century Schoolbook"/>
          <w:color w:val="000000"/>
        </w:rPr>
        <w:t xml:space="preserve"> 2 (allowing suspension of rules), since there is no express provision for such relief. </w:t>
      </w:r>
    </w:p>
    <w:p w14:paraId="68447F99" w14:textId="77777777" w:rsidR="0002207A" w:rsidRPr="00B6669B" w:rsidRDefault="0002207A" w:rsidP="0002207A">
      <w:pPr>
        <w:pStyle w:val="NormalWeb"/>
        <w:spacing w:before="341" w:beforeAutospacing="0" w:after="0" w:afterAutospacing="0"/>
        <w:ind w:right="10" w:firstLine="720"/>
        <w:jc w:val="both"/>
        <w:rPr>
          <w:rFonts w:ascii="Century Schoolbook" w:hAnsi="Century Schoolbook"/>
          <w:color w:val="000000"/>
        </w:rPr>
      </w:pPr>
      <w:r w:rsidRPr="00B6669B">
        <w:rPr>
          <w:rFonts w:ascii="Century Schoolbook" w:hAnsi="Century Schoolbook"/>
          <w:color w:val="000000"/>
        </w:rPr>
        <w:t xml:space="preserve">A </w:t>
      </w:r>
      <w:r w:rsidR="00A37F13">
        <w:rPr>
          <w:rFonts w:ascii="Century Schoolbook" w:hAnsi="Century Schoolbook"/>
          <w:color w:val="000000"/>
        </w:rPr>
        <w:t>m</w:t>
      </w:r>
      <w:r w:rsidRPr="00B6669B">
        <w:rPr>
          <w:rFonts w:ascii="Century Schoolbook" w:hAnsi="Century Schoolbook"/>
          <w:color w:val="000000"/>
        </w:rPr>
        <w:t xml:space="preserve">otion to </w:t>
      </w:r>
      <w:r w:rsidR="00A37F13">
        <w:rPr>
          <w:rFonts w:ascii="Century Schoolbook" w:hAnsi="Century Schoolbook"/>
          <w:color w:val="000000"/>
        </w:rPr>
        <w:t>s</w:t>
      </w:r>
      <w:r w:rsidRPr="00B6669B">
        <w:rPr>
          <w:rFonts w:ascii="Century Schoolbook" w:hAnsi="Century Schoolbook"/>
          <w:color w:val="000000"/>
        </w:rPr>
        <w:t xml:space="preserve">tay, </w:t>
      </w:r>
      <w:r w:rsidR="00A37F13">
        <w:rPr>
          <w:rFonts w:ascii="Century Schoolbook" w:hAnsi="Century Schoolbook"/>
          <w:color w:val="000000"/>
        </w:rPr>
        <w:t>w</w:t>
      </w:r>
      <w:r w:rsidRPr="00B6669B">
        <w:rPr>
          <w:rFonts w:ascii="Century Schoolbook" w:hAnsi="Century Schoolbook"/>
          <w:color w:val="000000"/>
        </w:rPr>
        <w:t xml:space="preserve">ithdraw, and </w:t>
      </w:r>
      <w:r w:rsidR="00A37F13">
        <w:rPr>
          <w:rFonts w:ascii="Century Schoolbook" w:hAnsi="Century Schoolbook"/>
          <w:color w:val="000000"/>
        </w:rPr>
        <w:t>a</w:t>
      </w:r>
      <w:r w:rsidRPr="00B6669B">
        <w:rPr>
          <w:rFonts w:ascii="Century Schoolbook" w:hAnsi="Century Schoolbook"/>
          <w:color w:val="000000"/>
        </w:rPr>
        <w:t>mend can be a useful tool when the panel makes an obvious legal or factual mistake which, if corrected, could potentially change the result. However, this happens fairly infrequently. Use th</w:t>
      </w:r>
      <w:r w:rsidR="00236864" w:rsidRPr="00B6669B">
        <w:rPr>
          <w:rFonts w:ascii="Century Schoolbook" w:hAnsi="Century Schoolbook"/>
          <w:color w:val="000000"/>
        </w:rPr>
        <w:t>e motion sparingly. It is not a license</w:t>
      </w:r>
      <w:r w:rsidRPr="00B6669B">
        <w:rPr>
          <w:rFonts w:ascii="Century Schoolbook" w:hAnsi="Century Schoolbook"/>
          <w:color w:val="000000"/>
        </w:rPr>
        <w:t xml:space="preserve"> to re-argue your case. </w:t>
      </w:r>
    </w:p>
    <w:p w14:paraId="68447F9A" w14:textId="77777777" w:rsidR="00B154AB" w:rsidRPr="00B6669B" w:rsidRDefault="00A37F13" w:rsidP="0002207A">
      <w:pPr>
        <w:pStyle w:val="NormalWeb"/>
        <w:spacing w:before="341" w:beforeAutospacing="0" w:after="0" w:afterAutospacing="0"/>
        <w:ind w:right="10" w:firstLine="720"/>
        <w:jc w:val="both"/>
        <w:rPr>
          <w:rFonts w:ascii="Century Schoolbook" w:hAnsi="Century Schoolbook"/>
        </w:rPr>
      </w:pPr>
      <w:r>
        <w:rPr>
          <w:rFonts w:ascii="Century Schoolbook" w:hAnsi="Century Schoolbook"/>
          <w:color w:val="000000"/>
        </w:rPr>
        <w:t>I</w:t>
      </w:r>
      <w:r w:rsidR="00B154AB" w:rsidRPr="00B6669B">
        <w:rPr>
          <w:rFonts w:ascii="Century Schoolbook" w:hAnsi="Century Schoolbook"/>
          <w:color w:val="000000"/>
        </w:rPr>
        <w:t>t may make sense</w:t>
      </w:r>
      <w:r>
        <w:rPr>
          <w:rFonts w:ascii="Century Schoolbook" w:hAnsi="Century Schoolbook"/>
          <w:color w:val="000000"/>
        </w:rPr>
        <w:t xml:space="preserve"> to couple your Motion to Stay </w:t>
      </w:r>
      <w:r w:rsidR="00B154AB" w:rsidRPr="00B6669B">
        <w:rPr>
          <w:rFonts w:ascii="Century Schoolbook" w:hAnsi="Century Schoolbook"/>
          <w:color w:val="000000"/>
        </w:rPr>
        <w:t xml:space="preserve">with a Motion for </w:t>
      </w:r>
      <w:r w:rsidR="00B154AB" w:rsidRPr="00B6669B">
        <w:rPr>
          <w:rFonts w:ascii="Century Schoolbook" w:hAnsi="Century Schoolbook"/>
          <w:i/>
          <w:color w:val="000000"/>
        </w:rPr>
        <w:t>En Banc</w:t>
      </w:r>
      <w:r w:rsidR="00B154AB" w:rsidRPr="00B6669B">
        <w:rPr>
          <w:rFonts w:ascii="Century Schoolbook" w:hAnsi="Century Schoolbook"/>
          <w:color w:val="000000"/>
        </w:rPr>
        <w:t xml:space="preserve"> Rehearing. </w:t>
      </w:r>
    </w:p>
    <w:p w14:paraId="68447F9B" w14:textId="77777777" w:rsidR="0002207A" w:rsidRPr="00B6669B" w:rsidRDefault="0002207A" w:rsidP="00C530A1">
      <w:pPr>
        <w:rPr>
          <w:rFonts w:ascii="Century Schoolbook" w:hAnsi="Century Schoolbook"/>
        </w:rPr>
      </w:pPr>
    </w:p>
    <w:p w14:paraId="68447F9C" w14:textId="77777777" w:rsidR="00C530A1" w:rsidRPr="00B6669B" w:rsidRDefault="0002207A" w:rsidP="00613E61">
      <w:pPr>
        <w:pStyle w:val="NormalWeb"/>
        <w:spacing w:before="38" w:beforeAutospacing="0" w:after="0" w:afterAutospacing="0"/>
        <w:ind w:right="240"/>
        <w:jc w:val="both"/>
        <w:rPr>
          <w:rFonts w:ascii="Century Schoolbook" w:hAnsi="Century Schoolbook"/>
          <w:b/>
        </w:rPr>
      </w:pPr>
      <w:r w:rsidRPr="00B6669B">
        <w:rPr>
          <w:rFonts w:ascii="Century Schoolbook" w:hAnsi="Century Schoolbook"/>
          <w:b/>
          <w:color w:val="000000"/>
        </w:rPr>
        <w:t>B</w:t>
      </w:r>
      <w:r w:rsidR="00C530A1" w:rsidRPr="00B6669B">
        <w:rPr>
          <w:rFonts w:ascii="Century Schoolbook" w:hAnsi="Century Schoolbook"/>
          <w:b/>
          <w:color w:val="000000"/>
        </w:rPr>
        <w:t xml:space="preserve">. Motion for </w:t>
      </w:r>
      <w:r w:rsidR="00C530A1" w:rsidRPr="00B6669B">
        <w:rPr>
          <w:rFonts w:ascii="Century Schoolbook" w:hAnsi="Century Schoolbook"/>
          <w:b/>
          <w:i/>
          <w:color w:val="000000"/>
        </w:rPr>
        <w:t>En Banc</w:t>
      </w:r>
      <w:r w:rsidR="00C530A1" w:rsidRPr="00B6669B">
        <w:rPr>
          <w:rFonts w:ascii="Century Schoolbook" w:hAnsi="Century Schoolbook"/>
          <w:b/>
          <w:color w:val="000000"/>
        </w:rPr>
        <w:t xml:space="preserve"> Rehearing (</w:t>
      </w:r>
      <w:proofErr w:type="spellStart"/>
      <w:r w:rsidR="00C530A1" w:rsidRPr="00B6669B">
        <w:rPr>
          <w:rFonts w:ascii="Century Schoolbook" w:hAnsi="Century Schoolbook"/>
          <w:b/>
          <w:color w:val="000000"/>
        </w:rPr>
        <w:t>MEBR</w:t>
      </w:r>
      <w:proofErr w:type="spellEnd"/>
      <w:r w:rsidR="00C530A1" w:rsidRPr="00B6669B">
        <w:rPr>
          <w:rFonts w:ascii="Century Schoolbook" w:hAnsi="Century Schoolbook"/>
          <w:b/>
          <w:color w:val="000000"/>
        </w:rPr>
        <w:t>)</w:t>
      </w:r>
    </w:p>
    <w:p w14:paraId="68447F9D" w14:textId="77777777" w:rsidR="00C530A1" w:rsidRPr="00B6669B" w:rsidRDefault="00C530A1" w:rsidP="00613E61">
      <w:pPr>
        <w:pStyle w:val="NormalWeb"/>
        <w:spacing w:before="336" w:beforeAutospacing="0" w:after="0" w:afterAutospacing="0"/>
        <w:ind w:right="24" w:firstLine="720"/>
        <w:jc w:val="both"/>
        <w:rPr>
          <w:rFonts w:ascii="Century Schoolbook" w:hAnsi="Century Schoolbook"/>
        </w:rPr>
      </w:pPr>
      <w:r w:rsidRPr="00B6669B">
        <w:rPr>
          <w:rFonts w:ascii="Century Schoolbook" w:hAnsi="Century Schoolbook"/>
          <w:color w:val="000000"/>
        </w:rPr>
        <w:t xml:space="preserve">Hearing </w:t>
      </w:r>
      <w:proofErr w:type="spellStart"/>
      <w:r w:rsidRPr="00B6669B">
        <w:rPr>
          <w:rFonts w:ascii="Century Schoolbook" w:hAnsi="Century Schoolbook"/>
          <w:i/>
          <w:iCs/>
          <w:color w:val="000000"/>
        </w:rPr>
        <w:t>en</w:t>
      </w:r>
      <w:proofErr w:type="spellEnd"/>
      <w:r w:rsidRPr="00B6669B">
        <w:rPr>
          <w:rFonts w:ascii="Century Schoolbook" w:hAnsi="Century Schoolbook"/>
          <w:i/>
          <w:iCs/>
          <w:color w:val="000000"/>
        </w:rPr>
        <w:t xml:space="preserve"> banc </w:t>
      </w:r>
      <w:r w:rsidR="0002207A" w:rsidRPr="00B6669B">
        <w:rPr>
          <w:rFonts w:ascii="Century Schoolbook" w:hAnsi="Century Schoolbook"/>
          <w:color w:val="000000"/>
        </w:rPr>
        <w:t>was first authorized in</w:t>
      </w:r>
      <w:r w:rsidRPr="00B6669B">
        <w:rPr>
          <w:rFonts w:ascii="Century Schoolbook" w:hAnsi="Century Schoolbook"/>
          <w:color w:val="000000"/>
        </w:rPr>
        <w:t xml:space="preserve"> December 2016. A majority of all the COA judges is required to grant a MEBR, but only a quorum (defined as a majority of the judges) is necessary to constitute the COA sitting </w:t>
      </w:r>
      <w:proofErr w:type="spellStart"/>
      <w:r w:rsidRPr="00B6669B">
        <w:rPr>
          <w:rFonts w:ascii="Century Schoolbook" w:hAnsi="Century Schoolbook"/>
          <w:i/>
          <w:iCs/>
          <w:color w:val="000000"/>
        </w:rPr>
        <w:t>en</w:t>
      </w:r>
      <w:proofErr w:type="spellEnd"/>
      <w:r w:rsidRPr="00B6669B">
        <w:rPr>
          <w:rFonts w:ascii="Century Schoolbook" w:hAnsi="Century Schoolbook"/>
          <w:i/>
          <w:iCs/>
          <w:color w:val="000000"/>
        </w:rPr>
        <w:t xml:space="preserve"> banc</w:t>
      </w:r>
      <w:r w:rsidRPr="00B6669B">
        <w:rPr>
          <w:rFonts w:ascii="Century Schoolbook" w:hAnsi="Century Schoolbook"/>
          <w:color w:val="000000"/>
        </w:rPr>
        <w:t xml:space="preserve">. N.C.G.S. § 7A-16. The form and content of a MEBR </w:t>
      </w:r>
      <w:r w:rsidR="0002207A" w:rsidRPr="00B6669B">
        <w:rPr>
          <w:rFonts w:ascii="Century Schoolbook" w:hAnsi="Century Schoolbook"/>
          <w:color w:val="000000"/>
        </w:rPr>
        <w:t>is</w:t>
      </w:r>
      <w:r w:rsidRPr="00B6669B">
        <w:rPr>
          <w:rFonts w:ascii="Century Schoolbook" w:hAnsi="Century Schoolbook"/>
          <w:color w:val="000000"/>
        </w:rPr>
        <w:t xml:space="preserve"> not defined, except that it “shall explain with particularity why </w:t>
      </w:r>
      <w:proofErr w:type="spellStart"/>
      <w:r w:rsidRPr="00B6669B">
        <w:rPr>
          <w:rFonts w:ascii="Century Schoolbook" w:hAnsi="Century Schoolbook"/>
          <w:i/>
          <w:iCs/>
          <w:color w:val="000000"/>
        </w:rPr>
        <w:t>en</w:t>
      </w:r>
      <w:proofErr w:type="spellEnd"/>
      <w:r w:rsidRPr="00B6669B">
        <w:rPr>
          <w:rFonts w:ascii="Century Schoolbook" w:hAnsi="Century Schoolbook"/>
          <w:i/>
          <w:iCs/>
          <w:color w:val="000000"/>
        </w:rPr>
        <w:t xml:space="preserve"> banc </w:t>
      </w:r>
      <w:r w:rsidRPr="00B6669B">
        <w:rPr>
          <w:rFonts w:ascii="Century Schoolbook" w:hAnsi="Century Schoolbook"/>
          <w:color w:val="000000"/>
        </w:rPr>
        <w:t xml:space="preserve">consideration is necessary,” N.C. R. App. P. 31.1(b), and that </w:t>
      </w:r>
      <w:proofErr w:type="spellStart"/>
      <w:r w:rsidRPr="00B6669B">
        <w:rPr>
          <w:rFonts w:ascii="Century Schoolbook" w:hAnsi="Century Schoolbook"/>
          <w:i/>
          <w:iCs/>
          <w:color w:val="000000"/>
        </w:rPr>
        <w:t>en</w:t>
      </w:r>
      <w:proofErr w:type="spellEnd"/>
      <w:r w:rsidRPr="00B6669B">
        <w:rPr>
          <w:rFonts w:ascii="Century Schoolbook" w:hAnsi="Century Schoolbook"/>
          <w:i/>
          <w:iCs/>
          <w:color w:val="000000"/>
        </w:rPr>
        <w:t xml:space="preserve"> banc </w:t>
      </w:r>
      <w:r w:rsidRPr="00B6669B">
        <w:rPr>
          <w:rFonts w:ascii="Century Schoolbook" w:hAnsi="Century Schoolbook"/>
          <w:color w:val="000000"/>
        </w:rPr>
        <w:t>review “ordinarily will not be ordered unless . . . necessary to secure or maintain uniformity of the court’s decisions[,] or the case involves a question of exceptional importance that must be concisely stated.” N.C. R. App. P. 31.1(a) </w:t>
      </w:r>
    </w:p>
    <w:p w14:paraId="68447F9E" w14:textId="77777777" w:rsidR="00A37F13" w:rsidRPr="00B6669B" w:rsidRDefault="00A37F13" w:rsidP="00A37F13">
      <w:pPr>
        <w:pStyle w:val="NormalWeb"/>
        <w:spacing w:before="317" w:beforeAutospacing="0" w:after="0" w:afterAutospacing="0"/>
        <w:ind w:right="29" w:firstLine="720"/>
        <w:jc w:val="both"/>
        <w:rPr>
          <w:rFonts w:ascii="Century Schoolbook" w:hAnsi="Century Schoolbook"/>
        </w:rPr>
      </w:pPr>
      <w:r w:rsidRPr="00B6669B">
        <w:rPr>
          <w:rFonts w:ascii="Century Schoolbook" w:hAnsi="Century Schoolbook"/>
        </w:rPr>
        <w:t xml:space="preserve">A MEBR must be filed </w:t>
      </w:r>
      <w:r w:rsidRPr="00B6669B">
        <w:rPr>
          <w:rFonts w:ascii="Century Schoolbook" w:hAnsi="Century Schoolbook"/>
          <w:color w:val="000000"/>
        </w:rPr>
        <w:t xml:space="preserve">within 15 days of the panel opinion. The opposing party may file a response within 10 days of service, and the COA must grant or deny </w:t>
      </w:r>
      <w:proofErr w:type="spellStart"/>
      <w:r w:rsidRPr="00B6669B">
        <w:rPr>
          <w:rFonts w:ascii="Century Schoolbook" w:hAnsi="Century Schoolbook"/>
          <w:i/>
          <w:color w:val="000000"/>
        </w:rPr>
        <w:t>en</w:t>
      </w:r>
      <w:proofErr w:type="spellEnd"/>
      <w:r w:rsidRPr="00B6669B">
        <w:rPr>
          <w:rFonts w:ascii="Century Schoolbook" w:hAnsi="Century Schoolbook"/>
          <w:i/>
          <w:color w:val="000000"/>
        </w:rPr>
        <w:t xml:space="preserve"> banc </w:t>
      </w:r>
      <w:r w:rsidRPr="00B6669B">
        <w:rPr>
          <w:rFonts w:ascii="Century Schoolbook" w:hAnsi="Century Schoolbook"/>
          <w:color w:val="000000"/>
        </w:rPr>
        <w:t xml:space="preserve">review within 30 days of the MEBR’s filing. N.C. R. App. P. 31.1(d). If the MEBR is granted, the </w:t>
      </w:r>
      <w:proofErr w:type="spellStart"/>
      <w:r w:rsidRPr="00B6669B">
        <w:rPr>
          <w:rFonts w:ascii="Century Schoolbook" w:hAnsi="Century Schoolbook"/>
          <w:i/>
          <w:iCs/>
          <w:color w:val="000000"/>
        </w:rPr>
        <w:t>en</w:t>
      </w:r>
      <w:proofErr w:type="spellEnd"/>
      <w:r w:rsidRPr="00B6669B">
        <w:rPr>
          <w:rFonts w:ascii="Century Schoolbook" w:hAnsi="Century Schoolbook"/>
          <w:i/>
          <w:iCs/>
          <w:color w:val="000000"/>
        </w:rPr>
        <w:t xml:space="preserve"> banc </w:t>
      </w:r>
      <w:r w:rsidRPr="00B6669B">
        <w:rPr>
          <w:rFonts w:ascii="Century Schoolbook" w:hAnsi="Century Schoolbook"/>
          <w:color w:val="000000"/>
        </w:rPr>
        <w:t>COA will reconsider the cased based upon the existing appellate record, the MEBR, and any response to the MEBR. New briefs and oral argument may be requested by the Court, but are not automatic. N.C. R. App. P. 31.1(d)</w:t>
      </w:r>
      <w:r w:rsidRPr="00B6669B">
        <w:rPr>
          <w:rFonts w:ascii="Century Schoolbook" w:hAnsi="Century Schoolbook"/>
          <w:i/>
          <w:iCs/>
          <w:color w:val="000000"/>
        </w:rPr>
        <w:t>. </w:t>
      </w:r>
    </w:p>
    <w:p w14:paraId="68447F9F" w14:textId="77777777" w:rsidR="00A37F13" w:rsidRPr="00B6669B" w:rsidRDefault="00A37F13" w:rsidP="00A37F13">
      <w:pPr>
        <w:pStyle w:val="NormalWeb"/>
        <w:spacing w:before="336" w:beforeAutospacing="0" w:after="0" w:afterAutospacing="0"/>
        <w:ind w:right="58" w:firstLine="720"/>
        <w:jc w:val="both"/>
        <w:rPr>
          <w:rFonts w:ascii="Century Schoolbook" w:hAnsi="Century Schoolbook"/>
          <w:color w:val="000000"/>
        </w:rPr>
      </w:pPr>
      <w:r w:rsidRPr="00B6669B">
        <w:rPr>
          <w:rFonts w:ascii="Century Schoolbook" w:hAnsi="Century Schoolbook"/>
          <w:color w:val="000000"/>
        </w:rPr>
        <w:t xml:space="preserve">Filing a MEBR does not automatically stay issuance of the mandate to the trial court. Such a stay must be requested. N.C. R. App. P. 31.1(e) (“[T]he movant may obtain a stay of the mandate from the Court”). A motion to stay mandate must </w:t>
      </w:r>
      <w:r w:rsidRPr="00B6669B">
        <w:rPr>
          <w:rFonts w:ascii="Century Schoolbook" w:hAnsi="Century Schoolbook"/>
          <w:color w:val="000000"/>
        </w:rPr>
        <w:lastRenderedPageBreak/>
        <w:t>be filed where the client would otherwise face immediate consequences (</w:t>
      </w:r>
      <w:r w:rsidRPr="00B6669B">
        <w:rPr>
          <w:rFonts w:ascii="Century Schoolbook" w:hAnsi="Century Schoolbook"/>
          <w:i/>
          <w:iCs/>
          <w:color w:val="000000"/>
        </w:rPr>
        <w:t xml:space="preserve">e.g., </w:t>
      </w:r>
      <w:r w:rsidRPr="00B6669B">
        <w:rPr>
          <w:rFonts w:ascii="Century Schoolbook" w:hAnsi="Century Schoolbook"/>
          <w:color w:val="000000"/>
        </w:rPr>
        <w:t>activation of probation conditions, termination of an appeal bond</w:t>
      </w:r>
      <w:r>
        <w:rPr>
          <w:rFonts w:ascii="Century Schoolbook" w:hAnsi="Century Schoolbook"/>
          <w:color w:val="000000"/>
        </w:rPr>
        <w:t>, etc.</w:t>
      </w:r>
      <w:r w:rsidRPr="00B6669B">
        <w:rPr>
          <w:rFonts w:ascii="Century Schoolbook" w:hAnsi="Century Schoolbook"/>
          <w:color w:val="000000"/>
        </w:rPr>
        <w:t>). Best practice</w:t>
      </w:r>
      <w:r>
        <w:rPr>
          <w:rFonts w:ascii="Century Schoolbook" w:hAnsi="Century Schoolbook"/>
          <w:color w:val="000000"/>
        </w:rPr>
        <w:t xml:space="preserve"> is to seek a stay every time you file a MEBR</w:t>
      </w:r>
      <w:r w:rsidRPr="00B6669B">
        <w:rPr>
          <w:rFonts w:ascii="Century Schoolbook" w:hAnsi="Century Schoolbook"/>
          <w:color w:val="000000"/>
        </w:rPr>
        <w:t xml:space="preserve">, if for no other reason than to avoid </w:t>
      </w:r>
      <w:r>
        <w:rPr>
          <w:rFonts w:ascii="Century Schoolbook" w:hAnsi="Century Schoolbook"/>
          <w:color w:val="000000"/>
        </w:rPr>
        <w:t xml:space="preserve">future </w:t>
      </w:r>
      <w:r w:rsidRPr="00B6669B">
        <w:rPr>
          <w:rFonts w:ascii="Century Schoolbook" w:hAnsi="Century Schoolbook"/>
          <w:color w:val="000000"/>
        </w:rPr>
        <w:t xml:space="preserve">deadline uncertainty in the event the COA grants </w:t>
      </w:r>
      <w:proofErr w:type="spellStart"/>
      <w:r w:rsidRPr="00B6669B">
        <w:rPr>
          <w:rFonts w:ascii="Century Schoolbook" w:hAnsi="Century Schoolbook"/>
          <w:i/>
          <w:color w:val="000000"/>
        </w:rPr>
        <w:t>en</w:t>
      </w:r>
      <w:proofErr w:type="spellEnd"/>
      <w:r w:rsidRPr="00B6669B">
        <w:rPr>
          <w:rFonts w:ascii="Century Schoolbook" w:hAnsi="Century Schoolbook"/>
          <w:i/>
          <w:color w:val="000000"/>
        </w:rPr>
        <w:t xml:space="preserve"> banc</w:t>
      </w:r>
      <w:r w:rsidRPr="00B6669B">
        <w:rPr>
          <w:rFonts w:ascii="Century Schoolbook" w:hAnsi="Century Schoolbook"/>
          <w:color w:val="000000"/>
        </w:rPr>
        <w:t xml:space="preserve"> rehearing. </w:t>
      </w:r>
    </w:p>
    <w:p w14:paraId="68447FA0" w14:textId="77777777" w:rsidR="00C530A1" w:rsidRPr="00B6669B" w:rsidRDefault="00C530A1" w:rsidP="00613E61">
      <w:pPr>
        <w:pStyle w:val="NormalWeb"/>
        <w:spacing w:before="312" w:beforeAutospacing="0" w:after="0" w:afterAutospacing="0"/>
        <w:ind w:firstLine="720"/>
        <w:jc w:val="both"/>
        <w:rPr>
          <w:rFonts w:ascii="Century Schoolbook" w:hAnsi="Century Schoolbook"/>
        </w:rPr>
      </w:pPr>
      <w:r w:rsidRPr="00B6669B">
        <w:rPr>
          <w:rFonts w:ascii="Century Schoolbook" w:hAnsi="Century Schoolbook"/>
          <w:color w:val="000000"/>
        </w:rPr>
        <w:t xml:space="preserve">Whether or not to file a MEBR is “committed to appellate counsel’s </w:t>
      </w:r>
      <w:r w:rsidRPr="00B6669B">
        <w:rPr>
          <w:rFonts w:ascii="Century Schoolbook" w:hAnsi="Century Schoolbook"/>
        </w:rPr>
        <w:t>reasonable professional judgment,” with a maximum of 10 hours compensable. Prior client authorization is not required due to</w:t>
      </w:r>
      <w:r w:rsidR="0002207A" w:rsidRPr="00B6669B">
        <w:rPr>
          <w:rFonts w:ascii="Century Schoolbook" w:hAnsi="Century Schoolbook"/>
        </w:rPr>
        <w:t xml:space="preserve"> </w:t>
      </w:r>
      <w:r w:rsidRPr="00B6669B">
        <w:rPr>
          <w:rFonts w:ascii="Century Schoolbook" w:hAnsi="Century Schoolbook"/>
        </w:rPr>
        <w:t xml:space="preserve">the short deadline. </w:t>
      </w:r>
      <w:r w:rsidR="00B154AB" w:rsidRPr="00B6669B">
        <w:rPr>
          <w:rFonts w:ascii="Century Schoolbook" w:hAnsi="Century Schoolbook"/>
        </w:rPr>
        <w:t>A copy of the</w:t>
      </w:r>
      <w:r w:rsidR="0002207A" w:rsidRPr="00B6669B">
        <w:rPr>
          <w:rFonts w:ascii="Century Schoolbook" w:hAnsi="Century Schoolbook"/>
        </w:rPr>
        <w:t xml:space="preserve"> IDS Policy</w:t>
      </w:r>
      <w:r w:rsidR="00B154AB" w:rsidRPr="00B6669B">
        <w:rPr>
          <w:rFonts w:ascii="Century Schoolbook" w:hAnsi="Century Schoolbook"/>
        </w:rPr>
        <w:t xml:space="preserve"> on MEBR is included in the accompanying materials</w:t>
      </w:r>
      <w:r w:rsidR="0002207A" w:rsidRPr="00B6669B">
        <w:rPr>
          <w:rFonts w:ascii="Century Schoolbook" w:hAnsi="Century Schoolbook"/>
        </w:rPr>
        <w:t>.</w:t>
      </w:r>
    </w:p>
    <w:p w14:paraId="68447FA1" w14:textId="77777777" w:rsidR="00613E61" w:rsidRPr="00B6669B" w:rsidRDefault="00613E61" w:rsidP="00C530A1">
      <w:pPr>
        <w:rPr>
          <w:rFonts w:ascii="Century Schoolbook" w:hAnsi="Century Schoolbook"/>
        </w:rPr>
      </w:pPr>
    </w:p>
    <w:p w14:paraId="68447FA2" w14:textId="77777777" w:rsidR="00C530A1" w:rsidRPr="00B6669B" w:rsidRDefault="00613E61" w:rsidP="00C530A1">
      <w:pPr>
        <w:pStyle w:val="NormalWeb"/>
        <w:spacing w:before="38" w:beforeAutospacing="0" w:after="0" w:afterAutospacing="0"/>
        <w:ind w:right="240"/>
        <w:rPr>
          <w:rFonts w:ascii="Century Schoolbook" w:hAnsi="Century Schoolbook"/>
          <w:b/>
        </w:rPr>
      </w:pPr>
      <w:r w:rsidRPr="00B6669B">
        <w:rPr>
          <w:rFonts w:ascii="Century Schoolbook" w:hAnsi="Century Schoolbook"/>
          <w:b/>
          <w:color w:val="000000"/>
        </w:rPr>
        <w:t>C</w:t>
      </w:r>
      <w:r w:rsidR="00C530A1" w:rsidRPr="00B6669B">
        <w:rPr>
          <w:rFonts w:ascii="Century Schoolbook" w:hAnsi="Century Schoolbook"/>
          <w:b/>
          <w:color w:val="000000"/>
        </w:rPr>
        <w:t>. Petition for Discretionary Review (PDR)</w:t>
      </w:r>
    </w:p>
    <w:p w14:paraId="68447FA3" w14:textId="4A67332F" w:rsidR="00C530A1" w:rsidRPr="00B6669B" w:rsidRDefault="00C530A1" w:rsidP="00B154AB">
      <w:pPr>
        <w:pStyle w:val="NormalWeb"/>
        <w:spacing w:before="336" w:beforeAutospacing="0" w:after="0" w:afterAutospacing="0"/>
        <w:ind w:right="264" w:firstLine="720"/>
        <w:jc w:val="both"/>
        <w:rPr>
          <w:rFonts w:ascii="Century Schoolbook" w:hAnsi="Century Schoolbook"/>
        </w:rPr>
      </w:pPr>
      <w:r w:rsidRPr="00B6669B">
        <w:rPr>
          <w:rFonts w:ascii="Century Schoolbook" w:hAnsi="Century Schoolbook"/>
        </w:rPr>
        <w:t xml:space="preserve">The usual mechanism for asking </w:t>
      </w:r>
      <w:r w:rsidR="00DD6C5F">
        <w:rPr>
          <w:rFonts w:ascii="Century Schoolbook" w:hAnsi="Century Schoolbook"/>
        </w:rPr>
        <w:t>SCONC</w:t>
      </w:r>
      <w:r w:rsidRPr="00B6669B">
        <w:rPr>
          <w:rFonts w:ascii="Century Schoolbook" w:hAnsi="Century Schoolbook"/>
        </w:rPr>
        <w:t xml:space="preserve"> to review a COA decision is a PDR. It must be filed in </w:t>
      </w:r>
      <w:r w:rsidR="00DD6C5F">
        <w:rPr>
          <w:rFonts w:ascii="Century Schoolbook" w:hAnsi="Century Schoolbook"/>
        </w:rPr>
        <w:t>SCONC</w:t>
      </w:r>
      <w:r w:rsidRPr="00B6669B">
        <w:rPr>
          <w:rFonts w:ascii="Century Schoolbook" w:hAnsi="Century Schoolbook"/>
        </w:rPr>
        <w:t xml:space="preserve"> within 15 days of the mandate (</w:t>
      </w:r>
      <w:r w:rsidRPr="00B6669B">
        <w:rPr>
          <w:rFonts w:ascii="Century Schoolbook" w:hAnsi="Century Schoolbook"/>
          <w:i/>
          <w:iCs/>
        </w:rPr>
        <w:t xml:space="preserve">i.e., </w:t>
      </w:r>
      <w:r w:rsidR="00DD6C5F">
        <w:rPr>
          <w:rFonts w:ascii="Century Schoolbook" w:hAnsi="Century Schoolbook"/>
        </w:rPr>
        <w:t xml:space="preserve">usually </w:t>
      </w:r>
      <w:r w:rsidRPr="00B6669B">
        <w:rPr>
          <w:rFonts w:ascii="Century Schoolbook" w:hAnsi="Century Schoolbook"/>
        </w:rPr>
        <w:t>35 days from the panel opinion), or 15 days from an order denying a MEBR. There is a 10</w:t>
      </w:r>
      <w:r w:rsidR="00DD6C5F">
        <w:rPr>
          <w:rFonts w:ascii="Century Schoolbook" w:hAnsi="Century Schoolbook"/>
        </w:rPr>
        <w:t>-</w:t>
      </w:r>
      <w:r w:rsidRPr="00B6669B">
        <w:rPr>
          <w:rFonts w:ascii="Century Schoolbook" w:hAnsi="Century Schoolbook"/>
        </w:rPr>
        <w:t xml:space="preserve">hour compensable </w:t>
      </w:r>
      <w:r w:rsidR="00DD6C5F">
        <w:rPr>
          <w:rFonts w:ascii="Century Schoolbook" w:hAnsi="Century Schoolbook"/>
        </w:rPr>
        <w:t>time limit</w:t>
      </w:r>
      <w:r w:rsidRPr="00B6669B">
        <w:rPr>
          <w:rFonts w:ascii="Century Schoolbook" w:hAnsi="Century Schoolbook"/>
        </w:rPr>
        <w:t xml:space="preserve">, and the client’s prior authorization is required. </w:t>
      </w:r>
      <w:r w:rsidR="00B154AB" w:rsidRPr="00B6669B">
        <w:rPr>
          <w:rFonts w:ascii="Century Schoolbook" w:hAnsi="Century Schoolbook"/>
        </w:rPr>
        <w:t>Copies of t</w:t>
      </w:r>
      <w:r w:rsidR="00B154AB" w:rsidRPr="00B6669B">
        <w:rPr>
          <w:rFonts w:ascii="Century Schoolbook" w:hAnsi="Century Schoolbook"/>
          <w:iCs/>
        </w:rPr>
        <w:t xml:space="preserve">he IDS Policy on PDRs and OAD’s PDR authorization form are included in the materials. </w:t>
      </w:r>
      <w:r w:rsidR="00B154AB" w:rsidRPr="00B6669B">
        <w:rPr>
          <w:rFonts w:ascii="Century Schoolbook" w:hAnsi="Century Schoolbook"/>
          <w:i/>
          <w:iCs/>
        </w:rPr>
        <w:t xml:space="preserve"> </w:t>
      </w:r>
      <w:r w:rsidRPr="00B6669B">
        <w:rPr>
          <w:rFonts w:ascii="Century Schoolbook" w:hAnsi="Century Schoolbook"/>
        </w:rPr>
        <w:t> </w:t>
      </w:r>
    </w:p>
    <w:p w14:paraId="68447FA4" w14:textId="77777777" w:rsidR="00C530A1" w:rsidRPr="00B6669B" w:rsidRDefault="00C530A1" w:rsidP="00B154AB">
      <w:pPr>
        <w:pStyle w:val="NormalWeb"/>
        <w:spacing w:before="336" w:beforeAutospacing="0" w:after="0" w:afterAutospacing="0"/>
        <w:ind w:firstLine="720"/>
        <w:jc w:val="both"/>
        <w:rPr>
          <w:rFonts w:ascii="Century Schoolbook" w:hAnsi="Century Schoolbook"/>
        </w:rPr>
      </w:pPr>
      <w:r w:rsidRPr="00B6669B">
        <w:rPr>
          <w:rFonts w:ascii="Century Schoolbook" w:hAnsi="Century Schoolbook"/>
          <w:color w:val="000000"/>
        </w:rPr>
        <w:t>The statutory g</w:t>
      </w:r>
      <w:r w:rsidR="00B154AB" w:rsidRPr="00B6669B">
        <w:rPr>
          <w:rFonts w:ascii="Century Schoolbook" w:hAnsi="Century Schoolbook"/>
          <w:color w:val="000000"/>
        </w:rPr>
        <w:t xml:space="preserve">rounds for a PDR are limited to </w:t>
      </w:r>
      <w:r w:rsidRPr="00B6669B">
        <w:rPr>
          <w:rFonts w:ascii="Century Schoolbook" w:hAnsi="Century Schoolbook"/>
          <w:color w:val="000000"/>
        </w:rPr>
        <w:t>cases in which: </w:t>
      </w:r>
    </w:p>
    <w:p w14:paraId="68447FA5" w14:textId="77777777" w:rsidR="00B154AB" w:rsidRPr="00B6669B" w:rsidRDefault="00C530A1" w:rsidP="00B154AB">
      <w:pPr>
        <w:pStyle w:val="NormalWeb"/>
        <w:spacing w:before="341" w:beforeAutospacing="0" w:after="0" w:afterAutospacing="0"/>
        <w:ind w:left="720" w:right="720"/>
        <w:jc w:val="both"/>
        <w:rPr>
          <w:rFonts w:ascii="Century Schoolbook" w:hAnsi="Century Schoolbook"/>
          <w:color w:val="000000"/>
        </w:rPr>
      </w:pPr>
      <w:r w:rsidRPr="00B6669B">
        <w:rPr>
          <w:rFonts w:ascii="Century Schoolbook" w:hAnsi="Century Schoolbook"/>
          <w:color w:val="000000"/>
        </w:rPr>
        <w:t xml:space="preserve">(1) The subject matter of the appeal has </w:t>
      </w:r>
      <w:r w:rsidRPr="00B6669B">
        <w:rPr>
          <w:rFonts w:ascii="Century Schoolbook" w:hAnsi="Century Schoolbook"/>
          <w:bCs/>
          <w:color w:val="000000"/>
        </w:rPr>
        <w:t>significant public interest</w:t>
      </w:r>
      <w:r w:rsidR="00B154AB" w:rsidRPr="00B6669B">
        <w:rPr>
          <w:rFonts w:ascii="Century Schoolbook" w:hAnsi="Century Schoolbook"/>
          <w:color w:val="000000"/>
        </w:rPr>
        <w:t>;</w:t>
      </w:r>
      <w:r w:rsidRPr="00B6669B">
        <w:rPr>
          <w:rFonts w:ascii="Century Schoolbook" w:hAnsi="Century Schoolbook"/>
          <w:color w:val="000000"/>
        </w:rPr>
        <w:t xml:space="preserve"> or</w:t>
      </w:r>
    </w:p>
    <w:p w14:paraId="68447FA6" w14:textId="77777777" w:rsidR="00B154AB" w:rsidRPr="00B6669B" w:rsidRDefault="00C530A1" w:rsidP="00B154AB">
      <w:pPr>
        <w:pStyle w:val="NormalWeb"/>
        <w:spacing w:before="341" w:beforeAutospacing="0" w:after="0" w:afterAutospacing="0"/>
        <w:ind w:left="720" w:right="720"/>
        <w:jc w:val="both"/>
        <w:rPr>
          <w:rFonts w:ascii="Century Schoolbook" w:hAnsi="Century Schoolbook"/>
          <w:color w:val="000000"/>
        </w:rPr>
      </w:pPr>
      <w:r w:rsidRPr="00B6669B">
        <w:rPr>
          <w:rFonts w:ascii="Century Schoolbook" w:hAnsi="Century Schoolbook"/>
          <w:color w:val="000000"/>
        </w:rPr>
        <w:t xml:space="preserve">(2) The cause involves </w:t>
      </w:r>
      <w:r w:rsidRPr="00B6669B">
        <w:rPr>
          <w:rFonts w:ascii="Century Schoolbook" w:hAnsi="Century Schoolbook"/>
          <w:bCs/>
          <w:color w:val="000000"/>
        </w:rPr>
        <w:t xml:space="preserve">legal principles of major significance </w:t>
      </w:r>
      <w:r w:rsidRPr="00B6669B">
        <w:rPr>
          <w:rFonts w:ascii="Century Schoolbook" w:hAnsi="Century Schoolbook"/>
          <w:color w:val="000000"/>
        </w:rPr>
        <w:t>to the jurisprudence of the State</w:t>
      </w:r>
      <w:r w:rsidR="00B154AB" w:rsidRPr="00B6669B">
        <w:rPr>
          <w:rFonts w:ascii="Century Schoolbook" w:hAnsi="Century Schoolbook"/>
          <w:color w:val="000000"/>
        </w:rPr>
        <w:t>;</w:t>
      </w:r>
      <w:r w:rsidRPr="00B6669B">
        <w:rPr>
          <w:rFonts w:ascii="Century Schoolbook" w:hAnsi="Century Schoolbook"/>
          <w:color w:val="000000"/>
        </w:rPr>
        <w:t xml:space="preserve"> or </w:t>
      </w:r>
    </w:p>
    <w:p w14:paraId="68447FA7" w14:textId="77777777" w:rsidR="00C530A1" w:rsidRPr="00B6669B" w:rsidRDefault="00C530A1" w:rsidP="00B154AB">
      <w:pPr>
        <w:pStyle w:val="NormalWeb"/>
        <w:spacing w:before="341" w:beforeAutospacing="0" w:after="0" w:afterAutospacing="0"/>
        <w:ind w:left="720" w:right="720"/>
        <w:jc w:val="both"/>
        <w:rPr>
          <w:rFonts w:ascii="Century Schoolbook" w:hAnsi="Century Schoolbook"/>
        </w:rPr>
      </w:pPr>
      <w:r w:rsidRPr="00B6669B">
        <w:rPr>
          <w:rFonts w:ascii="Century Schoolbook" w:hAnsi="Century Schoolbook"/>
          <w:color w:val="000000"/>
        </w:rPr>
        <w:t xml:space="preserve">(3) The decision of the Court of Appeals appears likely to be in </w:t>
      </w:r>
      <w:r w:rsidRPr="00B6669B">
        <w:rPr>
          <w:rFonts w:ascii="Century Schoolbook" w:hAnsi="Century Schoolbook"/>
          <w:bCs/>
          <w:color w:val="000000"/>
        </w:rPr>
        <w:t>conflict with a decision of the Supreme Court</w:t>
      </w:r>
      <w:r w:rsidRPr="00B6669B">
        <w:rPr>
          <w:rFonts w:ascii="Century Schoolbook" w:hAnsi="Century Schoolbook"/>
          <w:color w:val="000000"/>
        </w:rPr>
        <w:t>. </w:t>
      </w:r>
    </w:p>
    <w:p w14:paraId="68447FA8" w14:textId="77777777" w:rsidR="00B154AB" w:rsidRPr="00B6669B" w:rsidRDefault="00B154AB" w:rsidP="00C530A1">
      <w:pPr>
        <w:pStyle w:val="NormalWeb"/>
        <w:spacing w:before="336" w:beforeAutospacing="0" w:after="0" w:afterAutospacing="0"/>
        <w:ind w:right="24"/>
        <w:rPr>
          <w:rFonts w:ascii="Century Schoolbook" w:hAnsi="Century Schoolbook"/>
          <w:color w:val="000000"/>
        </w:rPr>
      </w:pPr>
      <w:r w:rsidRPr="00B6669B">
        <w:rPr>
          <w:rFonts w:ascii="Century Schoolbook" w:hAnsi="Century Schoolbook"/>
          <w:color w:val="000000"/>
        </w:rPr>
        <w:t>N.C.</w:t>
      </w:r>
      <w:r w:rsidR="00C530A1" w:rsidRPr="00B6669B">
        <w:rPr>
          <w:rFonts w:ascii="Century Schoolbook" w:hAnsi="Century Schoolbook"/>
          <w:color w:val="000000"/>
        </w:rPr>
        <w:t>G</w:t>
      </w:r>
      <w:r w:rsidRPr="00B6669B">
        <w:rPr>
          <w:rFonts w:ascii="Century Schoolbook" w:hAnsi="Century Schoolbook"/>
          <w:color w:val="000000"/>
        </w:rPr>
        <w:t>.</w:t>
      </w:r>
      <w:r w:rsidR="00C530A1" w:rsidRPr="00B6669B">
        <w:rPr>
          <w:rFonts w:ascii="Century Schoolbook" w:hAnsi="Century Schoolbook"/>
          <w:color w:val="000000"/>
        </w:rPr>
        <w:t xml:space="preserve">S. § 7A-31(c). </w:t>
      </w:r>
    </w:p>
    <w:p w14:paraId="68447FA9" w14:textId="0827B358" w:rsidR="00C530A1" w:rsidRPr="00B6669B" w:rsidRDefault="00C530A1" w:rsidP="00B154AB">
      <w:pPr>
        <w:pStyle w:val="NormalWeb"/>
        <w:spacing w:before="336" w:beforeAutospacing="0" w:after="0" w:afterAutospacing="0"/>
        <w:ind w:right="24" w:firstLine="720"/>
        <w:jc w:val="both"/>
        <w:rPr>
          <w:rFonts w:ascii="Century Schoolbook" w:hAnsi="Century Schoolbook"/>
          <w:color w:val="000000"/>
        </w:rPr>
      </w:pPr>
      <w:r w:rsidRPr="00B6669B">
        <w:rPr>
          <w:rFonts w:ascii="Century Schoolbook" w:hAnsi="Century Schoolbook"/>
          <w:color w:val="000000"/>
        </w:rPr>
        <w:t xml:space="preserve">These </w:t>
      </w:r>
      <w:r w:rsidR="00463A47" w:rsidRPr="00B6669B">
        <w:rPr>
          <w:rFonts w:ascii="Century Schoolbook" w:hAnsi="Century Schoolbook"/>
          <w:color w:val="000000"/>
        </w:rPr>
        <w:t xml:space="preserve">grounds </w:t>
      </w:r>
      <w:r w:rsidRPr="00B6669B">
        <w:rPr>
          <w:rFonts w:ascii="Century Schoolbook" w:hAnsi="Century Schoolbook"/>
          <w:color w:val="000000"/>
        </w:rPr>
        <w:t xml:space="preserve">are </w:t>
      </w:r>
      <w:r w:rsidR="00463A47" w:rsidRPr="00B6669B">
        <w:rPr>
          <w:rFonts w:ascii="Century Schoolbook" w:hAnsi="Century Schoolbook"/>
          <w:color w:val="000000"/>
        </w:rPr>
        <w:t>taken seriously</w:t>
      </w:r>
      <w:r w:rsidRPr="00B6669B">
        <w:rPr>
          <w:rFonts w:ascii="Century Schoolbook" w:hAnsi="Century Schoolbook"/>
          <w:color w:val="000000"/>
        </w:rPr>
        <w:t xml:space="preserve"> by </w:t>
      </w:r>
      <w:r w:rsidR="00DD6C5F">
        <w:rPr>
          <w:rFonts w:ascii="Century Schoolbook" w:hAnsi="Century Schoolbook"/>
          <w:color w:val="000000"/>
        </w:rPr>
        <w:t>SCONC</w:t>
      </w:r>
      <w:r w:rsidR="00B154AB" w:rsidRPr="00B6669B">
        <w:rPr>
          <w:rFonts w:ascii="Century Schoolbook" w:hAnsi="Century Schoolbook"/>
          <w:color w:val="000000"/>
        </w:rPr>
        <w:t>, at least when the defendant is seeking review</w:t>
      </w:r>
      <w:r w:rsidRPr="00B6669B">
        <w:rPr>
          <w:rFonts w:ascii="Century Schoolbook" w:hAnsi="Century Schoolbook"/>
          <w:color w:val="000000"/>
        </w:rPr>
        <w:t xml:space="preserve">. </w:t>
      </w:r>
      <w:r w:rsidR="00463A47" w:rsidRPr="00B6669B">
        <w:rPr>
          <w:rFonts w:ascii="Century Schoolbook" w:hAnsi="Century Schoolbook"/>
          <w:color w:val="000000"/>
        </w:rPr>
        <w:t>Therefore, a</w:t>
      </w:r>
      <w:r w:rsidR="00B154AB" w:rsidRPr="00B6669B">
        <w:rPr>
          <w:rFonts w:ascii="Century Schoolbook" w:hAnsi="Century Schoolbook"/>
          <w:color w:val="000000"/>
        </w:rPr>
        <w:t xml:space="preserve"> </w:t>
      </w:r>
      <w:r w:rsidRPr="00B6669B">
        <w:rPr>
          <w:rFonts w:ascii="Century Schoolbook" w:hAnsi="Century Schoolbook"/>
          <w:color w:val="000000"/>
        </w:rPr>
        <w:t xml:space="preserve">PDR is not a reprise of your COA brief </w:t>
      </w:r>
      <w:r w:rsidR="00463A47" w:rsidRPr="00B6669B">
        <w:rPr>
          <w:rFonts w:ascii="Century Schoolbook" w:hAnsi="Century Schoolbook"/>
          <w:color w:val="000000"/>
        </w:rPr>
        <w:t xml:space="preserve">or a preview of your </w:t>
      </w:r>
      <w:r w:rsidR="00DD6C5F">
        <w:rPr>
          <w:rFonts w:ascii="Century Schoolbook" w:hAnsi="Century Schoolbook"/>
          <w:color w:val="000000"/>
        </w:rPr>
        <w:t>SCONC</w:t>
      </w:r>
      <w:r w:rsidR="00463A47" w:rsidRPr="00B6669B">
        <w:rPr>
          <w:rFonts w:ascii="Century Schoolbook" w:hAnsi="Century Schoolbook"/>
          <w:color w:val="000000"/>
        </w:rPr>
        <w:t xml:space="preserve"> brief. It must be</w:t>
      </w:r>
      <w:r w:rsidRPr="00B6669B">
        <w:rPr>
          <w:rFonts w:ascii="Century Schoolbook" w:hAnsi="Century Schoolbook"/>
          <w:color w:val="000000"/>
        </w:rPr>
        <w:t xml:space="preserve"> about </w:t>
      </w:r>
      <w:r w:rsidR="00463A47" w:rsidRPr="00B6669B">
        <w:rPr>
          <w:rFonts w:ascii="Century Schoolbook" w:hAnsi="Century Schoolbook"/>
          <w:color w:val="000000"/>
        </w:rPr>
        <w:t xml:space="preserve">the </w:t>
      </w:r>
      <w:r w:rsidRPr="00B6669B">
        <w:rPr>
          <w:rFonts w:ascii="Century Schoolbook" w:hAnsi="Century Schoolbook"/>
          <w:color w:val="000000"/>
        </w:rPr>
        <w:t>grounds in § 7A-31(c) – public interest, significant legal pri</w:t>
      </w:r>
      <w:r w:rsidR="00B154AB" w:rsidRPr="00B6669B">
        <w:rPr>
          <w:rFonts w:ascii="Century Schoolbook" w:hAnsi="Century Schoolbook"/>
          <w:color w:val="000000"/>
        </w:rPr>
        <w:t>nciples, conflicting precedent. A persuasive PDR must show why your case is important to the broader law. For tips on pr</w:t>
      </w:r>
      <w:r w:rsidR="0057306E" w:rsidRPr="00B6669B">
        <w:rPr>
          <w:rFonts w:ascii="Century Schoolbook" w:hAnsi="Century Schoolbook"/>
          <w:color w:val="000000"/>
        </w:rPr>
        <w:t>eparing a persuasive PDR, see t</w:t>
      </w:r>
      <w:r w:rsidR="00B154AB" w:rsidRPr="00B6669B">
        <w:rPr>
          <w:rFonts w:ascii="Century Schoolbook" w:hAnsi="Century Schoolbook"/>
          <w:color w:val="000000"/>
        </w:rPr>
        <w:t xml:space="preserve">he </w:t>
      </w:r>
      <w:r w:rsidR="0057306E" w:rsidRPr="00B6669B">
        <w:rPr>
          <w:rFonts w:ascii="Century Schoolbook" w:hAnsi="Century Schoolbook"/>
          <w:color w:val="000000"/>
        </w:rPr>
        <w:t xml:space="preserve">“Getting Discretionary Review” memo included in the materials.  </w:t>
      </w:r>
    </w:p>
    <w:p w14:paraId="68447FAA" w14:textId="3C6A7F0D" w:rsidR="00C530A1" w:rsidRPr="00B6669B" w:rsidRDefault="0057306E" w:rsidP="0057306E">
      <w:pPr>
        <w:pStyle w:val="NormalWeb"/>
        <w:spacing w:before="336" w:beforeAutospacing="0" w:after="0" w:afterAutospacing="0"/>
        <w:ind w:right="24" w:firstLine="720"/>
        <w:jc w:val="both"/>
        <w:rPr>
          <w:rFonts w:ascii="Century Schoolbook" w:hAnsi="Century Schoolbook"/>
        </w:rPr>
      </w:pPr>
      <w:r w:rsidRPr="00B6669B">
        <w:rPr>
          <w:rFonts w:ascii="Century Schoolbook" w:hAnsi="Century Schoolbook"/>
          <w:color w:val="000000"/>
        </w:rPr>
        <w:t xml:space="preserve">PDRs are typically decided within a few months of filing, although there is no definite timetable — occasionally it can take the better part of year to get a decision. </w:t>
      </w:r>
      <w:r w:rsidR="00C530A1" w:rsidRPr="00B6669B">
        <w:rPr>
          <w:rFonts w:ascii="Century Schoolbook" w:hAnsi="Century Schoolbook"/>
          <w:color w:val="000000"/>
        </w:rPr>
        <w:t xml:space="preserve">If a PDR is granted, the COA record is transmitted to </w:t>
      </w:r>
      <w:r w:rsidR="00DD6C5F">
        <w:rPr>
          <w:rFonts w:ascii="Century Schoolbook" w:hAnsi="Century Schoolbook"/>
          <w:color w:val="000000"/>
        </w:rPr>
        <w:t>SCONC</w:t>
      </w:r>
      <w:r w:rsidR="00C530A1" w:rsidRPr="00B6669B">
        <w:rPr>
          <w:rFonts w:ascii="Century Schoolbook" w:hAnsi="Century Schoolbook"/>
          <w:color w:val="000000"/>
        </w:rPr>
        <w:t>, and the petitioner’s new brief is due within 30 days. N.C. R. App. P. 15(g)(2). Review is limited to issues set forth in the PDR and response. N.C. R. App. P. 16(a). </w:t>
      </w:r>
    </w:p>
    <w:p w14:paraId="68447FAB" w14:textId="77777777" w:rsidR="00BB4F93" w:rsidRPr="00B6669B" w:rsidRDefault="00BB4F93" w:rsidP="00BB4F93">
      <w:pPr>
        <w:pStyle w:val="NormalWeb"/>
        <w:numPr>
          <w:ilvl w:val="0"/>
          <w:numId w:val="20"/>
        </w:numPr>
        <w:spacing w:before="341" w:beforeAutospacing="0" w:after="0" w:afterAutospacing="0"/>
        <w:ind w:right="91"/>
        <w:rPr>
          <w:rFonts w:ascii="Century Schoolbook" w:hAnsi="Century Schoolbook"/>
          <w:b/>
          <w:bCs/>
          <w:color w:val="000000"/>
        </w:rPr>
      </w:pPr>
      <w:r w:rsidRPr="00B6669B">
        <w:rPr>
          <w:rFonts w:ascii="Century Schoolbook" w:hAnsi="Century Schoolbook"/>
          <w:b/>
          <w:bCs/>
          <w:color w:val="000000"/>
        </w:rPr>
        <w:lastRenderedPageBreak/>
        <w:t>Temporary Stays and Supersedeas</w:t>
      </w:r>
    </w:p>
    <w:p w14:paraId="68447FAC" w14:textId="0C37F578" w:rsidR="00C530A1" w:rsidRPr="00B6669B" w:rsidRDefault="00C530A1" w:rsidP="00BB4F93">
      <w:pPr>
        <w:pStyle w:val="NormalWeb"/>
        <w:spacing w:before="341" w:beforeAutospacing="0" w:after="0" w:afterAutospacing="0"/>
        <w:ind w:right="91" w:firstLine="720"/>
        <w:jc w:val="both"/>
        <w:rPr>
          <w:rFonts w:ascii="Century Schoolbook" w:hAnsi="Century Schoolbook"/>
          <w:color w:val="000000"/>
        </w:rPr>
      </w:pPr>
      <w:r w:rsidRPr="00B6669B">
        <w:rPr>
          <w:rFonts w:ascii="Century Schoolbook" w:hAnsi="Century Schoolbook"/>
          <w:color w:val="000000"/>
        </w:rPr>
        <w:t xml:space="preserve">In conjunction with a PDR, it is occasionally necessary to petition </w:t>
      </w:r>
      <w:r w:rsidR="00DD6C5F">
        <w:rPr>
          <w:rFonts w:ascii="Century Schoolbook" w:hAnsi="Century Schoolbook"/>
          <w:color w:val="000000"/>
        </w:rPr>
        <w:t>SCONC</w:t>
      </w:r>
      <w:r w:rsidRPr="00B6669B">
        <w:rPr>
          <w:rFonts w:ascii="Century Schoolbook" w:hAnsi="Century Schoolbook"/>
          <w:color w:val="000000"/>
        </w:rPr>
        <w:t xml:space="preserve"> for a temporary stay and writ of supersedeas </w:t>
      </w:r>
      <w:r w:rsidR="00DD6C5F" w:rsidRPr="00B6669B">
        <w:rPr>
          <w:rFonts w:ascii="Century Schoolbook" w:hAnsi="Century Schoolbook"/>
          <w:color w:val="000000"/>
        </w:rPr>
        <w:t>to</w:t>
      </w:r>
      <w:r w:rsidRPr="00B6669B">
        <w:rPr>
          <w:rFonts w:ascii="Century Schoolbook" w:hAnsi="Century Schoolbook"/>
          <w:color w:val="000000"/>
        </w:rPr>
        <w:t xml:space="preserve"> protect the client during pendency of the PDR, as when the COA opinion will remand the case back to the trial court for imposition of probation</w:t>
      </w:r>
      <w:r w:rsidR="008A1394" w:rsidRPr="00B6669B">
        <w:rPr>
          <w:rFonts w:ascii="Century Schoolbook" w:hAnsi="Century Schoolbook"/>
          <w:color w:val="000000"/>
        </w:rPr>
        <w:t xml:space="preserve"> that had been stayed under N.C.G.S. § 15A-1451</w:t>
      </w:r>
      <w:r w:rsidRPr="00B6669B">
        <w:rPr>
          <w:rFonts w:ascii="Century Schoolbook" w:hAnsi="Century Schoolbook"/>
          <w:color w:val="000000"/>
        </w:rPr>
        <w:t>. A similar situation can arise in a juvenile delinquency appeal when the client has been released pending disposition of the appeal pursuant to N.C.G</w:t>
      </w:r>
      <w:r w:rsidR="00BB4F93" w:rsidRPr="00B6669B">
        <w:rPr>
          <w:rFonts w:ascii="Century Schoolbook" w:hAnsi="Century Schoolbook"/>
          <w:color w:val="000000"/>
        </w:rPr>
        <w:t>.S</w:t>
      </w:r>
      <w:r w:rsidRPr="00B6669B">
        <w:rPr>
          <w:rFonts w:ascii="Century Schoolbook" w:hAnsi="Century Schoolbook"/>
          <w:color w:val="000000"/>
        </w:rPr>
        <w:t xml:space="preserve">. § 7B-2605. </w:t>
      </w:r>
    </w:p>
    <w:p w14:paraId="68447FAD" w14:textId="12375E19" w:rsidR="008A1394" w:rsidRPr="00B6669B" w:rsidRDefault="008A1394" w:rsidP="008A1394">
      <w:pPr>
        <w:pStyle w:val="NormalWeb"/>
        <w:spacing w:before="341" w:beforeAutospacing="0" w:after="0" w:afterAutospacing="0"/>
        <w:ind w:right="91" w:firstLine="720"/>
        <w:jc w:val="both"/>
        <w:rPr>
          <w:rFonts w:ascii="Century Schoolbook" w:hAnsi="Century Schoolbook"/>
        </w:rPr>
      </w:pPr>
      <w:r w:rsidRPr="00B6669B">
        <w:rPr>
          <w:rFonts w:ascii="Century Schoolbook" w:hAnsi="Century Schoolbook"/>
          <w:color w:val="000000"/>
        </w:rPr>
        <w:t xml:space="preserve">If you need to maintain the status quo for your client, file a dual Application for Temporary Stay and Petition for Writ of Supersedeas. Generally, </w:t>
      </w:r>
      <w:r w:rsidR="00DD6C5F">
        <w:rPr>
          <w:rFonts w:ascii="Century Schoolbook" w:hAnsi="Century Schoolbook"/>
          <w:color w:val="000000"/>
        </w:rPr>
        <w:t>SCONC</w:t>
      </w:r>
      <w:r w:rsidRPr="00B6669B">
        <w:rPr>
          <w:rFonts w:ascii="Century Schoolbook" w:hAnsi="Century Schoolbook"/>
          <w:color w:val="000000"/>
        </w:rPr>
        <w:t xml:space="preserve"> will issue a temporary stay as a matter of course while it considers your PDR. If it allows the PDR, it will grant a writ of supersedeas.   </w:t>
      </w:r>
    </w:p>
    <w:p w14:paraId="68447FAE" w14:textId="77777777" w:rsidR="00C530A1" w:rsidRPr="00B6669B" w:rsidRDefault="00463A47" w:rsidP="008A1394">
      <w:pPr>
        <w:pStyle w:val="NormalWeb"/>
        <w:numPr>
          <w:ilvl w:val="0"/>
          <w:numId w:val="20"/>
        </w:numPr>
        <w:spacing w:before="336" w:beforeAutospacing="0" w:after="0" w:afterAutospacing="0"/>
        <w:ind w:right="2160"/>
        <w:rPr>
          <w:rFonts w:ascii="Century Schoolbook" w:hAnsi="Century Schoolbook"/>
          <w:b/>
        </w:rPr>
      </w:pPr>
      <w:r w:rsidRPr="00B6669B">
        <w:rPr>
          <w:rFonts w:ascii="Century Schoolbook" w:hAnsi="Century Schoolbook"/>
          <w:b/>
          <w:bCs/>
          <w:color w:val="000000"/>
        </w:rPr>
        <w:t>Petition for Writ of C</w:t>
      </w:r>
      <w:r w:rsidR="00C530A1" w:rsidRPr="00B6669B">
        <w:rPr>
          <w:rFonts w:ascii="Century Schoolbook" w:hAnsi="Century Schoolbook"/>
          <w:b/>
          <w:bCs/>
          <w:color w:val="000000"/>
        </w:rPr>
        <w:t>ertiorari in lieu of PDR </w:t>
      </w:r>
    </w:p>
    <w:p w14:paraId="68447FAF" w14:textId="77777777" w:rsidR="00C530A1" w:rsidRPr="00B6669B" w:rsidRDefault="00C530A1" w:rsidP="008A1394">
      <w:pPr>
        <w:pStyle w:val="NormalWeb"/>
        <w:spacing w:before="341" w:beforeAutospacing="0" w:after="0" w:afterAutospacing="0"/>
        <w:ind w:right="106" w:firstLine="720"/>
        <w:jc w:val="both"/>
        <w:rPr>
          <w:rFonts w:ascii="Century Schoolbook" w:hAnsi="Century Schoolbook"/>
        </w:rPr>
      </w:pPr>
      <w:r w:rsidRPr="00B6669B">
        <w:rPr>
          <w:rFonts w:ascii="Century Schoolbook" w:hAnsi="Century Schoolbook"/>
          <w:color w:val="000000"/>
        </w:rPr>
        <w:t xml:space="preserve">If the PDR deadline has lapsed, it is still possible to file a petition for writ of certiorari (PWC). </w:t>
      </w:r>
      <w:r w:rsidR="00463A47" w:rsidRPr="00B6669B">
        <w:rPr>
          <w:rFonts w:ascii="Century Schoolbook" w:hAnsi="Century Schoolbook"/>
          <w:color w:val="000000"/>
        </w:rPr>
        <w:t>Rumor is that g</w:t>
      </w:r>
      <w:r w:rsidRPr="00B6669B">
        <w:rPr>
          <w:rFonts w:ascii="Century Schoolbook" w:hAnsi="Century Schoolbook"/>
          <w:color w:val="000000"/>
        </w:rPr>
        <w:t>rantin</w:t>
      </w:r>
      <w:r w:rsidR="00463A47" w:rsidRPr="00B6669B">
        <w:rPr>
          <w:rFonts w:ascii="Century Schoolbook" w:hAnsi="Century Schoolbook"/>
          <w:color w:val="000000"/>
        </w:rPr>
        <w:t>g cert takes the votes of four j</w:t>
      </w:r>
      <w:r w:rsidRPr="00B6669B">
        <w:rPr>
          <w:rFonts w:ascii="Century Schoolbook" w:hAnsi="Century Schoolbook"/>
          <w:color w:val="000000"/>
        </w:rPr>
        <w:t>ustices, whereas discretionary review only takes three. The</w:t>
      </w:r>
      <w:r w:rsidR="00463A47" w:rsidRPr="00B6669B">
        <w:rPr>
          <w:rFonts w:ascii="Century Schoolbook" w:hAnsi="Century Schoolbook"/>
          <w:color w:val="000000"/>
        </w:rPr>
        <w:t>re is no concise</w:t>
      </w:r>
      <w:r w:rsidRPr="00B6669B">
        <w:rPr>
          <w:rFonts w:ascii="Century Schoolbook" w:hAnsi="Century Schoolbook"/>
          <w:color w:val="000000"/>
        </w:rPr>
        <w:t xml:space="preserve"> legal standard for granting a PWC, but when a PWC essentially </w:t>
      </w:r>
      <w:r w:rsidR="00A37F13" w:rsidRPr="00B6669B">
        <w:rPr>
          <w:rFonts w:ascii="Century Schoolbook" w:hAnsi="Century Schoolbook"/>
          <w:color w:val="000000"/>
        </w:rPr>
        <w:t xml:space="preserve">serves </w:t>
      </w:r>
      <w:r w:rsidRPr="00B6669B">
        <w:rPr>
          <w:rFonts w:ascii="Century Schoolbook" w:hAnsi="Century Schoolbook"/>
          <w:color w:val="000000"/>
        </w:rPr>
        <w:t>as a PDR filed out of time, it should f</w:t>
      </w:r>
      <w:r w:rsidR="00A37F13">
        <w:rPr>
          <w:rFonts w:ascii="Century Schoolbook" w:hAnsi="Century Schoolbook"/>
          <w:color w:val="000000"/>
        </w:rPr>
        <w:t xml:space="preserve">ocus on the </w:t>
      </w:r>
      <w:r w:rsidRPr="00B6669B">
        <w:rPr>
          <w:rFonts w:ascii="Century Schoolbook" w:hAnsi="Century Schoolbook"/>
          <w:color w:val="000000"/>
        </w:rPr>
        <w:t>PDR</w:t>
      </w:r>
      <w:r w:rsidR="00A37F13">
        <w:rPr>
          <w:rFonts w:ascii="Century Schoolbook" w:hAnsi="Century Schoolbook"/>
          <w:color w:val="000000"/>
        </w:rPr>
        <w:t xml:space="preserve"> grounds</w:t>
      </w:r>
      <w:r w:rsidRPr="00B6669B">
        <w:rPr>
          <w:rFonts w:ascii="Century Schoolbook" w:hAnsi="Century Schoolbook"/>
          <w:color w:val="000000"/>
        </w:rPr>
        <w:t xml:space="preserve">. </w:t>
      </w:r>
      <w:r w:rsidRPr="00B6669B">
        <w:rPr>
          <w:rFonts w:ascii="Century Schoolbook" w:hAnsi="Century Schoolbook"/>
          <w:i/>
          <w:iCs/>
          <w:color w:val="000000"/>
        </w:rPr>
        <w:t xml:space="preserve">See </w:t>
      </w:r>
      <w:r w:rsidRPr="00B6669B">
        <w:rPr>
          <w:rFonts w:ascii="Century Schoolbook" w:hAnsi="Century Schoolbook"/>
          <w:color w:val="000000"/>
        </w:rPr>
        <w:t xml:space="preserve">N.C. R. App. P. </w:t>
      </w:r>
      <w:r w:rsidR="00463A47" w:rsidRPr="00B6669B">
        <w:rPr>
          <w:rFonts w:ascii="Century Schoolbook" w:hAnsi="Century Schoolbook"/>
          <w:color w:val="000000"/>
        </w:rPr>
        <w:t xml:space="preserve">21(a); N.C.G.S. § 7A-32. </w:t>
      </w:r>
    </w:p>
    <w:p w14:paraId="68447FB0" w14:textId="0CD4FCBF" w:rsidR="00C530A1" w:rsidRPr="00B6669B" w:rsidRDefault="00DD6C5F" w:rsidP="008A1394">
      <w:pPr>
        <w:pStyle w:val="NormalWeb"/>
        <w:numPr>
          <w:ilvl w:val="0"/>
          <w:numId w:val="20"/>
        </w:numPr>
        <w:spacing w:before="341" w:beforeAutospacing="0" w:after="0" w:afterAutospacing="0"/>
        <w:rPr>
          <w:rFonts w:ascii="Century Schoolbook" w:hAnsi="Century Schoolbook"/>
        </w:rPr>
      </w:pPr>
      <w:r>
        <w:rPr>
          <w:rFonts w:ascii="Century Schoolbook" w:hAnsi="Century Schoolbook"/>
          <w:b/>
          <w:bCs/>
          <w:color w:val="000000"/>
        </w:rPr>
        <w:t>SCONC</w:t>
      </w:r>
      <w:r w:rsidR="00C530A1" w:rsidRPr="00B6669B">
        <w:rPr>
          <w:rFonts w:ascii="Century Schoolbook" w:hAnsi="Century Schoolbook"/>
          <w:b/>
          <w:bCs/>
          <w:color w:val="000000"/>
        </w:rPr>
        <w:t xml:space="preserve"> review of COA decisions on Motions for Appropriate Relief </w:t>
      </w:r>
    </w:p>
    <w:p w14:paraId="68447FB1" w14:textId="0C0F5D39" w:rsidR="004227AE" w:rsidRPr="00B6669B" w:rsidRDefault="00C530A1" w:rsidP="00463A47">
      <w:pPr>
        <w:pStyle w:val="NormalWeb"/>
        <w:spacing w:before="336" w:beforeAutospacing="0" w:after="0" w:afterAutospacing="0"/>
        <w:ind w:right="38" w:firstLine="720"/>
        <w:jc w:val="both"/>
        <w:rPr>
          <w:rFonts w:ascii="Century Schoolbook" w:hAnsi="Century Schoolbook"/>
          <w:color w:val="000000"/>
        </w:rPr>
      </w:pPr>
      <w:r w:rsidRPr="00B6669B">
        <w:rPr>
          <w:rFonts w:ascii="Century Schoolbook" w:hAnsi="Century Schoolbook"/>
          <w:color w:val="000000"/>
        </w:rPr>
        <w:t xml:space="preserve">Statutes and rules prohibit </w:t>
      </w:r>
      <w:r w:rsidR="00DD6C5F">
        <w:rPr>
          <w:rFonts w:ascii="Century Schoolbook" w:hAnsi="Century Schoolbook"/>
          <w:color w:val="000000"/>
        </w:rPr>
        <w:t>SCONC</w:t>
      </w:r>
      <w:r w:rsidRPr="00B6669B">
        <w:rPr>
          <w:rFonts w:ascii="Century Schoolbook" w:hAnsi="Century Schoolbook"/>
          <w:color w:val="000000"/>
        </w:rPr>
        <w:t xml:space="preserve"> review of non-capital MARs. </w:t>
      </w:r>
      <w:r w:rsidR="00463A47" w:rsidRPr="00B6669B">
        <w:rPr>
          <w:rFonts w:ascii="Century Schoolbook" w:hAnsi="Century Schoolbook"/>
          <w:i/>
          <w:color w:val="000000"/>
        </w:rPr>
        <w:t xml:space="preserve">See </w:t>
      </w:r>
      <w:r w:rsidRPr="00B6669B">
        <w:rPr>
          <w:rFonts w:ascii="Century Schoolbook" w:hAnsi="Century Schoolbook"/>
          <w:color w:val="000000"/>
        </w:rPr>
        <w:t>N.C.G.S</w:t>
      </w:r>
      <w:r w:rsidR="00463A47" w:rsidRPr="00B6669B">
        <w:rPr>
          <w:rFonts w:ascii="Century Schoolbook" w:hAnsi="Century Schoolbook"/>
          <w:color w:val="000000"/>
        </w:rPr>
        <w:t>. § 7A-</w:t>
      </w:r>
      <w:r w:rsidRPr="00B6669B">
        <w:rPr>
          <w:rFonts w:ascii="Century Schoolbook" w:hAnsi="Century Schoolbook"/>
          <w:color w:val="000000"/>
        </w:rPr>
        <w:t xml:space="preserve">28(a); § 7A-31(a); N.C. R. App. P. 15(a). However, </w:t>
      </w:r>
      <w:r w:rsidR="00DD6C5F">
        <w:rPr>
          <w:rFonts w:ascii="Century Schoolbook" w:hAnsi="Century Schoolbook"/>
          <w:color w:val="000000"/>
        </w:rPr>
        <w:t>SCONC</w:t>
      </w:r>
      <w:r w:rsidRPr="00B6669B">
        <w:rPr>
          <w:rFonts w:ascii="Century Schoolbook" w:hAnsi="Century Schoolbook"/>
          <w:color w:val="000000"/>
        </w:rPr>
        <w:t xml:space="preserve"> may review MAR decisions pursuant to its “general supervisory authority” under the constitutional grant of “jurisdiction to review upon appeal any decision of the courts below.” </w:t>
      </w:r>
      <w:r w:rsidRPr="00B6669B">
        <w:rPr>
          <w:rFonts w:ascii="Century Schoolbook" w:hAnsi="Century Schoolbook"/>
          <w:i/>
          <w:iCs/>
          <w:color w:val="000000"/>
        </w:rPr>
        <w:t>State v. Todd</w:t>
      </w:r>
      <w:r w:rsidRPr="00A37F13">
        <w:rPr>
          <w:rFonts w:ascii="Century Schoolbook" w:hAnsi="Century Schoolbook"/>
          <w:iCs/>
          <w:color w:val="000000"/>
        </w:rPr>
        <w:t>,</w:t>
      </w:r>
      <w:r w:rsidRPr="00B6669B">
        <w:rPr>
          <w:rFonts w:ascii="Century Schoolbook" w:hAnsi="Century Schoolbook"/>
          <w:i/>
          <w:iCs/>
          <w:color w:val="000000"/>
        </w:rPr>
        <w:t xml:space="preserve"> </w:t>
      </w:r>
      <w:r w:rsidR="004227AE" w:rsidRPr="00B6669B">
        <w:rPr>
          <w:rFonts w:ascii="Century Schoolbook" w:hAnsi="Century Schoolbook"/>
          <w:color w:val="000000"/>
        </w:rPr>
        <w:t xml:space="preserve">369 </w:t>
      </w:r>
      <w:r w:rsidRPr="00B6669B">
        <w:rPr>
          <w:rFonts w:ascii="Century Schoolbook" w:hAnsi="Century Schoolbook"/>
          <w:color w:val="000000"/>
        </w:rPr>
        <w:t xml:space="preserve">N.C. </w:t>
      </w:r>
      <w:r w:rsidR="004227AE" w:rsidRPr="00B6669B">
        <w:rPr>
          <w:rFonts w:ascii="Century Schoolbook" w:hAnsi="Century Schoolbook"/>
          <w:color w:val="000000"/>
        </w:rPr>
        <w:t>707, 710</w:t>
      </w:r>
      <w:r w:rsidR="00D21802">
        <w:rPr>
          <w:rFonts w:ascii="Century Schoolbook" w:hAnsi="Century Schoolbook"/>
          <w:color w:val="000000"/>
        </w:rPr>
        <w:t xml:space="preserve"> </w:t>
      </w:r>
      <w:r w:rsidR="004227AE" w:rsidRPr="00B6669B">
        <w:rPr>
          <w:rFonts w:ascii="Century Schoolbook" w:hAnsi="Century Schoolbook"/>
          <w:color w:val="000000"/>
        </w:rPr>
        <w:t>(2017)</w:t>
      </w:r>
      <w:r w:rsidRPr="00B6669B">
        <w:rPr>
          <w:rFonts w:ascii="Century Schoolbook" w:hAnsi="Century Schoolbook"/>
          <w:color w:val="000000"/>
        </w:rPr>
        <w:t xml:space="preserve"> (</w:t>
      </w:r>
      <w:r w:rsidR="004227AE" w:rsidRPr="00B6669B">
        <w:rPr>
          <w:rFonts w:ascii="Century Schoolbook" w:hAnsi="Century Schoolbook"/>
          <w:iCs/>
          <w:color w:val="000000"/>
        </w:rPr>
        <w:t>citing</w:t>
      </w:r>
      <w:r w:rsidR="004227AE" w:rsidRPr="00B6669B">
        <w:rPr>
          <w:rFonts w:ascii="Century Schoolbook" w:hAnsi="Century Schoolbook"/>
          <w:i/>
          <w:iCs/>
          <w:color w:val="000000"/>
        </w:rPr>
        <w:t xml:space="preserve"> </w:t>
      </w:r>
      <w:r w:rsidR="004227AE" w:rsidRPr="00B6669B">
        <w:rPr>
          <w:rFonts w:ascii="Century Schoolbook" w:hAnsi="Century Schoolbook"/>
          <w:color w:val="000000"/>
        </w:rPr>
        <w:t>N.C. Const. art. IV, § 12(1)</w:t>
      </w:r>
      <w:r w:rsidR="00A37F13">
        <w:rPr>
          <w:rFonts w:ascii="Century Schoolbook" w:hAnsi="Century Schoolbook"/>
          <w:color w:val="000000"/>
        </w:rPr>
        <w:t xml:space="preserve">, </w:t>
      </w:r>
      <w:r w:rsidR="004227AE" w:rsidRPr="00B6669B">
        <w:rPr>
          <w:rFonts w:ascii="Century Schoolbook" w:hAnsi="Century Schoolbook"/>
          <w:color w:val="000000"/>
        </w:rPr>
        <w:t xml:space="preserve">and </w:t>
      </w:r>
      <w:r w:rsidRPr="00B6669B">
        <w:rPr>
          <w:rFonts w:ascii="Century Schoolbook" w:hAnsi="Century Schoolbook"/>
          <w:color w:val="000000"/>
        </w:rPr>
        <w:t>allowing State’s appeal of right based on COA dissent</w:t>
      </w:r>
      <w:r w:rsidR="004227AE" w:rsidRPr="00B6669B">
        <w:rPr>
          <w:rFonts w:ascii="Century Schoolbook" w:hAnsi="Century Schoolbook"/>
          <w:color w:val="000000"/>
        </w:rPr>
        <w:t xml:space="preserve"> in an MAR case</w:t>
      </w:r>
      <w:r w:rsidRPr="00B6669B">
        <w:rPr>
          <w:rFonts w:ascii="Century Schoolbook" w:hAnsi="Century Schoolbook"/>
          <w:color w:val="000000"/>
        </w:rPr>
        <w:t xml:space="preserve">). </w:t>
      </w:r>
    </w:p>
    <w:p w14:paraId="68447FB2" w14:textId="43F26DEA" w:rsidR="008507BF" w:rsidRPr="00B6669B" w:rsidRDefault="00C530A1" w:rsidP="00B6669B">
      <w:pPr>
        <w:pStyle w:val="NormalWeb"/>
        <w:spacing w:before="336" w:beforeAutospacing="0" w:after="0" w:afterAutospacing="0"/>
        <w:ind w:right="38" w:firstLine="720"/>
        <w:jc w:val="both"/>
        <w:rPr>
          <w:rFonts w:ascii="Century Schoolbook" w:hAnsi="Century Schoolbook"/>
          <w:color w:val="000000"/>
        </w:rPr>
      </w:pPr>
      <w:r w:rsidRPr="00B6669B">
        <w:rPr>
          <w:rFonts w:ascii="Century Schoolbook" w:hAnsi="Century Schoolbook"/>
          <w:color w:val="000000"/>
        </w:rPr>
        <w:t>Because N.C. R. App. P. 15(a) expressly prohibits PDRs from decisions on post</w:t>
      </w:r>
      <w:r w:rsidR="004227AE" w:rsidRPr="00B6669B">
        <w:rPr>
          <w:rFonts w:ascii="Century Schoolbook" w:hAnsi="Century Schoolbook"/>
          <w:color w:val="000000"/>
        </w:rPr>
        <w:t>-</w:t>
      </w:r>
      <w:r w:rsidRPr="00B6669B">
        <w:rPr>
          <w:rFonts w:ascii="Century Schoolbook" w:hAnsi="Century Schoolbook"/>
          <w:color w:val="000000"/>
        </w:rPr>
        <w:t xml:space="preserve">conviction MARs, invoking </w:t>
      </w:r>
      <w:r w:rsidR="00DD6C5F">
        <w:rPr>
          <w:rFonts w:ascii="Century Schoolbook" w:hAnsi="Century Schoolbook"/>
          <w:color w:val="000000"/>
        </w:rPr>
        <w:t>SCONC</w:t>
      </w:r>
      <w:r w:rsidRPr="00B6669B">
        <w:rPr>
          <w:rFonts w:ascii="Century Schoolbook" w:hAnsi="Century Schoolbook"/>
          <w:color w:val="000000"/>
        </w:rPr>
        <w:t xml:space="preserve">’s constitutional jurisdiction should be by PWC, combined if </w:t>
      </w:r>
      <w:proofErr w:type="gramStart"/>
      <w:r w:rsidRPr="00B6669B">
        <w:rPr>
          <w:rFonts w:ascii="Century Schoolbook" w:hAnsi="Century Schoolbook"/>
          <w:color w:val="000000"/>
        </w:rPr>
        <w:t>possible</w:t>
      </w:r>
      <w:proofErr w:type="gramEnd"/>
      <w:r w:rsidRPr="00B6669B">
        <w:rPr>
          <w:rFonts w:ascii="Century Schoolbook" w:hAnsi="Century Schoolbook"/>
          <w:color w:val="000000"/>
        </w:rPr>
        <w:t xml:space="preserve"> with a</w:t>
      </w:r>
      <w:r w:rsidR="00A37F13">
        <w:rPr>
          <w:rFonts w:ascii="Century Schoolbook" w:hAnsi="Century Schoolbook"/>
          <w:color w:val="000000"/>
        </w:rPr>
        <w:t>n</w:t>
      </w:r>
      <w:r w:rsidRPr="00B6669B">
        <w:rPr>
          <w:rFonts w:ascii="Century Schoolbook" w:hAnsi="Century Schoolbook"/>
          <w:color w:val="000000"/>
        </w:rPr>
        <w:t xml:space="preserve"> NOA based on a substantial constitutional question and/or panel dissent. </w:t>
      </w:r>
    </w:p>
    <w:p w14:paraId="68447FB3" w14:textId="5E922E5D" w:rsidR="00C530A1" w:rsidRPr="00B6669B" w:rsidRDefault="008507BF" w:rsidP="008507BF">
      <w:pPr>
        <w:pStyle w:val="NormalWeb"/>
        <w:numPr>
          <w:ilvl w:val="0"/>
          <w:numId w:val="20"/>
        </w:numPr>
        <w:spacing w:before="336" w:beforeAutospacing="0" w:after="0" w:afterAutospacing="0"/>
        <w:ind w:right="38"/>
        <w:jc w:val="both"/>
        <w:rPr>
          <w:rFonts w:ascii="Century Schoolbook" w:hAnsi="Century Schoolbook"/>
        </w:rPr>
      </w:pPr>
      <w:r w:rsidRPr="00B6669B">
        <w:rPr>
          <w:rFonts w:ascii="Century Schoolbook" w:hAnsi="Century Schoolbook"/>
          <w:b/>
          <w:bCs/>
          <w:color w:val="000000"/>
        </w:rPr>
        <w:t xml:space="preserve">Response in </w:t>
      </w:r>
      <w:r w:rsidR="00EB17A0">
        <w:rPr>
          <w:rFonts w:ascii="Century Schoolbook" w:hAnsi="Century Schoolbook"/>
          <w:b/>
          <w:bCs/>
          <w:color w:val="000000"/>
        </w:rPr>
        <w:t>O</w:t>
      </w:r>
      <w:r w:rsidRPr="00B6669B">
        <w:rPr>
          <w:rFonts w:ascii="Century Schoolbook" w:hAnsi="Century Schoolbook"/>
          <w:b/>
          <w:bCs/>
          <w:color w:val="000000"/>
        </w:rPr>
        <w:t>p</w:t>
      </w:r>
      <w:r w:rsidR="00C530A1" w:rsidRPr="00B6669B">
        <w:rPr>
          <w:rFonts w:ascii="Century Schoolbook" w:hAnsi="Century Schoolbook"/>
          <w:b/>
          <w:bCs/>
          <w:color w:val="000000"/>
        </w:rPr>
        <w:t>position to State’s PDR </w:t>
      </w:r>
    </w:p>
    <w:p w14:paraId="68447FB4" w14:textId="46611DE1" w:rsidR="005A67BD" w:rsidRPr="00B6669B" w:rsidRDefault="00C530A1" w:rsidP="008507BF">
      <w:pPr>
        <w:pStyle w:val="NormalWeb"/>
        <w:spacing w:before="336" w:beforeAutospacing="0" w:after="0" w:afterAutospacing="0"/>
        <w:ind w:right="173" w:firstLine="720"/>
        <w:jc w:val="both"/>
        <w:rPr>
          <w:rFonts w:ascii="Century Schoolbook" w:hAnsi="Century Schoolbook"/>
        </w:rPr>
      </w:pPr>
      <w:r w:rsidRPr="00B6669B">
        <w:rPr>
          <w:rFonts w:ascii="Century Schoolbook" w:hAnsi="Century Schoolbook"/>
        </w:rPr>
        <w:t>If the State files a PDR, a res</w:t>
      </w:r>
      <w:r w:rsidR="00A37F13">
        <w:rPr>
          <w:rFonts w:ascii="Century Schoolbook" w:hAnsi="Century Schoolbook"/>
        </w:rPr>
        <w:t>ponse is due within 10 days of filing (+3 days if served by mail or email)</w:t>
      </w:r>
      <w:r w:rsidRPr="00B6669B">
        <w:rPr>
          <w:rFonts w:ascii="Century Schoolbook" w:hAnsi="Century Schoolbook"/>
        </w:rPr>
        <w:t xml:space="preserve">, and </w:t>
      </w:r>
      <w:r w:rsidR="00D21802">
        <w:rPr>
          <w:rFonts w:ascii="Century Schoolbook" w:hAnsi="Century Schoolbook"/>
        </w:rPr>
        <w:t xml:space="preserve">by rule </w:t>
      </w:r>
      <w:r w:rsidRPr="00B6669B">
        <w:rPr>
          <w:rFonts w:ascii="Century Schoolbook" w:hAnsi="Century Schoolbook"/>
        </w:rPr>
        <w:t xml:space="preserve">that deadline cannot be extended. The response must identify any additional issues the defendant wants to present, otherwise the scope of review by </w:t>
      </w:r>
      <w:r w:rsidR="00DD6C5F">
        <w:rPr>
          <w:rFonts w:ascii="Century Schoolbook" w:hAnsi="Century Schoolbook"/>
        </w:rPr>
        <w:t>SCONC</w:t>
      </w:r>
      <w:r w:rsidRPr="00B6669B">
        <w:rPr>
          <w:rFonts w:ascii="Century Schoolbook" w:hAnsi="Century Schoolbook"/>
        </w:rPr>
        <w:t xml:space="preserve"> will be limited to the issues listed in the </w:t>
      </w:r>
      <w:r w:rsidRPr="00B6669B">
        <w:rPr>
          <w:rFonts w:ascii="Century Schoolbook" w:hAnsi="Century Schoolbook"/>
        </w:rPr>
        <w:lastRenderedPageBreak/>
        <w:t xml:space="preserve">State’s PDR. N.C. R. App. P. 15(d) and 16(a). There is no limit on compensable hours preparing a </w:t>
      </w:r>
      <w:r w:rsidR="00A37F13">
        <w:rPr>
          <w:rFonts w:ascii="Century Schoolbook" w:hAnsi="Century Schoolbook"/>
        </w:rPr>
        <w:t xml:space="preserve">response. </w:t>
      </w:r>
      <w:r w:rsidR="008507BF" w:rsidRPr="00B6669B">
        <w:rPr>
          <w:rFonts w:ascii="Century Schoolbook" w:hAnsi="Century Schoolbook"/>
        </w:rPr>
        <w:t xml:space="preserve">For tips on preparing persuasive PDR responses, see the “Getting Discretionary Review” memo. </w:t>
      </w:r>
    </w:p>
    <w:p w14:paraId="68447FB5" w14:textId="77777777" w:rsidR="008507BF" w:rsidRPr="00B6669B" w:rsidRDefault="008507BF" w:rsidP="008507BF">
      <w:pPr>
        <w:pStyle w:val="NormalWeb"/>
        <w:numPr>
          <w:ilvl w:val="0"/>
          <w:numId w:val="20"/>
        </w:numPr>
        <w:spacing w:before="336" w:beforeAutospacing="0" w:after="0" w:afterAutospacing="0"/>
        <w:ind w:right="38"/>
        <w:jc w:val="both"/>
        <w:rPr>
          <w:rFonts w:ascii="Century Schoolbook" w:hAnsi="Century Schoolbook"/>
        </w:rPr>
      </w:pPr>
      <w:r w:rsidRPr="00B6669B">
        <w:rPr>
          <w:rFonts w:ascii="Century Schoolbook" w:hAnsi="Century Schoolbook"/>
          <w:b/>
          <w:bCs/>
          <w:color w:val="000000"/>
        </w:rPr>
        <w:t>A Note on Federal Habeas </w:t>
      </w:r>
    </w:p>
    <w:p w14:paraId="68447FB6" w14:textId="77777777" w:rsidR="005A67BD" w:rsidRPr="00B6669B" w:rsidRDefault="005A67BD" w:rsidP="005A67BD">
      <w:pPr>
        <w:pStyle w:val="NormalWeb"/>
        <w:spacing w:before="38" w:beforeAutospacing="0" w:after="0" w:afterAutospacing="0"/>
        <w:ind w:right="3811"/>
        <w:rPr>
          <w:rFonts w:ascii="Century Schoolbook" w:hAnsi="Century Schoolbook"/>
        </w:rPr>
      </w:pPr>
    </w:p>
    <w:p w14:paraId="68447FB7" w14:textId="16C41D94" w:rsidR="008507BF" w:rsidRDefault="008507BF" w:rsidP="00B6669B">
      <w:pPr>
        <w:ind w:firstLine="720"/>
        <w:jc w:val="both"/>
        <w:rPr>
          <w:rFonts w:ascii="Century Schoolbook" w:hAnsi="Century Schoolbook"/>
          <w:color w:val="000000"/>
        </w:rPr>
      </w:pPr>
      <w:r w:rsidRPr="00B6669B">
        <w:rPr>
          <w:rFonts w:ascii="Century Schoolbook" w:hAnsi="Century Schoolbook"/>
          <w:i/>
          <w:color w:val="000000"/>
        </w:rPr>
        <w:t>I</w:t>
      </w:r>
      <w:r w:rsidR="005A67BD" w:rsidRPr="00B6669B">
        <w:rPr>
          <w:rFonts w:ascii="Century Schoolbook" w:hAnsi="Century Schoolbook"/>
          <w:i/>
          <w:iCs/>
          <w:color w:val="000000"/>
        </w:rPr>
        <w:t>rrespective of statutory criteria</w:t>
      </w:r>
      <w:r w:rsidR="005A67BD" w:rsidRPr="00A37F13">
        <w:rPr>
          <w:rFonts w:ascii="Century Schoolbook" w:hAnsi="Century Schoolbook"/>
          <w:iCs/>
          <w:color w:val="000000"/>
        </w:rPr>
        <w:t>,</w:t>
      </w:r>
      <w:r w:rsidR="005A67BD" w:rsidRPr="00B6669B">
        <w:rPr>
          <w:rFonts w:ascii="Century Schoolbook" w:hAnsi="Century Schoolbook"/>
          <w:i/>
          <w:iCs/>
          <w:color w:val="000000"/>
        </w:rPr>
        <w:t xml:space="preserve"> </w:t>
      </w:r>
      <w:r w:rsidRPr="00B6669B">
        <w:rPr>
          <w:rFonts w:ascii="Century Schoolbook" w:hAnsi="Century Schoolbook"/>
          <w:color w:val="000000"/>
        </w:rPr>
        <w:t>a PDR</w:t>
      </w:r>
      <w:r w:rsidR="005A67BD" w:rsidRPr="00B6669B">
        <w:rPr>
          <w:rFonts w:ascii="Century Schoolbook" w:hAnsi="Century Schoolbook"/>
          <w:color w:val="000000"/>
        </w:rPr>
        <w:t xml:space="preserve"> should be filed if a promising federal constitutional claim was raised in the COA, </w:t>
      </w:r>
      <w:proofErr w:type="gramStart"/>
      <w:r w:rsidR="005A67BD" w:rsidRPr="00B6669B">
        <w:rPr>
          <w:rFonts w:ascii="Century Schoolbook" w:hAnsi="Century Schoolbook"/>
          <w:color w:val="000000"/>
        </w:rPr>
        <w:t xml:space="preserve">in order </w:t>
      </w:r>
      <w:r w:rsidR="005A67BD" w:rsidRPr="00B6669B">
        <w:rPr>
          <w:rFonts w:ascii="Century Schoolbook" w:hAnsi="Century Schoolbook"/>
          <w:bCs/>
          <w:color w:val="000000"/>
        </w:rPr>
        <w:t>to</w:t>
      </w:r>
      <w:proofErr w:type="gramEnd"/>
      <w:r w:rsidR="005A67BD" w:rsidRPr="00B6669B">
        <w:rPr>
          <w:rFonts w:ascii="Century Schoolbook" w:hAnsi="Century Schoolbook"/>
          <w:bCs/>
          <w:color w:val="000000"/>
        </w:rPr>
        <w:t xml:space="preserve"> exhaust state remedies </w:t>
      </w:r>
      <w:r w:rsidR="005A67BD" w:rsidRPr="00B6669B">
        <w:rPr>
          <w:rFonts w:ascii="Century Schoolbook" w:hAnsi="Century Schoolbook"/>
          <w:color w:val="000000"/>
        </w:rPr>
        <w:t>and preserve the client’s right to federal habeas corpus review. </w:t>
      </w:r>
    </w:p>
    <w:p w14:paraId="7CAF6C43" w14:textId="77777777" w:rsidR="00D21802" w:rsidRPr="00B6669B" w:rsidRDefault="00D21802" w:rsidP="00B6669B">
      <w:pPr>
        <w:ind w:firstLine="720"/>
        <w:jc w:val="both"/>
        <w:rPr>
          <w:rFonts w:ascii="Century Schoolbook" w:hAnsi="Century Schoolbook"/>
          <w:color w:val="000000"/>
        </w:rPr>
      </w:pPr>
    </w:p>
    <w:p w14:paraId="68447FB8" w14:textId="6FADC98C" w:rsidR="00C530A1" w:rsidRPr="00B6669B" w:rsidRDefault="008507BF" w:rsidP="00C530A1">
      <w:pPr>
        <w:pStyle w:val="NormalWeb"/>
        <w:spacing w:before="38" w:beforeAutospacing="0" w:after="0" w:afterAutospacing="0"/>
        <w:ind w:right="240"/>
        <w:rPr>
          <w:rFonts w:ascii="Century Schoolbook" w:hAnsi="Century Schoolbook"/>
          <w:b/>
        </w:rPr>
      </w:pPr>
      <w:r w:rsidRPr="00B6669B">
        <w:rPr>
          <w:rFonts w:ascii="Century Schoolbook" w:hAnsi="Century Schoolbook"/>
          <w:b/>
          <w:color w:val="000000"/>
        </w:rPr>
        <w:t>D</w:t>
      </w:r>
      <w:r w:rsidR="00C530A1" w:rsidRPr="00B6669B">
        <w:rPr>
          <w:rFonts w:ascii="Century Schoolbook" w:hAnsi="Century Schoolbook"/>
          <w:b/>
          <w:color w:val="000000"/>
        </w:rPr>
        <w:t>. Notice of Appeal Based on a Dissent</w:t>
      </w:r>
      <w:r w:rsidR="00EB17A0">
        <w:rPr>
          <w:rStyle w:val="FootnoteReference"/>
          <w:rFonts w:ascii="Century Schoolbook" w:hAnsi="Century Schoolbook"/>
          <w:b/>
          <w:color w:val="000000"/>
        </w:rPr>
        <w:footnoteReference w:id="1"/>
      </w:r>
    </w:p>
    <w:p w14:paraId="68447FB9" w14:textId="655D35C1" w:rsidR="00BD508A" w:rsidRPr="00B6669B" w:rsidRDefault="00C530A1" w:rsidP="008507BF">
      <w:pPr>
        <w:pStyle w:val="NormalWeb"/>
        <w:spacing w:before="341" w:beforeAutospacing="0" w:after="0" w:afterAutospacing="0"/>
        <w:ind w:right="10" w:firstLine="720"/>
        <w:jc w:val="both"/>
        <w:rPr>
          <w:rFonts w:ascii="Century Schoolbook" w:hAnsi="Century Schoolbook"/>
          <w:color w:val="000000"/>
        </w:rPr>
      </w:pPr>
      <w:r w:rsidRPr="00B6669B">
        <w:rPr>
          <w:rFonts w:ascii="Century Schoolbook" w:hAnsi="Century Schoolbook"/>
          <w:color w:val="000000"/>
        </w:rPr>
        <w:t xml:space="preserve">If there was a dissent in the COA, the losing party has an appeal of right to </w:t>
      </w:r>
      <w:r w:rsidR="00DD6C5F">
        <w:rPr>
          <w:rFonts w:ascii="Century Schoolbook" w:hAnsi="Century Schoolbook"/>
          <w:color w:val="000000"/>
        </w:rPr>
        <w:t>SCONC</w:t>
      </w:r>
      <w:r w:rsidRPr="00B6669B">
        <w:rPr>
          <w:rFonts w:ascii="Century Schoolbook" w:hAnsi="Century Schoolbook"/>
          <w:color w:val="000000"/>
        </w:rPr>
        <w:t xml:space="preserve">, but only as to issues specifically stated in the dissenting opinion. The NOA must set forth those issues and must be filed in both </w:t>
      </w:r>
      <w:r w:rsidR="00DD6C5F">
        <w:rPr>
          <w:rFonts w:ascii="Century Schoolbook" w:hAnsi="Century Schoolbook"/>
          <w:color w:val="000000"/>
        </w:rPr>
        <w:t>SCONC</w:t>
      </w:r>
      <w:r w:rsidRPr="00B6669B">
        <w:rPr>
          <w:rFonts w:ascii="Century Schoolbook" w:hAnsi="Century Schoolbook"/>
          <w:color w:val="000000"/>
        </w:rPr>
        <w:t xml:space="preserve"> and COA within 15 days of the mandate (</w:t>
      </w:r>
      <w:r w:rsidRPr="00B6669B">
        <w:rPr>
          <w:rFonts w:ascii="Century Schoolbook" w:hAnsi="Century Schoolbook"/>
          <w:i/>
          <w:iCs/>
          <w:color w:val="000000"/>
        </w:rPr>
        <w:t xml:space="preserve">i.e., </w:t>
      </w:r>
      <w:r w:rsidR="00C35748">
        <w:rPr>
          <w:rFonts w:ascii="Century Schoolbook" w:hAnsi="Century Schoolbook"/>
          <w:color w:val="000000"/>
        </w:rPr>
        <w:t xml:space="preserve">usually </w:t>
      </w:r>
      <w:r w:rsidRPr="00B6669B">
        <w:rPr>
          <w:rFonts w:ascii="Century Schoolbook" w:hAnsi="Century Schoolbook"/>
          <w:color w:val="000000"/>
        </w:rPr>
        <w:t>35 days from the panel opinion), or 15 days f</w:t>
      </w:r>
      <w:r w:rsidR="00BD508A" w:rsidRPr="00B6669B">
        <w:rPr>
          <w:rFonts w:ascii="Century Schoolbook" w:hAnsi="Century Schoolbook"/>
          <w:color w:val="000000"/>
        </w:rPr>
        <w:t>rom an order denying a MEBR.</w:t>
      </w:r>
    </w:p>
    <w:p w14:paraId="68447FBA" w14:textId="17089F3F" w:rsidR="00C530A1" w:rsidRPr="00B6669B" w:rsidRDefault="00BD508A" w:rsidP="008507BF">
      <w:pPr>
        <w:pStyle w:val="NormalWeb"/>
        <w:spacing w:before="341" w:beforeAutospacing="0" w:after="0" w:afterAutospacing="0"/>
        <w:ind w:right="10" w:firstLine="720"/>
        <w:jc w:val="both"/>
        <w:rPr>
          <w:rFonts w:ascii="Century Schoolbook" w:hAnsi="Century Schoolbook"/>
        </w:rPr>
      </w:pPr>
      <w:r w:rsidRPr="00B6669B">
        <w:rPr>
          <w:rFonts w:ascii="Century Schoolbook" w:hAnsi="Century Schoolbook"/>
          <w:color w:val="000000"/>
        </w:rPr>
        <w:t>An accompanying</w:t>
      </w:r>
      <w:r w:rsidR="00C530A1" w:rsidRPr="00B6669B">
        <w:rPr>
          <w:rFonts w:ascii="Century Schoolbook" w:hAnsi="Century Schoolbook"/>
          <w:color w:val="000000"/>
        </w:rPr>
        <w:t xml:space="preserve"> PDR is necessary if issues not </w:t>
      </w:r>
      <w:r w:rsidRPr="00B6669B">
        <w:rPr>
          <w:rFonts w:ascii="Century Schoolbook" w:hAnsi="Century Schoolbook"/>
          <w:color w:val="000000"/>
        </w:rPr>
        <w:t>addressed</w:t>
      </w:r>
      <w:r w:rsidR="00C530A1" w:rsidRPr="00B6669B">
        <w:rPr>
          <w:rFonts w:ascii="Century Schoolbook" w:hAnsi="Century Schoolbook"/>
          <w:color w:val="000000"/>
        </w:rPr>
        <w:t xml:space="preserve"> in the dissent are to be raised. A new brief is due in </w:t>
      </w:r>
      <w:r w:rsidR="00DD6C5F">
        <w:rPr>
          <w:rFonts w:ascii="Century Schoolbook" w:hAnsi="Century Schoolbook"/>
          <w:color w:val="000000"/>
        </w:rPr>
        <w:t>SCONC</w:t>
      </w:r>
      <w:r w:rsidR="00C530A1" w:rsidRPr="00B6669B">
        <w:rPr>
          <w:rFonts w:ascii="Century Schoolbook" w:hAnsi="Century Schoolbook"/>
          <w:color w:val="000000"/>
        </w:rPr>
        <w:t xml:space="preserve"> within 30 days after filing the NOA, unless the NOA was combined with a PDR on additional issues, in which event the brief is due 30 days after an </w:t>
      </w:r>
      <w:r w:rsidR="00DD6C5F">
        <w:rPr>
          <w:rFonts w:ascii="Century Schoolbook" w:hAnsi="Century Schoolbook"/>
          <w:color w:val="000000"/>
        </w:rPr>
        <w:t>SCONC</w:t>
      </w:r>
      <w:r w:rsidR="00C530A1" w:rsidRPr="00B6669B">
        <w:rPr>
          <w:rFonts w:ascii="Century Schoolbook" w:hAnsi="Century Schoolbook"/>
          <w:color w:val="000000"/>
        </w:rPr>
        <w:t xml:space="preserve"> order granting or denying the PDR. </w:t>
      </w:r>
      <w:r w:rsidRPr="00B6669B">
        <w:rPr>
          <w:rFonts w:ascii="Century Schoolbook" w:hAnsi="Century Schoolbook"/>
          <w:i/>
          <w:color w:val="000000"/>
        </w:rPr>
        <w:t xml:space="preserve">See </w:t>
      </w:r>
      <w:r w:rsidR="00C530A1" w:rsidRPr="00B6669B">
        <w:rPr>
          <w:rFonts w:ascii="Century Schoolbook" w:hAnsi="Century Schoolbook"/>
          <w:color w:val="000000"/>
        </w:rPr>
        <w:t>N.C.G.S. § 7A-30(2); N.C. R. App. P. 14(b)(1) &amp; (d)(1), 16(b) and 31.1(d). Appointed counsel must get the client’s written consent before filing a NOA based on a dissent</w:t>
      </w:r>
      <w:r w:rsidR="00C530A1" w:rsidRPr="00A37F13">
        <w:rPr>
          <w:rFonts w:ascii="Century Schoolbook" w:hAnsi="Century Schoolbook"/>
          <w:color w:val="000000"/>
        </w:rPr>
        <w:t xml:space="preserve">. </w:t>
      </w:r>
      <w:r w:rsidR="00A37F13">
        <w:rPr>
          <w:rFonts w:ascii="Century Schoolbook" w:hAnsi="Century Schoolbook"/>
          <w:color w:val="000000"/>
        </w:rPr>
        <w:t xml:space="preserve">The IDS policy on appeals of right is included in the materials. </w:t>
      </w:r>
    </w:p>
    <w:p w14:paraId="68447FBB" w14:textId="77777777" w:rsidR="00C530A1" w:rsidRPr="00B6669B" w:rsidRDefault="00C530A1" w:rsidP="00C530A1">
      <w:pPr>
        <w:rPr>
          <w:rFonts w:ascii="Century Schoolbook" w:hAnsi="Century Schoolbook"/>
        </w:rPr>
      </w:pPr>
    </w:p>
    <w:p w14:paraId="68447FBC" w14:textId="77777777" w:rsidR="00C530A1" w:rsidRPr="00B6669B" w:rsidRDefault="008507BF" w:rsidP="00C530A1">
      <w:pPr>
        <w:pStyle w:val="NormalWeb"/>
        <w:spacing w:before="38" w:beforeAutospacing="0" w:after="0" w:afterAutospacing="0"/>
        <w:ind w:right="240"/>
        <w:rPr>
          <w:rFonts w:ascii="Century Schoolbook" w:hAnsi="Century Schoolbook"/>
          <w:b/>
        </w:rPr>
      </w:pPr>
      <w:r w:rsidRPr="00B6669B">
        <w:rPr>
          <w:rFonts w:ascii="Century Schoolbook" w:hAnsi="Century Schoolbook"/>
          <w:b/>
          <w:color w:val="000000"/>
        </w:rPr>
        <w:t>E</w:t>
      </w:r>
      <w:r w:rsidR="00C530A1" w:rsidRPr="00B6669B">
        <w:rPr>
          <w:rFonts w:ascii="Century Schoolbook" w:hAnsi="Century Schoolbook"/>
          <w:b/>
          <w:color w:val="000000"/>
        </w:rPr>
        <w:t xml:space="preserve">. Notice of Appeal Based on a Substantial </w:t>
      </w:r>
      <w:r w:rsidRPr="00B6669B">
        <w:rPr>
          <w:rFonts w:ascii="Century Schoolbook" w:hAnsi="Century Schoolbook"/>
          <w:b/>
          <w:color w:val="000000"/>
        </w:rPr>
        <w:t>Constitutional</w:t>
      </w:r>
      <w:r w:rsidR="00C530A1" w:rsidRPr="00B6669B">
        <w:rPr>
          <w:rFonts w:ascii="Century Schoolbook" w:hAnsi="Century Schoolbook"/>
          <w:b/>
          <w:color w:val="000000"/>
        </w:rPr>
        <w:t xml:space="preserve"> Question </w:t>
      </w:r>
    </w:p>
    <w:p w14:paraId="68447FBD" w14:textId="059B66B0" w:rsidR="00BD508A" w:rsidRPr="00B6669B" w:rsidRDefault="00C530A1" w:rsidP="00A37F13">
      <w:pPr>
        <w:pStyle w:val="NormalWeb"/>
        <w:spacing w:before="336" w:beforeAutospacing="0" w:after="0" w:afterAutospacing="0"/>
        <w:ind w:right="211" w:firstLine="720"/>
        <w:jc w:val="both"/>
        <w:rPr>
          <w:rFonts w:ascii="Century Schoolbook" w:hAnsi="Century Schoolbook"/>
        </w:rPr>
      </w:pPr>
      <w:r w:rsidRPr="00B6669B">
        <w:rPr>
          <w:rFonts w:ascii="Century Schoolbook" w:hAnsi="Century Schoolbook"/>
          <w:color w:val="000000"/>
        </w:rPr>
        <w:t xml:space="preserve">The statutes and rules provide a right to appeal </w:t>
      </w:r>
      <w:r w:rsidR="00BD508A" w:rsidRPr="00B6669B">
        <w:rPr>
          <w:rFonts w:ascii="Century Schoolbook" w:hAnsi="Century Schoolbook"/>
          <w:color w:val="000000"/>
        </w:rPr>
        <w:t xml:space="preserve">to </w:t>
      </w:r>
      <w:r w:rsidR="00DD6C5F">
        <w:rPr>
          <w:rFonts w:ascii="Century Schoolbook" w:hAnsi="Century Schoolbook"/>
          <w:color w:val="000000"/>
        </w:rPr>
        <w:t>SCONC</w:t>
      </w:r>
      <w:r w:rsidR="00BD508A" w:rsidRPr="00B6669B">
        <w:rPr>
          <w:rFonts w:ascii="Century Schoolbook" w:hAnsi="Century Schoolbook"/>
          <w:color w:val="000000"/>
        </w:rPr>
        <w:t xml:space="preserve"> if the COA’s opinion involves a “</w:t>
      </w:r>
      <w:r w:rsidRPr="00B6669B">
        <w:rPr>
          <w:rFonts w:ascii="Century Schoolbook" w:hAnsi="Century Schoolbook"/>
          <w:color w:val="000000"/>
        </w:rPr>
        <w:t>substantial constitutional question.</w:t>
      </w:r>
      <w:r w:rsidR="00BD508A" w:rsidRPr="00B6669B">
        <w:rPr>
          <w:rFonts w:ascii="Century Schoolbook" w:hAnsi="Century Schoolbook"/>
          <w:color w:val="000000"/>
        </w:rPr>
        <w:t>”</w:t>
      </w:r>
      <w:r w:rsidRPr="00B6669B">
        <w:rPr>
          <w:rFonts w:ascii="Century Schoolbook" w:hAnsi="Century Schoolbook"/>
          <w:color w:val="000000"/>
        </w:rPr>
        <w:t xml:space="preserve"> N.C.G.S. § 7A-30(1); N.C. R. App. P. 14(b)(2)</w:t>
      </w:r>
      <w:r w:rsidR="00BD508A" w:rsidRPr="00B6669B">
        <w:rPr>
          <w:rFonts w:ascii="Century Schoolbook" w:hAnsi="Century Schoolbook"/>
          <w:color w:val="000000"/>
        </w:rPr>
        <w:t>, 16(a)</w:t>
      </w:r>
      <w:r w:rsidRPr="00B6669B">
        <w:rPr>
          <w:rFonts w:ascii="Century Schoolbook" w:hAnsi="Century Schoolbook"/>
          <w:color w:val="000000"/>
        </w:rPr>
        <w:t xml:space="preserve">. A new brief is not due in </w:t>
      </w:r>
      <w:r w:rsidR="00DD6C5F">
        <w:rPr>
          <w:rFonts w:ascii="Century Schoolbook" w:hAnsi="Century Schoolbook"/>
          <w:color w:val="000000"/>
        </w:rPr>
        <w:t>SCONC</w:t>
      </w:r>
      <w:r w:rsidRPr="00B6669B">
        <w:rPr>
          <w:rFonts w:ascii="Century Schoolbook" w:hAnsi="Century Schoolbook"/>
          <w:color w:val="000000"/>
        </w:rPr>
        <w:t xml:space="preserve"> until 30 days after </w:t>
      </w:r>
      <w:r w:rsidR="00DD6C5F">
        <w:rPr>
          <w:rFonts w:ascii="Century Schoolbook" w:hAnsi="Century Schoolbook"/>
          <w:color w:val="000000"/>
        </w:rPr>
        <w:t>SCONC</w:t>
      </w:r>
      <w:r w:rsidRPr="00B6669B">
        <w:rPr>
          <w:rFonts w:ascii="Century Schoolbook" w:hAnsi="Century Schoolbook"/>
          <w:color w:val="000000"/>
        </w:rPr>
        <w:t xml:space="preserve"> enters an order d</w:t>
      </w:r>
      <w:r w:rsidR="008507BF" w:rsidRPr="00B6669B">
        <w:rPr>
          <w:rFonts w:ascii="Century Schoolbook" w:hAnsi="Century Schoolbook"/>
          <w:color w:val="000000"/>
        </w:rPr>
        <w:t xml:space="preserve">etermining that the appeal does </w:t>
      </w:r>
      <w:r w:rsidRPr="00B6669B">
        <w:rPr>
          <w:rFonts w:ascii="Century Schoolbook" w:hAnsi="Century Schoolbook"/>
          <w:color w:val="000000"/>
        </w:rPr>
        <w:t xml:space="preserve">indeed present a </w:t>
      </w:r>
      <w:r w:rsidRPr="00B6669B">
        <w:rPr>
          <w:rFonts w:ascii="Century Schoolbook" w:hAnsi="Century Schoolbook"/>
          <w:i/>
          <w:iCs/>
          <w:color w:val="000000"/>
        </w:rPr>
        <w:t xml:space="preserve">substantial </w:t>
      </w:r>
      <w:r w:rsidRPr="00B6669B">
        <w:rPr>
          <w:rFonts w:ascii="Century Schoolbook" w:hAnsi="Century Schoolbook"/>
          <w:color w:val="000000"/>
        </w:rPr>
        <w:t xml:space="preserve">constitutional question. N.C. R. App. P. 14(d)(1). As this determination is within </w:t>
      </w:r>
      <w:r w:rsidR="00DD6C5F">
        <w:rPr>
          <w:rFonts w:ascii="Century Schoolbook" w:hAnsi="Century Schoolbook"/>
          <w:color w:val="000000"/>
        </w:rPr>
        <w:t>SCONC</w:t>
      </w:r>
      <w:r w:rsidRPr="00B6669B">
        <w:rPr>
          <w:rFonts w:ascii="Century Schoolbook" w:hAnsi="Century Schoolbook"/>
          <w:color w:val="000000"/>
        </w:rPr>
        <w:t xml:space="preserve">’s discretion, a NOA based on a constitutional issue should </w:t>
      </w:r>
      <w:r w:rsidRPr="00B6669B">
        <w:rPr>
          <w:rFonts w:ascii="Century Schoolbook" w:hAnsi="Century Schoolbook"/>
          <w:b/>
          <w:i/>
          <w:iCs/>
          <w:color w:val="000000"/>
          <w:u w:val="single"/>
        </w:rPr>
        <w:t>always</w:t>
      </w:r>
      <w:r w:rsidRPr="00B6669B">
        <w:rPr>
          <w:rFonts w:ascii="Century Schoolbook" w:hAnsi="Century Schoolbook"/>
          <w:i/>
          <w:iCs/>
          <w:color w:val="000000"/>
        </w:rPr>
        <w:t xml:space="preserve"> </w:t>
      </w:r>
      <w:r w:rsidRPr="00B6669B">
        <w:rPr>
          <w:rFonts w:ascii="Century Schoolbook" w:hAnsi="Century Schoolbook"/>
          <w:color w:val="000000"/>
        </w:rPr>
        <w:t xml:space="preserve">be combined with a PDR in the alternative. </w:t>
      </w:r>
    </w:p>
    <w:p w14:paraId="68447FBE" w14:textId="01CAA1AA" w:rsidR="00A37F13" w:rsidRPr="00B6669B" w:rsidRDefault="00A37F13" w:rsidP="00A37F13">
      <w:pPr>
        <w:pStyle w:val="NormalWeb"/>
        <w:spacing w:before="336" w:beforeAutospacing="0" w:after="0" w:afterAutospacing="0"/>
        <w:ind w:right="10"/>
        <w:rPr>
          <w:rFonts w:ascii="Century Schoolbook" w:hAnsi="Century Schoolbook"/>
          <w:b/>
        </w:rPr>
      </w:pPr>
      <w:r>
        <w:rPr>
          <w:rFonts w:ascii="Century Schoolbook" w:hAnsi="Century Schoolbook"/>
          <w:b/>
          <w:color w:val="000000"/>
        </w:rPr>
        <w:t>F</w:t>
      </w:r>
      <w:r w:rsidRPr="00B6669B">
        <w:rPr>
          <w:rFonts w:ascii="Century Schoolbook" w:hAnsi="Century Schoolbook"/>
          <w:b/>
          <w:color w:val="000000"/>
        </w:rPr>
        <w:t xml:space="preserve">. Remand from </w:t>
      </w:r>
      <w:r w:rsidR="00DD6C5F">
        <w:rPr>
          <w:rFonts w:ascii="Century Schoolbook" w:hAnsi="Century Schoolbook"/>
          <w:b/>
          <w:color w:val="000000"/>
        </w:rPr>
        <w:t>SCONC</w:t>
      </w:r>
      <w:r w:rsidRPr="00B6669B">
        <w:rPr>
          <w:rFonts w:ascii="Century Schoolbook" w:hAnsi="Century Schoolbook"/>
          <w:b/>
          <w:color w:val="000000"/>
        </w:rPr>
        <w:t xml:space="preserve"> to the COA</w:t>
      </w:r>
    </w:p>
    <w:p w14:paraId="68447FBF" w14:textId="77777777" w:rsidR="00A37F13" w:rsidRPr="00B6669B" w:rsidRDefault="00A37F13" w:rsidP="00A37F13">
      <w:pPr>
        <w:rPr>
          <w:rFonts w:ascii="Century Schoolbook" w:hAnsi="Century Schoolbook"/>
        </w:rPr>
      </w:pPr>
    </w:p>
    <w:p w14:paraId="68447FC0" w14:textId="0F459136" w:rsidR="00A37F13" w:rsidRDefault="00A37F13" w:rsidP="00A37F13">
      <w:pPr>
        <w:jc w:val="both"/>
        <w:rPr>
          <w:rFonts w:ascii="Century Schoolbook" w:hAnsi="Century Schoolbook"/>
        </w:rPr>
      </w:pPr>
      <w:r w:rsidRPr="00B6669B">
        <w:rPr>
          <w:rFonts w:ascii="Century Schoolbook" w:hAnsi="Century Schoolbook"/>
        </w:rPr>
        <w:tab/>
        <w:t xml:space="preserve">Occasionally </w:t>
      </w:r>
      <w:r w:rsidR="00DD6C5F">
        <w:rPr>
          <w:rFonts w:ascii="Century Schoolbook" w:hAnsi="Century Schoolbook"/>
        </w:rPr>
        <w:t>SCONC</w:t>
      </w:r>
      <w:r w:rsidRPr="00B6669B">
        <w:rPr>
          <w:rFonts w:ascii="Century Schoolbook" w:hAnsi="Century Schoolbook"/>
        </w:rPr>
        <w:t xml:space="preserve"> will remand a case back to the </w:t>
      </w:r>
      <w:r>
        <w:rPr>
          <w:rFonts w:ascii="Century Schoolbook" w:hAnsi="Century Schoolbook"/>
        </w:rPr>
        <w:t>COA</w:t>
      </w:r>
      <w:r w:rsidRPr="00B6669B">
        <w:rPr>
          <w:rFonts w:ascii="Century Schoolbook" w:hAnsi="Century Schoolbook"/>
        </w:rPr>
        <w:t xml:space="preserve"> after its decision. Most often, this is so the COA can address any remaining issues in the original </w:t>
      </w:r>
      <w:r w:rsidRPr="00B6669B">
        <w:rPr>
          <w:rFonts w:ascii="Century Schoolbook" w:hAnsi="Century Schoolbook"/>
        </w:rPr>
        <w:lastRenderedPageBreak/>
        <w:t xml:space="preserve">appeal. In some circumstances, </w:t>
      </w:r>
      <w:r w:rsidR="00DD6C5F">
        <w:rPr>
          <w:rFonts w:ascii="Century Schoolbook" w:hAnsi="Century Schoolbook"/>
        </w:rPr>
        <w:t>SCONC</w:t>
      </w:r>
      <w:r w:rsidRPr="00B6669B">
        <w:rPr>
          <w:rFonts w:ascii="Century Schoolbook" w:hAnsi="Century Schoolbook"/>
        </w:rPr>
        <w:t xml:space="preserve"> will remand to the COA for re-consideration </w:t>
      </w:r>
      <w:proofErr w:type="gramStart"/>
      <w:r w:rsidRPr="00B6669B">
        <w:rPr>
          <w:rFonts w:ascii="Century Schoolbook" w:hAnsi="Century Schoolbook"/>
        </w:rPr>
        <w:t>in light of</w:t>
      </w:r>
      <w:proofErr w:type="gramEnd"/>
      <w:r w:rsidRPr="00B6669B">
        <w:rPr>
          <w:rFonts w:ascii="Century Schoolbook" w:hAnsi="Century Schoolbook"/>
        </w:rPr>
        <w:t xml:space="preserve"> an intervening precedent. If your case is remanded to the COA, consider whether it makes sense to move for supplemental briefing, particularly if remand is based on the latter</w:t>
      </w:r>
      <w:r>
        <w:rPr>
          <w:rFonts w:ascii="Century Schoolbook" w:hAnsi="Century Schoolbook"/>
        </w:rPr>
        <w:t xml:space="preserve"> circumstance</w:t>
      </w:r>
      <w:r w:rsidRPr="00B6669B">
        <w:rPr>
          <w:rFonts w:ascii="Century Schoolbook" w:hAnsi="Century Schoolbook"/>
        </w:rPr>
        <w:t xml:space="preserve">. </w:t>
      </w:r>
    </w:p>
    <w:p w14:paraId="68447FC1" w14:textId="77777777" w:rsidR="00A37F13" w:rsidRPr="00B6669B" w:rsidRDefault="00A37F13" w:rsidP="00A37F13">
      <w:pPr>
        <w:jc w:val="both"/>
        <w:rPr>
          <w:rFonts w:ascii="Century Schoolbook" w:hAnsi="Century Schoolbook"/>
        </w:rPr>
      </w:pPr>
      <w:r w:rsidRPr="00B6669B">
        <w:rPr>
          <w:rFonts w:ascii="Century Schoolbook" w:hAnsi="Century Schoolbook"/>
        </w:rPr>
        <w:t xml:space="preserve">   </w:t>
      </w:r>
    </w:p>
    <w:p w14:paraId="68447FC2" w14:textId="77777777" w:rsidR="00C530A1" w:rsidRPr="00B6669B" w:rsidRDefault="00A37F13" w:rsidP="00C530A1">
      <w:pPr>
        <w:pStyle w:val="NormalWeb"/>
        <w:spacing w:before="38" w:beforeAutospacing="0" w:after="0" w:afterAutospacing="0"/>
        <w:ind w:right="240"/>
        <w:rPr>
          <w:rFonts w:ascii="Century Schoolbook" w:hAnsi="Century Schoolbook"/>
          <w:b/>
        </w:rPr>
      </w:pPr>
      <w:r>
        <w:rPr>
          <w:rFonts w:ascii="Century Schoolbook" w:hAnsi="Century Schoolbook"/>
          <w:b/>
          <w:color w:val="000000"/>
        </w:rPr>
        <w:t>G</w:t>
      </w:r>
      <w:r w:rsidR="00C530A1" w:rsidRPr="00B6669B">
        <w:rPr>
          <w:rFonts w:ascii="Century Schoolbook" w:hAnsi="Century Schoolbook"/>
          <w:b/>
          <w:color w:val="000000"/>
        </w:rPr>
        <w:t xml:space="preserve">. </w:t>
      </w:r>
      <w:r>
        <w:rPr>
          <w:rFonts w:ascii="Century Schoolbook" w:hAnsi="Century Schoolbook"/>
          <w:b/>
          <w:color w:val="000000"/>
        </w:rPr>
        <w:t xml:space="preserve">Petition for a Writ of </w:t>
      </w:r>
      <w:r w:rsidR="00C530A1" w:rsidRPr="00B6669B">
        <w:rPr>
          <w:rFonts w:ascii="Century Schoolbook" w:hAnsi="Century Schoolbook"/>
          <w:b/>
          <w:color w:val="000000"/>
        </w:rPr>
        <w:t xml:space="preserve">Certiorari </w:t>
      </w:r>
      <w:r>
        <w:rPr>
          <w:rFonts w:ascii="Century Schoolbook" w:hAnsi="Century Schoolbook"/>
          <w:b/>
          <w:color w:val="000000"/>
        </w:rPr>
        <w:t>(</w:t>
      </w:r>
      <w:r w:rsidR="00C530A1" w:rsidRPr="00B6669B">
        <w:rPr>
          <w:rFonts w:ascii="Century Schoolbook" w:hAnsi="Century Schoolbook"/>
          <w:b/>
          <w:color w:val="000000"/>
        </w:rPr>
        <w:t>SCOTUS</w:t>
      </w:r>
      <w:r>
        <w:rPr>
          <w:rFonts w:ascii="Century Schoolbook" w:hAnsi="Century Schoolbook"/>
          <w:b/>
          <w:color w:val="000000"/>
        </w:rPr>
        <w:t>)</w:t>
      </w:r>
    </w:p>
    <w:p w14:paraId="68447FC3" w14:textId="44DA713D" w:rsidR="00C530A1" w:rsidRPr="00B6669B" w:rsidRDefault="00C530A1" w:rsidP="00BD508A">
      <w:pPr>
        <w:pStyle w:val="NormalWeb"/>
        <w:spacing w:before="336" w:beforeAutospacing="0" w:after="0" w:afterAutospacing="0"/>
        <w:ind w:right="10" w:firstLine="720"/>
        <w:jc w:val="both"/>
        <w:rPr>
          <w:rFonts w:ascii="Century Schoolbook" w:hAnsi="Century Schoolbook"/>
        </w:rPr>
      </w:pPr>
      <w:r w:rsidRPr="00B6669B">
        <w:rPr>
          <w:rFonts w:ascii="Century Schoolbook" w:hAnsi="Century Schoolbook"/>
          <w:color w:val="000000"/>
        </w:rPr>
        <w:t>On rare occasion, it may be appropriate to petition SCOTUS for certiorari review when the case presents a well-preserved federal constitutional question decided on the merits. Cert petitions are strongest when the issue is the s</w:t>
      </w:r>
      <w:r w:rsidR="00BD508A" w:rsidRPr="00B6669B">
        <w:rPr>
          <w:rFonts w:ascii="Century Schoolbook" w:hAnsi="Century Schoolbook"/>
          <w:color w:val="000000"/>
        </w:rPr>
        <w:t>ubject of a multi-jurisdiction</w:t>
      </w:r>
      <w:r w:rsidRPr="00B6669B">
        <w:rPr>
          <w:rFonts w:ascii="Century Schoolbook" w:hAnsi="Century Schoolbook"/>
          <w:color w:val="000000"/>
        </w:rPr>
        <w:t xml:space="preserve"> split</w:t>
      </w:r>
      <w:r w:rsidR="00C35748">
        <w:rPr>
          <w:rFonts w:ascii="Century Schoolbook" w:hAnsi="Century Schoolbook"/>
          <w:color w:val="000000"/>
        </w:rPr>
        <w:t xml:space="preserve">. </w:t>
      </w:r>
      <w:r w:rsidR="00C35748" w:rsidRPr="00B6669B">
        <w:rPr>
          <w:rFonts w:ascii="Century Schoolbook" w:hAnsi="Century Schoolbook"/>
          <w:color w:val="000000"/>
        </w:rPr>
        <w:t>To</w:t>
      </w:r>
      <w:r w:rsidRPr="00B6669B">
        <w:rPr>
          <w:rFonts w:ascii="Century Schoolbook" w:hAnsi="Century Schoolbook"/>
          <w:color w:val="000000"/>
        </w:rPr>
        <w:t xml:space="preserve"> be compensated for work on a </w:t>
      </w:r>
      <w:r w:rsidR="00C35748">
        <w:rPr>
          <w:rFonts w:ascii="Century Schoolbook" w:hAnsi="Century Schoolbook"/>
          <w:color w:val="000000"/>
        </w:rPr>
        <w:t>cert p</w:t>
      </w:r>
      <w:r w:rsidRPr="00B6669B">
        <w:rPr>
          <w:rFonts w:ascii="Century Schoolbook" w:hAnsi="Century Schoolbook"/>
          <w:color w:val="000000"/>
        </w:rPr>
        <w:t>etition, appointed appellate counsel must obtain authorization from the Appellate Defender before filing a petition or responding to a petition filed by the State. The Appellate Defender retains authority to appoint other counsel at this stage of the appeal. </w:t>
      </w:r>
    </w:p>
    <w:p w14:paraId="68447FC4" w14:textId="0F8DE4B2" w:rsidR="00C530A1" w:rsidRPr="00B6669B" w:rsidRDefault="00C530A1" w:rsidP="00BD508A">
      <w:pPr>
        <w:pStyle w:val="NormalWeb"/>
        <w:spacing w:before="336" w:beforeAutospacing="0" w:after="0" w:afterAutospacing="0"/>
        <w:ind w:right="10" w:firstLine="720"/>
        <w:jc w:val="both"/>
        <w:rPr>
          <w:rFonts w:ascii="Century Schoolbook" w:hAnsi="Century Schoolbook"/>
        </w:rPr>
      </w:pPr>
      <w:r w:rsidRPr="00B6669B">
        <w:rPr>
          <w:rFonts w:ascii="Century Schoolbook" w:hAnsi="Century Schoolbook"/>
          <w:color w:val="000000"/>
        </w:rPr>
        <w:t xml:space="preserve">If you believe you have a case which might be appropriate for a cert petition, contact OAD. We have relationships with several Supreme Court Clinics around the country. These clinics routinely practice before the Court and are the experts. Soliciting their help is </w:t>
      </w:r>
      <w:r w:rsidR="00096AC1">
        <w:rPr>
          <w:rFonts w:ascii="Century Schoolbook" w:hAnsi="Century Schoolbook"/>
          <w:color w:val="000000"/>
        </w:rPr>
        <w:t xml:space="preserve">usually </w:t>
      </w:r>
      <w:r w:rsidRPr="00B6669B">
        <w:rPr>
          <w:rFonts w:ascii="Century Schoolbook" w:hAnsi="Century Schoolbook"/>
          <w:color w:val="000000"/>
        </w:rPr>
        <w:t>the best thing you can do for your client. </w:t>
      </w:r>
    </w:p>
    <w:p w14:paraId="68447FC5" w14:textId="77777777" w:rsidR="00A37F13" w:rsidRPr="00B6669B" w:rsidRDefault="00A37F13">
      <w:pPr>
        <w:jc w:val="both"/>
        <w:rPr>
          <w:rFonts w:ascii="Century Schoolbook" w:hAnsi="Century Schoolbook"/>
        </w:rPr>
      </w:pPr>
    </w:p>
    <w:sectPr w:rsidR="00A37F13" w:rsidRPr="00B6669B" w:rsidSect="00452E3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7FC8" w14:textId="77777777" w:rsidR="0000087E" w:rsidRDefault="0000087E" w:rsidP="0000087E">
      <w:r>
        <w:separator/>
      </w:r>
    </w:p>
  </w:endnote>
  <w:endnote w:type="continuationSeparator" w:id="0">
    <w:p w14:paraId="68447FC9" w14:textId="77777777" w:rsidR="0000087E" w:rsidRDefault="0000087E" w:rsidP="0000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74052"/>
      <w:docPartObj>
        <w:docPartGallery w:val="Page Numbers (Bottom of Page)"/>
        <w:docPartUnique/>
      </w:docPartObj>
    </w:sdtPr>
    <w:sdtEndPr>
      <w:rPr>
        <w:noProof/>
      </w:rPr>
    </w:sdtEndPr>
    <w:sdtContent>
      <w:p w14:paraId="68447FCA" w14:textId="77777777" w:rsidR="0000087E" w:rsidRDefault="0000087E">
        <w:pPr>
          <w:pStyle w:val="Footer"/>
          <w:jc w:val="right"/>
        </w:pPr>
        <w:r>
          <w:fldChar w:fldCharType="begin"/>
        </w:r>
        <w:r>
          <w:instrText xml:space="preserve"> PAGE   \* MERGEFORMAT </w:instrText>
        </w:r>
        <w:r>
          <w:fldChar w:fldCharType="separate"/>
        </w:r>
        <w:r w:rsidR="00526AB6">
          <w:rPr>
            <w:noProof/>
          </w:rPr>
          <w:t>8</w:t>
        </w:r>
        <w:r>
          <w:rPr>
            <w:noProof/>
          </w:rPr>
          <w:fldChar w:fldCharType="end"/>
        </w:r>
      </w:p>
    </w:sdtContent>
  </w:sdt>
  <w:p w14:paraId="68447FCB" w14:textId="77777777" w:rsidR="0000087E" w:rsidRDefault="0000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7FC6" w14:textId="77777777" w:rsidR="0000087E" w:rsidRDefault="0000087E" w:rsidP="0000087E">
      <w:r>
        <w:separator/>
      </w:r>
    </w:p>
  </w:footnote>
  <w:footnote w:type="continuationSeparator" w:id="0">
    <w:p w14:paraId="68447FC7" w14:textId="77777777" w:rsidR="0000087E" w:rsidRDefault="0000087E" w:rsidP="0000087E">
      <w:r>
        <w:continuationSeparator/>
      </w:r>
    </w:p>
  </w:footnote>
  <w:footnote w:id="1">
    <w:p w14:paraId="791A0202" w14:textId="13AE3957" w:rsidR="00EB17A0" w:rsidRPr="004A6726" w:rsidRDefault="00EB17A0" w:rsidP="00EB17A0">
      <w:pPr>
        <w:pStyle w:val="FootnoteText"/>
        <w:jc w:val="both"/>
        <w:rPr>
          <w:rFonts w:ascii="Century Schoolbook" w:hAnsi="Century Schoolbook"/>
        </w:rPr>
      </w:pPr>
      <w:r w:rsidRPr="00EB17A0">
        <w:rPr>
          <w:rStyle w:val="FootnoteReference"/>
          <w:rFonts w:ascii="Century Schoolbook" w:hAnsi="Century Schoolbook"/>
        </w:rPr>
        <w:footnoteRef/>
      </w:r>
      <w:r w:rsidRPr="00EB17A0">
        <w:rPr>
          <w:rFonts w:ascii="Century Schoolbook" w:hAnsi="Century Schoolbook"/>
        </w:rPr>
        <w:t xml:space="preserve"> Note: </w:t>
      </w:r>
      <w:r w:rsidR="00A8260C">
        <w:rPr>
          <w:rFonts w:ascii="Century Schoolbook" w:hAnsi="Century Schoolbook"/>
        </w:rPr>
        <w:t xml:space="preserve">With the passage of the </w:t>
      </w:r>
      <w:r w:rsidR="004A6726">
        <w:rPr>
          <w:rFonts w:ascii="Century Schoolbook" w:hAnsi="Century Schoolbook"/>
        </w:rPr>
        <w:t xml:space="preserve">FY </w:t>
      </w:r>
      <w:r w:rsidR="00A8260C">
        <w:rPr>
          <w:rFonts w:ascii="Century Schoolbook" w:hAnsi="Century Schoolbook"/>
        </w:rPr>
        <w:t>202</w:t>
      </w:r>
      <w:r w:rsidR="004A6726">
        <w:rPr>
          <w:rFonts w:ascii="Century Schoolbook" w:hAnsi="Century Schoolbook"/>
        </w:rPr>
        <w:t xml:space="preserve">4-25 state budget, </w:t>
      </w:r>
      <w:r w:rsidR="004A6726" w:rsidRPr="004A6726">
        <w:rPr>
          <w:rFonts w:ascii="Century Schoolbook" w:hAnsi="Century Schoolbook"/>
          <w:b/>
          <w:bCs/>
        </w:rPr>
        <w:t>d</w:t>
      </w:r>
      <w:r w:rsidR="00A8260C" w:rsidRPr="002D36A6">
        <w:rPr>
          <w:rFonts w:ascii="Century Schoolbook" w:hAnsi="Century Schoolbook"/>
          <w:b/>
          <w:color w:val="000000"/>
        </w:rPr>
        <w:t>issent-based appeals of right have been eliminated for cases “filed in the Court of Appeals” after 10/3/23.</w:t>
      </w:r>
      <w:r w:rsidR="004A6726">
        <w:rPr>
          <w:rFonts w:ascii="Century Schoolbook" w:hAnsi="Century Schoolbook"/>
          <w:b/>
          <w:color w:val="000000"/>
        </w:rPr>
        <w:t xml:space="preserve"> </w:t>
      </w:r>
      <w:r w:rsidR="004A6726">
        <w:rPr>
          <w:rFonts w:ascii="Century Schoolbook" w:hAnsi="Century Schoolbook"/>
          <w:b/>
          <w:i/>
          <w:iCs/>
          <w:color w:val="000000"/>
        </w:rPr>
        <w:t xml:space="preserve">See </w:t>
      </w:r>
      <w:r w:rsidR="004A6726">
        <w:rPr>
          <w:rFonts w:ascii="Century Schoolbook" w:hAnsi="Century Schoolbook"/>
          <w:b/>
          <w:color w:val="000000"/>
        </w:rPr>
        <w:t>N.C. Session Law</w:t>
      </w:r>
      <w:r w:rsidR="00032059">
        <w:rPr>
          <w:rFonts w:ascii="Century Schoolbook" w:hAnsi="Century Schoolbook"/>
          <w:b/>
          <w:color w:val="000000"/>
        </w:rPr>
        <w:t xml:space="preserve"> 2023-134</w:t>
      </w:r>
      <w:r w:rsidR="004A6726">
        <w:rPr>
          <w:rFonts w:ascii="Century Schoolbook" w:hAnsi="Century Schoolbook"/>
          <w:b/>
          <w:color w:val="000000"/>
        </w:rPr>
        <w:t xml:space="preserve"> </w:t>
      </w:r>
      <w:r w:rsidR="00032059" w:rsidRPr="00032059">
        <w:rPr>
          <w:rFonts w:ascii="Century Schoolbook" w:hAnsi="Century Schoolbook"/>
          <w:b/>
          <w:color w:val="000000"/>
        </w:rPr>
        <w:t>§</w:t>
      </w:r>
      <w:r w:rsidR="00032059">
        <w:rPr>
          <w:rFonts w:ascii="Century Schoolbook" w:hAnsi="Century Schoolbook"/>
          <w:b/>
          <w:color w:val="000000"/>
        </w:rPr>
        <w:t xml:space="preserve"> 16.21.(d).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CD4"/>
    <w:multiLevelType w:val="multilevel"/>
    <w:tmpl w:val="F71210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466F7"/>
    <w:multiLevelType w:val="hybridMultilevel"/>
    <w:tmpl w:val="5888BE08"/>
    <w:lvl w:ilvl="0" w:tplc="FB5EE680">
      <w:start w:val="1"/>
      <w:numFmt w:val="decimal"/>
      <w:lvlText w:val="%1."/>
      <w:lvlJc w:val="left"/>
      <w:pPr>
        <w:ind w:left="1080" w:hanging="360"/>
      </w:pPr>
      <w:rPr>
        <w:rFonts w:ascii="Century Schoolbook" w:hAnsi="Century Schoolbook"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E4726"/>
    <w:multiLevelType w:val="multilevel"/>
    <w:tmpl w:val="8CCE4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21E8D"/>
    <w:multiLevelType w:val="multilevel"/>
    <w:tmpl w:val="6A605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F7203"/>
    <w:multiLevelType w:val="multilevel"/>
    <w:tmpl w:val="3BB4C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6761"/>
    <w:multiLevelType w:val="multilevel"/>
    <w:tmpl w:val="81AAE1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C5A99"/>
    <w:multiLevelType w:val="hybridMultilevel"/>
    <w:tmpl w:val="BEA2D3DE"/>
    <w:lvl w:ilvl="0" w:tplc="996C6302">
      <w:start w:val="1"/>
      <w:numFmt w:val="upperLetter"/>
      <w:lvlText w:val="%1."/>
      <w:lvlJc w:val="left"/>
      <w:pPr>
        <w:ind w:left="720" w:hanging="360"/>
      </w:pPr>
      <w:rPr>
        <w:rFonts w:ascii="Century Schoolbook" w:hAnsi="Century Schoolboo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B2724"/>
    <w:multiLevelType w:val="multilevel"/>
    <w:tmpl w:val="911C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037AB"/>
    <w:multiLevelType w:val="multilevel"/>
    <w:tmpl w:val="99B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37889"/>
    <w:multiLevelType w:val="multilevel"/>
    <w:tmpl w:val="FFBEA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97ACC"/>
    <w:multiLevelType w:val="hybridMultilevel"/>
    <w:tmpl w:val="B70A858A"/>
    <w:lvl w:ilvl="0" w:tplc="7940EAE6">
      <w:start w:val="1"/>
      <w:numFmt w:val="upperLetter"/>
      <w:lvlText w:val="%1."/>
      <w:lvlJc w:val="left"/>
      <w:pPr>
        <w:ind w:left="720" w:hanging="360"/>
      </w:pPr>
      <w:rPr>
        <w:rFonts w:ascii="Century Schoolbook" w:hAnsi="Century Schoolbook"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3A2B"/>
    <w:multiLevelType w:val="hybridMultilevel"/>
    <w:tmpl w:val="61AECEF0"/>
    <w:lvl w:ilvl="0" w:tplc="7EE21236">
      <w:start w:val="1"/>
      <w:numFmt w:val="decimal"/>
      <w:lvlText w:val="%1."/>
      <w:lvlJc w:val="left"/>
      <w:pPr>
        <w:ind w:left="1080" w:hanging="360"/>
      </w:pPr>
      <w:rPr>
        <w:rFonts w:hint="default"/>
        <w:b w:val="0"/>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CE6B3D"/>
    <w:multiLevelType w:val="hybridMultilevel"/>
    <w:tmpl w:val="ADD2C7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7D777B"/>
    <w:multiLevelType w:val="hybridMultilevel"/>
    <w:tmpl w:val="499A0DC6"/>
    <w:lvl w:ilvl="0" w:tplc="9F54E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52126E"/>
    <w:multiLevelType w:val="hybridMultilevel"/>
    <w:tmpl w:val="822408C4"/>
    <w:lvl w:ilvl="0" w:tplc="45A40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26F01"/>
    <w:multiLevelType w:val="multilevel"/>
    <w:tmpl w:val="4426CD0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C528B"/>
    <w:multiLevelType w:val="hybridMultilevel"/>
    <w:tmpl w:val="21841BF6"/>
    <w:lvl w:ilvl="0" w:tplc="F1028DE8">
      <w:start w:val="1"/>
      <w:numFmt w:val="upperLetter"/>
      <w:lvlText w:val="%1."/>
      <w:lvlJc w:val="left"/>
      <w:pPr>
        <w:ind w:left="720" w:hanging="360"/>
      </w:pPr>
      <w:rPr>
        <w:rFonts w:ascii="Century Schoolbook" w:hAnsi="Century Schoolbook"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D0972"/>
    <w:multiLevelType w:val="hybridMultilevel"/>
    <w:tmpl w:val="762ACDD0"/>
    <w:lvl w:ilvl="0" w:tplc="57BE8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5587D"/>
    <w:multiLevelType w:val="multilevel"/>
    <w:tmpl w:val="130C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BE19E5"/>
    <w:multiLevelType w:val="hybridMultilevel"/>
    <w:tmpl w:val="948E91A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890264680">
    <w:abstractNumId w:val="15"/>
  </w:num>
  <w:num w:numId="2" w16cid:durableId="1594313792">
    <w:abstractNumId w:val="4"/>
    <w:lvlOverride w:ilvl="0">
      <w:lvl w:ilvl="0">
        <w:numFmt w:val="decimal"/>
        <w:lvlText w:val="%1."/>
        <w:lvlJc w:val="left"/>
      </w:lvl>
    </w:lvlOverride>
  </w:num>
  <w:num w:numId="3" w16cid:durableId="1037924262">
    <w:abstractNumId w:val="7"/>
    <w:lvlOverride w:ilvl="0">
      <w:lvl w:ilvl="0">
        <w:numFmt w:val="lowerLetter"/>
        <w:lvlText w:val="%1."/>
        <w:lvlJc w:val="left"/>
      </w:lvl>
    </w:lvlOverride>
  </w:num>
  <w:num w:numId="4" w16cid:durableId="1082988637">
    <w:abstractNumId w:val="2"/>
    <w:lvlOverride w:ilvl="0">
      <w:lvl w:ilvl="0">
        <w:numFmt w:val="decimal"/>
        <w:lvlText w:val="%1."/>
        <w:lvlJc w:val="left"/>
      </w:lvl>
    </w:lvlOverride>
  </w:num>
  <w:num w:numId="5" w16cid:durableId="1591112231">
    <w:abstractNumId w:val="8"/>
    <w:lvlOverride w:ilvl="0">
      <w:lvl w:ilvl="0">
        <w:numFmt w:val="lowerLetter"/>
        <w:lvlText w:val="%1."/>
        <w:lvlJc w:val="left"/>
      </w:lvl>
    </w:lvlOverride>
  </w:num>
  <w:num w:numId="6" w16cid:durableId="1977102940">
    <w:abstractNumId w:val="9"/>
    <w:lvlOverride w:ilvl="0">
      <w:lvl w:ilvl="0">
        <w:numFmt w:val="decimal"/>
        <w:lvlText w:val="%1."/>
        <w:lvlJc w:val="left"/>
      </w:lvl>
    </w:lvlOverride>
  </w:num>
  <w:num w:numId="7" w16cid:durableId="1077283241">
    <w:abstractNumId w:val="18"/>
    <w:lvlOverride w:ilvl="0">
      <w:lvl w:ilvl="0">
        <w:numFmt w:val="lowerLetter"/>
        <w:lvlText w:val="%1."/>
        <w:lvlJc w:val="left"/>
      </w:lvl>
    </w:lvlOverride>
  </w:num>
  <w:num w:numId="8" w16cid:durableId="1769229292">
    <w:abstractNumId w:val="3"/>
    <w:lvlOverride w:ilvl="0">
      <w:lvl w:ilvl="0">
        <w:numFmt w:val="decimal"/>
        <w:lvlText w:val="%1."/>
        <w:lvlJc w:val="left"/>
      </w:lvl>
    </w:lvlOverride>
  </w:num>
  <w:num w:numId="9" w16cid:durableId="2050642716">
    <w:abstractNumId w:val="0"/>
    <w:lvlOverride w:ilvl="0">
      <w:lvl w:ilvl="0">
        <w:numFmt w:val="decimal"/>
        <w:lvlText w:val="%1."/>
        <w:lvlJc w:val="left"/>
      </w:lvl>
    </w:lvlOverride>
  </w:num>
  <w:num w:numId="10" w16cid:durableId="459543049">
    <w:abstractNumId w:val="5"/>
    <w:lvlOverride w:ilvl="0">
      <w:lvl w:ilvl="0">
        <w:numFmt w:val="decimal"/>
        <w:lvlText w:val="%1."/>
        <w:lvlJc w:val="left"/>
      </w:lvl>
    </w:lvlOverride>
  </w:num>
  <w:num w:numId="11" w16cid:durableId="1284769795">
    <w:abstractNumId w:val="1"/>
  </w:num>
  <w:num w:numId="12" w16cid:durableId="1845900790">
    <w:abstractNumId w:val="13"/>
  </w:num>
  <w:num w:numId="13" w16cid:durableId="13071179">
    <w:abstractNumId w:val="6"/>
  </w:num>
  <w:num w:numId="14" w16cid:durableId="536042528">
    <w:abstractNumId w:val="14"/>
  </w:num>
  <w:num w:numId="15" w16cid:durableId="907806122">
    <w:abstractNumId w:val="12"/>
  </w:num>
  <w:num w:numId="16" w16cid:durableId="1967156966">
    <w:abstractNumId w:val="19"/>
  </w:num>
  <w:num w:numId="17" w16cid:durableId="1063138343">
    <w:abstractNumId w:val="16"/>
  </w:num>
  <w:num w:numId="18" w16cid:durableId="972445070">
    <w:abstractNumId w:val="10"/>
  </w:num>
  <w:num w:numId="19" w16cid:durableId="1238202895">
    <w:abstractNumId w:val="11"/>
  </w:num>
  <w:num w:numId="20" w16cid:durableId="2754531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9C"/>
    <w:rsid w:val="0000087E"/>
    <w:rsid w:val="0002207A"/>
    <w:rsid w:val="00032059"/>
    <w:rsid w:val="00043AD9"/>
    <w:rsid w:val="000542C7"/>
    <w:rsid w:val="00096AC1"/>
    <w:rsid w:val="00136490"/>
    <w:rsid w:val="00171598"/>
    <w:rsid w:val="001B0184"/>
    <w:rsid w:val="002059A9"/>
    <w:rsid w:val="00236864"/>
    <w:rsid w:val="00281426"/>
    <w:rsid w:val="002A4307"/>
    <w:rsid w:val="002D36A6"/>
    <w:rsid w:val="00325376"/>
    <w:rsid w:val="003A20EF"/>
    <w:rsid w:val="004227AE"/>
    <w:rsid w:val="00452E3F"/>
    <w:rsid w:val="00463A47"/>
    <w:rsid w:val="00464D9C"/>
    <w:rsid w:val="00497254"/>
    <w:rsid w:val="004A6726"/>
    <w:rsid w:val="00505392"/>
    <w:rsid w:val="00526AB6"/>
    <w:rsid w:val="0057306E"/>
    <w:rsid w:val="005A67BD"/>
    <w:rsid w:val="00613313"/>
    <w:rsid w:val="00613E61"/>
    <w:rsid w:val="00663B29"/>
    <w:rsid w:val="006D23F0"/>
    <w:rsid w:val="006E24E3"/>
    <w:rsid w:val="0070534E"/>
    <w:rsid w:val="007222A8"/>
    <w:rsid w:val="007944FD"/>
    <w:rsid w:val="00842D74"/>
    <w:rsid w:val="008507BF"/>
    <w:rsid w:val="008A1394"/>
    <w:rsid w:val="008A262D"/>
    <w:rsid w:val="00946A91"/>
    <w:rsid w:val="009E4ACB"/>
    <w:rsid w:val="00A37F13"/>
    <w:rsid w:val="00A40691"/>
    <w:rsid w:val="00A8260C"/>
    <w:rsid w:val="00B154AB"/>
    <w:rsid w:val="00B643FE"/>
    <w:rsid w:val="00B6669B"/>
    <w:rsid w:val="00B85565"/>
    <w:rsid w:val="00BB4F93"/>
    <w:rsid w:val="00BD508A"/>
    <w:rsid w:val="00BF29B8"/>
    <w:rsid w:val="00C35748"/>
    <w:rsid w:val="00C530A1"/>
    <w:rsid w:val="00C836C0"/>
    <w:rsid w:val="00CA64B0"/>
    <w:rsid w:val="00D21802"/>
    <w:rsid w:val="00D375E7"/>
    <w:rsid w:val="00DC02F3"/>
    <w:rsid w:val="00DD6C5F"/>
    <w:rsid w:val="00EB17A0"/>
    <w:rsid w:val="00EB2A7B"/>
    <w:rsid w:val="00F06316"/>
    <w:rsid w:val="00F6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447F51"/>
  <w15:chartTrackingRefBased/>
  <w15:docId w15:val="{7D81E3C7-3B13-4095-A3F8-5B6D1BFA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0A1"/>
    <w:pPr>
      <w:spacing w:before="100" w:beforeAutospacing="1" w:after="100" w:afterAutospacing="1"/>
    </w:pPr>
  </w:style>
  <w:style w:type="character" w:customStyle="1" w:styleId="apple-tab-span">
    <w:name w:val="apple-tab-span"/>
    <w:basedOn w:val="DefaultParagraphFont"/>
    <w:rsid w:val="00C530A1"/>
  </w:style>
  <w:style w:type="paragraph" w:styleId="ListParagraph">
    <w:name w:val="List Paragraph"/>
    <w:basedOn w:val="Normal"/>
    <w:uiPriority w:val="34"/>
    <w:qFormat/>
    <w:rsid w:val="002A4307"/>
    <w:pPr>
      <w:ind w:left="720"/>
      <w:contextualSpacing/>
    </w:pPr>
  </w:style>
  <w:style w:type="paragraph" w:styleId="Header">
    <w:name w:val="header"/>
    <w:basedOn w:val="Normal"/>
    <w:link w:val="HeaderChar"/>
    <w:uiPriority w:val="99"/>
    <w:unhideWhenUsed/>
    <w:rsid w:val="0000087E"/>
    <w:pPr>
      <w:tabs>
        <w:tab w:val="center" w:pos="4680"/>
        <w:tab w:val="right" w:pos="9360"/>
      </w:tabs>
    </w:pPr>
  </w:style>
  <w:style w:type="character" w:customStyle="1" w:styleId="HeaderChar">
    <w:name w:val="Header Char"/>
    <w:basedOn w:val="DefaultParagraphFont"/>
    <w:link w:val="Header"/>
    <w:uiPriority w:val="99"/>
    <w:rsid w:val="00000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87E"/>
    <w:pPr>
      <w:tabs>
        <w:tab w:val="center" w:pos="4680"/>
        <w:tab w:val="right" w:pos="9360"/>
      </w:tabs>
    </w:pPr>
  </w:style>
  <w:style w:type="character" w:customStyle="1" w:styleId="FooterChar">
    <w:name w:val="Footer Char"/>
    <w:basedOn w:val="DefaultParagraphFont"/>
    <w:link w:val="Footer"/>
    <w:uiPriority w:val="99"/>
    <w:rsid w:val="000008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F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B17A0"/>
    <w:rPr>
      <w:sz w:val="20"/>
      <w:szCs w:val="20"/>
    </w:rPr>
  </w:style>
  <w:style w:type="character" w:customStyle="1" w:styleId="FootnoteTextChar">
    <w:name w:val="Footnote Text Char"/>
    <w:basedOn w:val="DefaultParagraphFont"/>
    <w:link w:val="FootnoteText"/>
    <w:uiPriority w:val="99"/>
    <w:semiHidden/>
    <w:rsid w:val="00EB17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1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626">
      <w:bodyDiv w:val="1"/>
      <w:marLeft w:val="0"/>
      <w:marRight w:val="0"/>
      <w:marTop w:val="0"/>
      <w:marBottom w:val="0"/>
      <w:divBdr>
        <w:top w:val="none" w:sz="0" w:space="0" w:color="auto"/>
        <w:left w:val="none" w:sz="0" w:space="0" w:color="auto"/>
        <w:bottom w:val="none" w:sz="0" w:space="0" w:color="auto"/>
        <w:right w:val="none" w:sz="0" w:space="0" w:color="auto"/>
      </w:divBdr>
    </w:div>
    <w:div w:id="20067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FE48-B8A8-4889-B25F-E5D471B8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James R.</dc:creator>
  <cp:keywords/>
  <dc:description/>
  <cp:lastModifiedBy>Grant, James R.</cp:lastModifiedBy>
  <cp:revision>48</cp:revision>
  <cp:lastPrinted>2019-08-01T13:52:00Z</cp:lastPrinted>
  <dcterms:created xsi:type="dcterms:W3CDTF">2019-07-03T18:42:00Z</dcterms:created>
  <dcterms:modified xsi:type="dcterms:W3CDTF">2024-01-12T16:41:00Z</dcterms:modified>
</cp:coreProperties>
</file>