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821E6" w14:textId="1978B94B" w:rsidR="00A253C1" w:rsidRPr="00634FD4" w:rsidRDefault="00E03B9C">
      <w:pPr>
        <w:rPr>
          <w:rFonts w:ascii="Century" w:hAnsi="Century"/>
          <w:sz w:val="28"/>
          <w:szCs w:val="28"/>
        </w:rPr>
      </w:pPr>
      <w:r w:rsidRPr="00634FD4">
        <w:rPr>
          <w:rFonts w:ascii="Century" w:hAnsi="Century"/>
          <w:sz w:val="28"/>
          <w:szCs w:val="28"/>
        </w:rPr>
        <w:t xml:space="preserve">No. </w:t>
      </w:r>
      <w:proofErr w:type="spellStart"/>
      <w:r w:rsidRPr="00634FD4">
        <w:rPr>
          <w:rFonts w:ascii="Century" w:hAnsi="Century"/>
          <w:sz w:val="28"/>
          <w:szCs w:val="28"/>
        </w:rPr>
        <w:t>COA</w:t>
      </w:r>
      <w:r w:rsidR="00634FD4" w:rsidRPr="00634FD4">
        <w:rPr>
          <w:rFonts w:ascii="Century" w:hAnsi="Century"/>
          <w:sz w:val="28"/>
          <w:szCs w:val="28"/>
        </w:rPr>
        <w:t>22</w:t>
      </w:r>
      <w:proofErr w:type="spellEnd"/>
      <w:r w:rsidR="00634FD4" w:rsidRPr="00634FD4">
        <w:rPr>
          <w:rFonts w:ascii="Century" w:hAnsi="Century"/>
          <w:sz w:val="28"/>
          <w:szCs w:val="28"/>
        </w:rPr>
        <w:t>-932</w:t>
      </w:r>
      <w:r w:rsidRPr="00634FD4">
        <w:rPr>
          <w:rFonts w:ascii="Century" w:hAnsi="Century"/>
          <w:sz w:val="28"/>
          <w:szCs w:val="28"/>
        </w:rPr>
        <w:tab/>
      </w:r>
      <w:r w:rsidRPr="00634FD4">
        <w:rPr>
          <w:rFonts w:ascii="Century" w:hAnsi="Century"/>
          <w:sz w:val="28"/>
          <w:szCs w:val="28"/>
        </w:rPr>
        <w:tab/>
      </w:r>
      <w:r w:rsidRPr="00634FD4">
        <w:rPr>
          <w:rFonts w:ascii="Century" w:hAnsi="Century"/>
          <w:sz w:val="28"/>
          <w:szCs w:val="28"/>
        </w:rPr>
        <w:tab/>
      </w:r>
      <w:r w:rsidRPr="00634FD4">
        <w:rPr>
          <w:rFonts w:ascii="Century" w:hAnsi="Century"/>
          <w:sz w:val="28"/>
          <w:szCs w:val="28"/>
        </w:rPr>
        <w:tab/>
      </w:r>
      <w:r w:rsidR="00ED2212" w:rsidRPr="00634FD4">
        <w:rPr>
          <w:rFonts w:ascii="Century" w:hAnsi="Century"/>
          <w:sz w:val="28"/>
          <w:szCs w:val="28"/>
        </w:rPr>
        <w:tab/>
        <w:t xml:space="preserve"> </w:t>
      </w:r>
      <w:r w:rsidR="00387296" w:rsidRPr="00634FD4">
        <w:rPr>
          <w:rFonts w:ascii="Century" w:hAnsi="Century"/>
          <w:sz w:val="28"/>
          <w:szCs w:val="28"/>
        </w:rPr>
        <w:tab/>
        <w:t xml:space="preserve">     </w:t>
      </w:r>
      <w:r w:rsidR="00654234" w:rsidRPr="00634FD4">
        <w:rPr>
          <w:rFonts w:ascii="Century" w:hAnsi="Century"/>
          <w:sz w:val="28"/>
          <w:szCs w:val="28"/>
        </w:rPr>
        <w:t xml:space="preserve"> </w:t>
      </w:r>
      <w:r w:rsidRPr="00634FD4">
        <w:rPr>
          <w:rFonts w:ascii="Century" w:hAnsi="Century"/>
          <w:sz w:val="28"/>
          <w:szCs w:val="28"/>
        </w:rPr>
        <w:t xml:space="preserve">DISTRICT </w:t>
      </w:r>
      <w:r w:rsidR="00105FFD" w:rsidRPr="00634FD4">
        <w:rPr>
          <w:rFonts w:ascii="Century" w:hAnsi="Century"/>
          <w:sz w:val="28"/>
          <w:szCs w:val="28"/>
        </w:rPr>
        <w:t>SIXTEEN</w:t>
      </w:r>
      <w:r w:rsidR="00654234" w:rsidRPr="00634FD4">
        <w:rPr>
          <w:rFonts w:ascii="Century" w:hAnsi="Century"/>
          <w:sz w:val="28"/>
          <w:szCs w:val="28"/>
        </w:rPr>
        <w:t>-A</w:t>
      </w:r>
    </w:p>
    <w:p w14:paraId="2EB821E7" w14:textId="77777777" w:rsidR="00A253C1" w:rsidRPr="00634FD4" w:rsidRDefault="00A253C1">
      <w:pPr>
        <w:rPr>
          <w:rFonts w:ascii="Century" w:hAnsi="Century"/>
          <w:sz w:val="28"/>
          <w:szCs w:val="28"/>
        </w:rPr>
      </w:pPr>
    </w:p>
    <w:p w14:paraId="2EB821E8" w14:textId="77777777" w:rsidR="00A253C1" w:rsidRPr="00634FD4" w:rsidRDefault="00A253C1">
      <w:pPr>
        <w:rPr>
          <w:rFonts w:ascii="Century" w:hAnsi="Century"/>
          <w:sz w:val="28"/>
          <w:szCs w:val="28"/>
        </w:rPr>
      </w:pPr>
    </w:p>
    <w:p w14:paraId="2EB821E9" w14:textId="77777777" w:rsidR="00A253C1" w:rsidRPr="00634FD4" w:rsidRDefault="00E03B9C">
      <w:pPr>
        <w:jc w:val="center"/>
        <w:rPr>
          <w:rFonts w:ascii="Century" w:hAnsi="Century"/>
          <w:sz w:val="28"/>
          <w:szCs w:val="28"/>
        </w:rPr>
      </w:pPr>
      <w:r w:rsidRPr="00634FD4">
        <w:rPr>
          <w:rFonts w:ascii="Century" w:hAnsi="Century"/>
          <w:sz w:val="28"/>
          <w:szCs w:val="28"/>
        </w:rPr>
        <w:t>NORTH CAROLINA COURT OF APPEALS</w:t>
      </w:r>
    </w:p>
    <w:p w14:paraId="2EB821EA" w14:textId="77777777" w:rsidR="00A253C1" w:rsidRPr="00634FD4" w:rsidRDefault="00A253C1">
      <w:pPr>
        <w:jc w:val="center"/>
        <w:rPr>
          <w:rFonts w:ascii="Century" w:hAnsi="Century"/>
          <w:sz w:val="28"/>
          <w:szCs w:val="28"/>
        </w:rPr>
      </w:pPr>
    </w:p>
    <w:p w14:paraId="2EB821EB" w14:textId="77777777" w:rsidR="00A253C1" w:rsidRPr="00387296" w:rsidRDefault="00E03B9C">
      <w:pPr>
        <w:tabs>
          <w:tab w:val="left" w:pos="1260"/>
          <w:tab w:val="left" w:pos="9180"/>
        </w:tabs>
        <w:jc w:val="center"/>
        <w:rPr>
          <w:rFonts w:ascii="Century" w:hAnsi="Century"/>
          <w:sz w:val="28"/>
          <w:szCs w:val="28"/>
        </w:rPr>
      </w:pPr>
      <w:r w:rsidRPr="00634FD4">
        <w:rPr>
          <w:rFonts w:ascii="Century" w:hAnsi="Century"/>
          <w:sz w:val="28"/>
          <w:szCs w:val="28"/>
        </w:rPr>
        <w:t>****************************************************</w:t>
      </w:r>
    </w:p>
    <w:p w14:paraId="2EB821EC" w14:textId="77777777" w:rsidR="00A253C1" w:rsidRPr="00387296" w:rsidRDefault="00A253C1">
      <w:pPr>
        <w:tabs>
          <w:tab w:val="left" w:pos="1260"/>
          <w:tab w:val="left" w:pos="9180"/>
        </w:tabs>
        <w:rPr>
          <w:rFonts w:ascii="Century" w:hAnsi="Century"/>
          <w:sz w:val="28"/>
          <w:szCs w:val="28"/>
        </w:rPr>
      </w:pPr>
    </w:p>
    <w:p w14:paraId="2EB821ED" w14:textId="77777777" w:rsidR="00A253C1" w:rsidRPr="00387296" w:rsidRDefault="00E03B9C">
      <w:pPr>
        <w:tabs>
          <w:tab w:val="left" w:pos="4590"/>
        </w:tabs>
        <w:rPr>
          <w:rFonts w:ascii="Century" w:hAnsi="Century"/>
          <w:sz w:val="28"/>
          <w:szCs w:val="28"/>
        </w:rPr>
      </w:pPr>
      <w:r w:rsidRPr="00387296">
        <w:rPr>
          <w:rFonts w:ascii="Century" w:hAnsi="Century"/>
          <w:sz w:val="28"/>
          <w:szCs w:val="28"/>
        </w:rPr>
        <w:t>STATE OF NORTH CAROLINA</w:t>
      </w:r>
      <w:r w:rsidRPr="00387296">
        <w:rPr>
          <w:rFonts w:ascii="Century" w:hAnsi="Century"/>
          <w:sz w:val="28"/>
          <w:szCs w:val="28"/>
        </w:rPr>
        <w:tab/>
        <w:t>)</w:t>
      </w:r>
      <w:r w:rsidRPr="00387296">
        <w:rPr>
          <w:rFonts w:ascii="Century" w:hAnsi="Century"/>
          <w:sz w:val="28"/>
          <w:szCs w:val="28"/>
        </w:rPr>
        <w:tab/>
      </w:r>
      <w:r w:rsidRPr="00387296">
        <w:rPr>
          <w:rFonts w:ascii="Century" w:hAnsi="Century"/>
          <w:sz w:val="28"/>
          <w:szCs w:val="28"/>
        </w:rPr>
        <w:tab/>
      </w:r>
      <w:r w:rsidRPr="00387296">
        <w:rPr>
          <w:rFonts w:ascii="Century" w:hAnsi="Century"/>
          <w:sz w:val="28"/>
          <w:szCs w:val="28"/>
        </w:rPr>
        <w:tab/>
        <w:t xml:space="preserve">   </w:t>
      </w:r>
      <w:r w:rsidRPr="00387296">
        <w:rPr>
          <w:rFonts w:ascii="Century" w:hAnsi="Century"/>
          <w:sz w:val="28"/>
          <w:szCs w:val="28"/>
        </w:rPr>
        <w:tab/>
        <w:t xml:space="preserve">              </w:t>
      </w:r>
    </w:p>
    <w:p w14:paraId="2EB821EE" w14:textId="77777777" w:rsidR="00A253C1" w:rsidRPr="00387296" w:rsidRDefault="00E03B9C">
      <w:pPr>
        <w:tabs>
          <w:tab w:val="left" w:pos="4590"/>
          <w:tab w:val="left" w:pos="5400"/>
        </w:tabs>
        <w:rPr>
          <w:rFonts w:ascii="Century" w:hAnsi="Century"/>
          <w:sz w:val="28"/>
          <w:szCs w:val="28"/>
        </w:rPr>
      </w:pPr>
      <w:r w:rsidRPr="00387296">
        <w:rPr>
          <w:rFonts w:ascii="Century" w:hAnsi="Century"/>
          <w:sz w:val="28"/>
          <w:szCs w:val="28"/>
        </w:rPr>
        <w:tab/>
        <w:t xml:space="preserve">)            </w:t>
      </w:r>
    </w:p>
    <w:p w14:paraId="2EB821EF" w14:textId="70A0D277" w:rsidR="00A253C1" w:rsidRPr="00387296" w:rsidRDefault="00E03B9C">
      <w:pPr>
        <w:tabs>
          <w:tab w:val="left" w:pos="4590"/>
          <w:tab w:val="left" w:pos="5400"/>
        </w:tabs>
        <w:ind w:firstLine="1620"/>
        <w:rPr>
          <w:rFonts w:ascii="Century" w:hAnsi="Century"/>
          <w:sz w:val="28"/>
          <w:szCs w:val="28"/>
        </w:rPr>
      </w:pPr>
      <w:r w:rsidRPr="00387296">
        <w:rPr>
          <w:rFonts w:ascii="Century" w:hAnsi="Century"/>
          <w:sz w:val="28"/>
          <w:szCs w:val="28"/>
        </w:rPr>
        <w:t>v.</w:t>
      </w:r>
      <w:proofErr w:type="gramStart"/>
      <w:r w:rsidRPr="00387296">
        <w:rPr>
          <w:rFonts w:ascii="Century" w:hAnsi="Century"/>
          <w:sz w:val="28"/>
          <w:szCs w:val="28"/>
        </w:rPr>
        <w:tab/>
        <w:t xml:space="preserve">)   </w:t>
      </w:r>
      <w:proofErr w:type="gramEnd"/>
      <w:r w:rsidRPr="00387296">
        <w:rPr>
          <w:rFonts w:ascii="Century" w:hAnsi="Century"/>
          <w:sz w:val="28"/>
          <w:szCs w:val="28"/>
        </w:rPr>
        <w:t xml:space="preserve">     </w:t>
      </w:r>
      <w:r w:rsidRPr="00387296">
        <w:rPr>
          <w:rFonts w:ascii="Century" w:hAnsi="Century"/>
          <w:sz w:val="28"/>
          <w:szCs w:val="28"/>
          <w:u w:val="single"/>
        </w:rPr>
        <w:t xml:space="preserve">From </w:t>
      </w:r>
      <w:r w:rsidR="00231750">
        <w:rPr>
          <w:rFonts w:ascii="Century" w:hAnsi="Century"/>
          <w:sz w:val="28"/>
          <w:szCs w:val="28"/>
          <w:u w:val="single"/>
        </w:rPr>
        <w:t xml:space="preserve">Scotland </w:t>
      </w:r>
      <w:r w:rsidRPr="00387296">
        <w:rPr>
          <w:rFonts w:ascii="Century" w:hAnsi="Century"/>
          <w:sz w:val="28"/>
          <w:szCs w:val="28"/>
          <w:u w:val="single"/>
        </w:rPr>
        <w:t>County</w:t>
      </w:r>
    </w:p>
    <w:p w14:paraId="2EB821F0" w14:textId="7759CAB2" w:rsidR="00A253C1" w:rsidRPr="00387296" w:rsidRDefault="00A148A1">
      <w:pPr>
        <w:tabs>
          <w:tab w:val="left" w:pos="4590"/>
          <w:tab w:val="left" w:pos="5400"/>
        </w:tabs>
        <w:rPr>
          <w:rFonts w:ascii="Century" w:hAnsi="Century"/>
          <w:sz w:val="28"/>
          <w:szCs w:val="28"/>
        </w:rPr>
      </w:pPr>
      <w:r w:rsidRPr="00387296">
        <w:rPr>
          <w:rFonts w:ascii="Century" w:hAnsi="Century"/>
          <w:sz w:val="28"/>
          <w:szCs w:val="28"/>
        </w:rPr>
        <w:tab/>
        <w:t xml:space="preserve">)        </w:t>
      </w:r>
    </w:p>
    <w:p w14:paraId="2EB821F1" w14:textId="57A6AB85" w:rsidR="00A253C1" w:rsidRPr="00ED2212" w:rsidRDefault="00634FD4">
      <w:pPr>
        <w:tabs>
          <w:tab w:val="left" w:pos="4590"/>
          <w:tab w:val="left" w:pos="5400"/>
        </w:tabs>
        <w:rPr>
          <w:rFonts w:ascii="Century" w:hAnsi="Century"/>
          <w:sz w:val="28"/>
          <w:szCs w:val="28"/>
        </w:rPr>
      </w:pPr>
      <w:r>
        <w:rPr>
          <w:rFonts w:ascii="Century" w:hAnsi="Century"/>
          <w:sz w:val="28"/>
          <w:szCs w:val="28"/>
        </w:rPr>
        <w:t xml:space="preserve">DESMOND </w:t>
      </w:r>
      <w:proofErr w:type="spellStart"/>
      <w:r>
        <w:rPr>
          <w:rFonts w:ascii="Century" w:hAnsi="Century"/>
          <w:sz w:val="28"/>
          <w:szCs w:val="28"/>
        </w:rPr>
        <w:t>JAKEEM</w:t>
      </w:r>
      <w:proofErr w:type="spellEnd"/>
      <w:r>
        <w:rPr>
          <w:rFonts w:ascii="Century" w:hAnsi="Century"/>
          <w:sz w:val="28"/>
          <w:szCs w:val="28"/>
        </w:rPr>
        <w:t xml:space="preserve"> BETHEA</w:t>
      </w:r>
      <w:r w:rsidR="00E03B9C" w:rsidRPr="00387296">
        <w:rPr>
          <w:rFonts w:ascii="Century" w:hAnsi="Century"/>
          <w:sz w:val="28"/>
          <w:szCs w:val="28"/>
        </w:rPr>
        <w:tab/>
        <w:t xml:space="preserve">)         </w:t>
      </w:r>
    </w:p>
    <w:p w14:paraId="2EB821F2" w14:textId="77777777" w:rsidR="00A253C1" w:rsidRPr="00ED2212" w:rsidRDefault="00A253C1">
      <w:pPr>
        <w:tabs>
          <w:tab w:val="left" w:pos="4590"/>
          <w:tab w:val="left" w:pos="5400"/>
        </w:tabs>
        <w:rPr>
          <w:rFonts w:ascii="Century" w:hAnsi="Century"/>
          <w:sz w:val="28"/>
          <w:szCs w:val="28"/>
        </w:rPr>
      </w:pPr>
    </w:p>
    <w:p w14:paraId="2EB821F3" w14:textId="77777777" w:rsidR="00A253C1" w:rsidRPr="00ED2212" w:rsidRDefault="00E03B9C">
      <w:pPr>
        <w:jc w:val="center"/>
        <w:rPr>
          <w:rFonts w:ascii="Century" w:hAnsi="Century"/>
          <w:sz w:val="28"/>
          <w:szCs w:val="28"/>
        </w:rPr>
      </w:pPr>
      <w:r w:rsidRPr="00ED2212">
        <w:rPr>
          <w:rFonts w:ascii="Century" w:hAnsi="Century"/>
          <w:sz w:val="28"/>
          <w:szCs w:val="28"/>
        </w:rPr>
        <w:t>****************************************************</w:t>
      </w:r>
    </w:p>
    <w:p w14:paraId="2EB821F5" w14:textId="521E5750" w:rsidR="00A253C1" w:rsidRPr="00ED2212" w:rsidRDefault="00E03B9C" w:rsidP="00B72DE2">
      <w:pPr>
        <w:pStyle w:val="Heading1"/>
        <w:spacing w:after="120"/>
        <w:rPr>
          <w:rFonts w:ascii="Century" w:hAnsi="Century"/>
          <w:sz w:val="28"/>
          <w:szCs w:val="28"/>
        </w:rPr>
      </w:pPr>
      <w:r w:rsidRPr="00ED2212">
        <w:rPr>
          <w:rFonts w:ascii="Century" w:hAnsi="Century"/>
          <w:sz w:val="28"/>
          <w:szCs w:val="28"/>
        </w:rPr>
        <w:t>DEFENDANT-APPELLANT’S BRIEF</w:t>
      </w:r>
    </w:p>
    <w:p w14:paraId="2EB821F6" w14:textId="77777777" w:rsidR="00A253C1" w:rsidRPr="00ED2212" w:rsidRDefault="00E03B9C">
      <w:pPr>
        <w:jc w:val="center"/>
        <w:rPr>
          <w:rFonts w:ascii="Century" w:hAnsi="Century"/>
          <w:sz w:val="28"/>
          <w:szCs w:val="28"/>
        </w:rPr>
      </w:pPr>
      <w:r w:rsidRPr="00ED2212">
        <w:rPr>
          <w:rFonts w:ascii="Century" w:hAnsi="Century"/>
          <w:sz w:val="28"/>
          <w:szCs w:val="28"/>
        </w:rPr>
        <w:t>****************************************************</w:t>
      </w:r>
    </w:p>
    <w:p w14:paraId="2EB821F7" w14:textId="77777777" w:rsidR="00A253C1" w:rsidRPr="00ED2212" w:rsidRDefault="00A253C1">
      <w:pPr>
        <w:pStyle w:val="BlockText"/>
        <w:tabs>
          <w:tab w:val="left" w:pos="720"/>
        </w:tabs>
        <w:rPr>
          <w:rFonts w:ascii="Century" w:hAnsi="Century"/>
          <w:sz w:val="28"/>
          <w:szCs w:val="28"/>
        </w:rPr>
      </w:pPr>
    </w:p>
    <w:p w14:paraId="2EB821F8" w14:textId="77777777" w:rsidR="00A253C1" w:rsidRPr="00ED2212" w:rsidRDefault="00A253C1">
      <w:pPr>
        <w:pStyle w:val="BlockText"/>
        <w:tabs>
          <w:tab w:val="left" w:pos="720"/>
        </w:tabs>
        <w:rPr>
          <w:rFonts w:ascii="Century" w:hAnsi="Century"/>
          <w:sz w:val="28"/>
          <w:szCs w:val="28"/>
        </w:rPr>
      </w:pPr>
    </w:p>
    <w:p w14:paraId="2EB821F9" w14:textId="77777777" w:rsidR="00A253C1" w:rsidRPr="00ED2212" w:rsidRDefault="00A253C1">
      <w:pPr>
        <w:pStyle w:val="BlockText"/>
        <w:tabs>
          <w:tab w:val="left" w:pos="720"/>
        </w:tabs>
        <w:rPr>
          <w:rFonts w:ascii="Century" w:hAnsi="Century"/>
          <w:sz w:val="28"/>
          <w:szCs w:val="28"/>
        </w:rPr>
      </w:pPr>
    </w:p>
    <w:p w14:paraId="2EB821FA" w14:textId="77777777" w:rsidR="00A253C1" w:rsidRPr="00ED2212" w:rsidRDefault="00A253C1">
      <w:pPr>
        <w:pStyle w:val="BlockText"/>
        <w:tabs>
          <w:tab w:val="left" w:pos="720"/>
        </w:tabs>
        <w:rPr>
          <w:rFonts w:ascii="Century" w:hAnsi="Century"/>
          <w:sz w:val="28"/>
          <w:szCs w:val="28"/>
        </w:rPr>
      </w:pPr>
    </w:p>
    <w:p w14:paraId="2EB821FB" w14:textId="77777777" w:rsidR="00A253C1" w:rsidRPr="00ED2212" w:rsidRDefault="00A253C1">
      <w:pPr>
        <w:pStyle w:val="BlockText"/>
        <w:tabs>
          <w:tab w:val="left" w:pos="720"/>
        </w:tabs>
        <w:rPr>
          <w:rFonts w:ascii="Century" w:hAnsi="Century"/>
          <w:sz w:val="28"/>
          <w:szCs w:val="28"/>
        </w:rPr>
      </w:pPr>
    </w:p>
    <w:p w14:paraId="2EB821FC" w14:textId="77777777" w:rsidR="00A253C1" w:rsidRPr="00ED2212" w:rsidRDefault="00A253C1">
      <w:pPr>
        <w:pStyle w:val="BlockText"/>
        <w:tabs>
          <w:tab w:val="left" w:pos="720"/>
        </w:tabs>
        <w:rPr>
          <w:rFonts w:ascii="Century" w:hAnsi="Century"/>
          <w:sz w:val="28"/>
          <w:szCs w:val="28"/>
        </w:rPr>
      </w:pPr>
    </w:p>
    <w:p w14:paraId="2EB821FD" w14:textId="77777777" w:rsidR="00A253C1" w:rsidRPr="00ED2212" w:rsidRDefault="00A253C1">
      <w:pPr>
        <w:pStyle w:val="BlockText"/>
        <w:tabs>
          <w:tab w:val="left" w:pos="720"/>
        </w:tabs>
        <w:rPr>
          <w:rFonts w:ascii="Century" w:hAnsi="Century"/>
          <w:sz w:val="28"/>
          <w:szCs w:val="28"/>
        </w:rPr>
      </w:pPr>
    </w:p>
    <w:p w14:paraId="2EB821FE" w14:textId="77777777" w:rsidR="00A253C1" w:rsidRPr="00ED2212" w:rsidRDefault="00A253C1">
      <w:pPr>
        <w:pStyle w:val="BlockText"/>
        <w:tabs>
          <w:tab w:val="left" w:pos="720"/>
        </w:tabs>
        <w:rPr>
          <w:rFonts w:ascii="Century" w:hAnsi="Century"/>
          <w:sz w:val="28"/>
          <w:szCs w:val="28"/>
        </w:rPr>
      </w:pPr>
    </w:p>
    <w:p w14:paraId="2EB821FF" w14:textId="77777777" w:rsidR="00A253C1" w:rsidRPr="00ED2212" w:rsidRDefault="00A253C1">
      <w:pPr>
        <w:pStyle w:val="BlockText"/>
        <w:tabs>
          <w:tab w:val="left" w:pos="720"/>
        </w:tabs>
        <w:rPr>
          <w:rFonts w:ascii="Century" w:hAnsi="Century"/>
          <w:sz w:val="28"/>
          <w:szCs w:val="28"/>
        </w:rPr>
      </w:pPr>
    </w:p>
    <w:p w14:paraId="2EB82200" w14:textId="77777777" w:rsidR="00A253C1" w:rsidRPr="00ED2212" w:rsidRDefault="00A253C1">
      <w:pPr>
        <w:pStyle w:val="BlockText"/>
        <w:tabs>
          <w:tab w:val="left" w:pos="720"/>
        </w:tabs>
        <w:rPr>
          <w:rFonts w:ascii="Century" w:hAnsi="Century"/>
          <w:sz w:val="28"/>
          <w:szCs w:val="28"/>
        </w:rPr>
      </w:pPr>
    </w:p>
    <w:p w14:paraId="2EB82201" w14:textId="77777777" w:rsidR="00A253C1" w:rsidRPr="00ED2212" w:rsidRDefault="00A253C1">
      <w:pPr>
        <w:pStyle w:val="BlockText"/>
        <w:tabs>
          <w:tab w:val="left" w:pos="720"/>
        </w:tabs>
        <w:rPr>
          <w:rFonts w:ascii="Century" w:hAnsi="Century"/>
          <w:sz w:val="28"/>
          <w:szCs w:val="28"/>
        </w:rPr>
      </w:pPr>
    </w:p>
    <w:p w14:paraId="2EB82202" w14:textId="77777777" w:rsidR="00A253C1" w:rsidRPr="00ED2212" w:rsidRDefault="00A253C1">
      <w:pPr>
        <w:pStyle w:val="BlockText"/>
        <w:tabs>
          <w:tab w:val="left" w:pos="720"/>
        </w:tabs>
        <w:rPr>
          <w:rFonts w:ascii="Century" w:hAnsi="Century"/>
          <w:sz w:val="28"/>
          <w:szCs w:val="28"/>
        </w:rPr>
      </w:pPr>
    </w:p>
    <w:p w14:paraId="2EB82203" w14:textId="77777777" w:rsidR="00A253C1" w:rsidRPr="00ED2212" w:rsidRDefault="00A253C1">
      <w:pPr>
        <w:pStyle w:val="BlockText"/>
        <w:tabs>
          <w:tab w:val="left" w:pos="720"/>
        </w:tabs>
        <w:rPr>
          <w:rFonts w:ascii="Century" w:hAnsi="Century"/>
          <w:sz w:val="28"/>
          <w:szCs w:val="28"/>
        </w:rPr>
      </w:pPr>
    </w:p>
    <w:p w14:paraId="2EB82204" w14:textId="77777777" w:rsidR="00A253C1" w:rsidRPr="00ED2212" w:rsidRDefault="00A253C1">
      <w:pPr>
        <w:pStyle w:val="BlockText"/>
        <w:tabs>
          <w:tab w:val="left" w:pos="9360"/>
        </w:tabs>
        <w:ind w:left="0" w:right="0" w:firstLine="0"/>
        <w:rPr>
          <w:rFonts w:ascii="Century" w:hAnsi="Century"/>
          <w:sz w:val="28"/>
          <w:szCs w:val="28"/>
        </w:rPr>
        <w:sectPr w:rsidR="00A253C1" w:rsidRPr="00ED2212">
          <w:headerReference w:type="even" r:id="rId8"/>
          <w:headerReference w:type="default" r:id="rId9"/>
          <w:pgSz w:w="12240" w:h="15840"/>
          <w:pgMar w:top="1440" w:right="1440" w:bottom="1440" w:left="1440" w:header="720" w:footer="720" w:gutter="0"/>
          <w:cols w:space="720"/>
          <w:noEndnote/>
          <w:titlePg/>
        </w:sectPr>
      </w:pPr>
    </w:p>
    <w:p w14:paraId="2EB82205" w14:textId="77777777" w:rsidR="00A253C1" w:rsidRPr="00ED2212" w:rsidRDefault="00E03B9C">
      <w:pPr>
        <w:jc w:val="center"/>
        <w:rPr>
          <w:rFonts w:ascii="Century" w:hAnsi="Century"/>
          <w:b/>
          <w:sz w:val="28"/>
          <w:szCs w:val="28"/>
          <w:u w:val="single"/>
        </w:rPr>
      </w:pPr>
      <w:r w:rsidRPr="00ED2212">
        <w:rPr>
          <w:rFonts w:ascii="Century" w:hAnsi="Century"/>
          <w:b/>
          <w:sz w:val="28"/>
          <w:szCs w:val="28"/>
          <w:u w:val="single"/>
        </w:rPr>
        <w:lastRenderedPageBreak/>
        <w:t>INDEX</w:t>
      </w:r>
    </w:p>
    <w:p w14:paraId="2EB82206" w14:textId="77777777" w:rsidR="00A253C1" w:rsidRPr="00ED2212" w:rsidRDefault="00A253C1">
      <w:pPr>
        <w:jc w:val="center"/>
        <w:rPr>
          <w:rFonts w:ascii="Century" w:hAnsi="Century"/>
          <w:sz w:val="28"/>
          <w:szCs w:val="28"/>
        </w:rPr>
      </w:pPr>
    </w:p>
    <w:p w14:paraId="2EB82207" w14:textId="35BBA13B" w:rsidR="00A253C1" w:rsidRPr="00ED2212" w:rsidRDefault="00E03B9C">
      <w:pPr>
        <w:tabs>
          <w:tab w:val="right" w:leader="dot" w:pos="8280"/>
        </w:tabs>
        <w:ind w:left="1800" w:right="1080" w:hanging="720"/>
        <w:jc w:val="both"/>
        <w:rPr>
          <w:rFonts w:ascii="Century" w:hAnsi="Century"/>
          <w:sz w:val="28"/>
          <w:szCs w:val="28"/>
        </w:rPr>
      </w:pPr>
      <w:r w:rsidRPr="00ED2212">
        <w:rPr>
          <w:rFonts w:ascii="Century" w:hAnsi="Century"/>
          <w:sz w:val="28"/>
          <w:szCs w:val="28"/>
        </w:rPr>
        <w:t>TABLE OF AUTHORITIES</w:t>
      </w:r>
      <w:r w:rsidRPr="00ED2212">
        <w:rPr>
          <w:rFonts w:ascii="Century" w:hAnsi="Century"/>
          <w:sz w:val="28"/>
          <w:szCs w:val="28"/>
        </w:rPr>
        <w:tab/>
        <w:t>i</w:t>
      </w:r>
      <w:r w:rsidR="002B1FF5">
        <w:rPr>
          <w:rFonts w:ascii="Century" w:hAnsi="Century"/>
          <w:sz w:val="28"/>
          <w:szCs w:val="28"/>
        </w:rPr>
        <w:t>i</w:t>
      </w:r>
      <w:r w:rsidRPr="00ED2212">
        <w:rPr>
          <w:rFonts w:ascii="Century" w:hAnsi="Century"/>
          <w:sz w:val="28"/>
          <w:szCs w:val="28"/>
        </w:rPr>
        <w:t>i</w:t>
      </w:r>
    </w:p>
    <w:p w14:paraId="2EB82208" w14:textId="77777777" w:rsidR="00A253C1" w:rsidRPr="00ED2212" w:rsidRDefault="00A253C1">
      <w:pPr>
        <w:tabs>
          <w:tab w:val="right" w:leader="dot" w:pos="8280"/>
        </w:tabs>
        <w:ind w:left="1800" w:right="1080" w:hanging="720"/>
        <w:jc w:val="both"/>
        <w:rPr>
          <w:rFonts w:ascii="Century" w:hAnsi="Century"/>
          <w:sz w:val="28"/>
          <w:szCs w:val="28"/>
        </w:rPr>
      </w:pPr>
    </w:p>
    <w:p w14:paraId="2EB82209" w14:textId="77777777" w:rsidR="00A253C1" w:rsidRPr="00ED2212" w:rsidRDefault="00E03B9C">
      <w:pPr>
        <w:tabs>
          <w:tab w:val="right" w:leader="dot" w:pos="8280"/>
        </w:tabs>
        <w:ind w:left="1800" w:right="1080" w:hanging="720"/>
        <w:jc w:val="both"/>
        <w:rPr>
          <w:rFonts w:ascii="Century" w:hAnsi="Century"/>
          <w:sz w:val="28"/>
          <w:szCs w:val="28"/>
        </w:rPr>
      </w:pPr>
      <w:r w:rsidRPr="00ED2212">
        <w:rPr>
          <w:rFonts w:ascii="Century" w:hAnsi="Century"/>
          <w:sz w:val="28"/>
          <w:szCs w:val="28"/>
        </w:rPr>
        <w:t>ISSUES PRESENTED</w:t>
      </w:r>
      <w:r w:rsidRPr="00ED2212">
        <w:rPr>
          <w:rFonts w:ascii="Century" w:hAnsi="Century"/>
          <w:sz w:val="28"/>
          <w:szCs w:val="28"/>
        </w:rPr>
        <w:tab/>
        <w:t>1</w:t>
      </w:r>
    </w:p>
    <w:p w14:paraId="2EB8220A" w14:textId="77777777" w:rsidR="00A253C1" w:rsidRPr="00ED2212" w:rsidRDefault="00A253C1">
      <w:pPr>
        <w:tabs>
          <w:tab w:val="right" w:leader="dot" w:pos="8280"/>
          <w:tab w:val="right" w:leader="dot" w:pos="8640"/>
        </w:tabs>
        <w:ind w:left="1800" w:right="1080" w:hanging="720"/>
        <w:jc w:val="both"/>
        <w:rPr>
          <w:rFonts w:ascii="Century" w:hAnsi="Century"/>
          <w:sz w:val="28"/>
          <w:szCs w:val="28"/>
        </w:rPr>
      </w:pPr>
    </w:p>
    <w:p w14:paraId="2EB8220B" w14:textId="77777777" w:rsidR="00A253C1" w:rsidRPr="00ED2212" w:rsidRDefault="00E03B9C">
      <w:pPr>
        <w:tabs>
          <w:tab w:val="right" w:leader="dot" w:pos="8280"/>
        </w:tabs>
        <w:ind w:left="1800" w:right="1080" w:hanging="720"/>
        <w:jc w:val="both"/>
        <w:rPr>
          <w:rFonts w:ascii="Century" w:hAnsi="Century"/>
          <w:sz w:val="28"/>
          <w:szCs w:val="28"/>
        </w:rPr>
      </w:pPr>
      <w:r w:rsidRPr="00ED2212">
        <w:rPr>
          <w:rFonts w:ascii="Century" w:hAnsi="Century"/>
          <w:sz w:val="28"/>
          <w:szCs w:val="28"/>
        </w:rPr>
        <w:t>STATEMENT OF THE CASE</w:t>
      </w:r>
      <w:r w:rsidRPr="00ED2212">
        <w:rPr>
          <w:rFonts w:ascii="Century" w:hAnsi="Century"/>
          <w:sz w:val="28"/>
          <w:szCs w:val="28"/>
        </w:rPr>
        <w:tab/>
        <w:t>2</w:t>
      </w:r>
    </w:p>
    <w:p w14:paraId="2EB8220C" w14:textId="77777777" w:rsidR="00A253C1" w:rsidRPr="00ED2212" w:rsidRDefault="00A253C1">
      <w:pPr>
        <w:tabs>
          <w:tab w:val="right" w:leader="dot" w:pos="8280"/>
          <w:tab w:val="right" w:leader="dot" w:pos="8640"/>
        </w:tabs>
        <w:ind w:left="1800" w:right="1080" w:hanging="720"/>
        <w:jc w:val="both"/>
        <w:rPr>
          <w:rFonts w:ascii="Century" w:hAnsi="Century"/>
          <w:sz w:val="28"/>
          <w:szCs w:val="28"/>
        </w:rPr>
      </w:pPr>
    </w:p>
    <w:p w14:paraId="2EB8220D" w14:textId="4A5D3D76" w:rsidR="00A253C1" w:rsidRPr="00ED2212" w:rsidRDefault="00E03B9C">
      <w:pPr>
        <w:tabs>
          <w:tab w:val="right" w:leader="dot" w:pos="8280"/>
        </w:tabs>
        <w:ind w:left="1800" w:right="1080" w:hanging="720"/>
        <w:jc w:val="both"/>
        <w:rPr>
          <w:rFonts w:ascii="Century" w:hAnsi="Century"/>
          <w:sz w:val="28"/>
          <w:szCs w:val="28"/>
        </w:rPr>
      </w:pPr>
      <w:r w:rsidRPr="00ED2212">
        <w:rPr>
          <w:rFonts w:ascii="Century" w:hAnsi="Century"/>
          <w:sz w:val="28"/>
          <w:szCs w:val="28"/>
        </w:rPr>
        <w:t>STATEMENT OF GROUNDS FOR APPELLATE REVIEW</w:t>
      </w:r>
      <w:r w:rsidR="00ED2212">
        <w:rPr>
          <w:rFonts w:ascii="Century" w:hAnsi="Century"/>
          <w:sz w:val="28"/>
          <w:szCs w:val="28"/>
        </w:rPr>
        <w:t>………………………………………………</w:t>
      </w:r>
      <w:r w:rsidRPr="00ED2212">
        <w:rPr>
          <w:rFonts w:ascii="Century" w:hAnsi="Century"/>
          <w:sz w:val="28"/>
          <w:szCs w:val="28"/>
        </w:rPr>
        <w:t>.2</w:t>
      </w:r>
    </w:p>
    <w:p w14:paraId="2EB8220E" w14:textId="77777777" w:rsidR="00A253C1" w:rsidRPr="00ED2212" w:rsidRDefault="00A253C1">
      <w:pPr>
        <w:tabs>
          <w:tab w:val="right" w:leader="dot" w:pos="8280"/>
        </w:tabs>
        <w:ind w:left="1800" w:right="1080" w:hanging="720"/>
        <w:jc w:val="both"/>
        <w:rPr>
          <w:rFonts w:ascii="Century" w:hAnsi="Century"/>
          <w:sz w:val="28"/>
          <w:szCs w:val="28"/>
        </w:rPr>
      </w:pPr>
    </w:p>
    <w:p w14:paraId="2EB8220F" w14:textId="4D9E8523" w:rsidR="00A253C1" w:rsidRPr="00ED2212" w:rsidRDefault="00E03B9C">
      <w:pPr>
        <w:tabs>
          <w:tab w:val="right" w:leader="dot" w:pos="8280"/>
        </w:tabs>
        <w:ind w:left="1800" w:right="1080" w:hanging="720"/>
        <w:jc w:val="both"/>
        <w:rPr>
          <w:rFonts w:ascii="Century" w:hAnsi="Century"/>
          <w:sz w:val="28"/>
          <w:szCs w:val="28"/>
        </w:rPr>
      </w:pPr>
      <w:r w:rsidRPr="00ED2212">
        <w:rPr>
          <w:rFonts w:ascii="Century" w:hAnsi="Century"/>
          <w:sz w:val="28"/>
          <w:szCs w:val="28"/>
        </w:rPr>
        <w:t>STATEMENT OF THE FACTS</w:t>
      </w:r>
      <w:r w:rsidRPr="00ED2212">
        <w:rPr>
          <w:rFonts w:ascii="Century" w:hAnsi="Century"/>
          <w:sz w:val="28"/>
          <w:szCs w:val="28"/>
        </w:rPr>
        <w:tab/>
      </w:r>
      <w:r w:rsidR="001B4F91">
        <w:rPr>
          <w:rFonts w:ascii="Century" w:hAnsi="Century"/>
          <w:sz w:val="28"/>
          <w:szCs w:val="28"/>
        </w:rPr>
        <w:t>3</w:t>
      </w:r>
    </w:p>
    <w:p w14:paraId="2EB82210" w14:textId="77777777" w:rsidR="00A253C1" w:rsidRPr="00ED2212" w:rsidRDefault="00E03B9C">
      <w:pPr>
        <w:tabs>
          <w:tab w:val="right" w:leader="dot" w:pos="8280"/>
        </w:tabs>
        <w:ind w:left="1800" w:right="1080" w:hanging="720"/>
        <w:jc w:val="both"/>
        <w:rPr>
          <w:rFonts w:ascii="Century" w:hAnsi="Century"/>
          <w:sz w:val="28"/>
          <w:szCs w:val="28"/>
        </w:rPr>
      </w:pPr>
      <w:r w:rsidRPr="00ED2212">
        <w:rPr>
          <w:rFonts w:ascii="Century" w:hAnsi="Century"/>
          <w:sz w:val="28"/>
          <w:szCs w:val="28"/>
        </w:rPr>
        <w:t xml:space="preserve">     </w:t>
      </w:r>
    </w:p>
    <w:p w14:paraId="2EB82211" w14:textId="77777777" w:rsidR="00A253C1" w:rsidRPr="00ED2212" w:rsidRDefault="00E03B9C">
      <w:pPr>
        <w:tabs>
          <w:tab w:val="right" w:leader="dot" w:pos="8280"/>
        </w:tabs>
        <w:ind w:left="1800" w:right="1080" w:hanging="720"/>
        <w:jc w:val="both"/>
        <w:rPr>
          <w:rFonts w:ascii="Century" w:hAnsi="Century"/>
          <w:sz w:val="28"/>
          <w:szCs w:val="28"/>
        </w:rPr>
      </w:pPr>
      <w:r w:rsidRPr="00ED2212">
        <w:rPr>
          <w:rFonts w:ascii="Century" w:hAnsi="Century"/>
          <w:sz w:val="28"/>
          <w:szCs w:val="28"/>
        </w:rPr>
        <w:t>ARGUMENT</w:t>
      </w:r>
      <w:r w:rsidRPr="00ED2212">
        <w:rPr>
          <w:rFonts w:ascii="Century" w:hAnsi="Century"/>
          <w:sz w:val="28"/>
          <w:szCs w:val="28"/>
        </w:rPr>
        <w:tab/>
      </w:r>
      <w:r w:rsidRPr="00D8219C">
        <w:rPr>
          <w:rFonts w:ascii="Century" w:hAnsi="Century"/>
          <w:sz w:val="28"/>
          <w:szCs w:val="28"/>
        </w:rPr>
        <w:t>8</w:t>
      </w:r>
    </w:p>
    <w:p w14:paraId="2EB82212" w14:textId="77777777" w:rsidR="00A253C1" w:rsidRPr="00ED2212" w:rsidRDefault="00A253C1">
      <w:pPr>
        <w:tabs>
          <w:tab w:val="right" w:leader="dot" w:pos="8280"/>
          <w:tab w:val="right" w:leader="dot" w:pos="8640"/>
        </w:tabs>
        <w:ind w:left="1800" w:right="1080" w:hanging="720"/>
        <w:jc w:val="both"/>
        <w:rPr>
          <w:rFonts w:ascii="Century" w:hAnsi="Century"/>
          <w:sz w:val="28"/>
          <w:szCs w:val="28"/>
        </w:rPr>
      </w:pPr>
    </w:p>
    <w:p w14:paraId="2EB82213" w14:textId="2FFAC7A7" w:rsidR="00A253C1" w:rsidRPr="00C4733A" w:rsidRDefault="00AC2BAB">
      <w:pPr>
        <w:numPr>
          <w:ilvl w:val="0"/>
          <w:numId w:val="1"/>
        </w:numPr>
        <w:tabs>
          <w:tab w:val="clear" w:pos="1260"/>
          <w:tab w:val="num" w:pos="1800"/>
          <w:tab w:val="right" w:leader="dot" w:pos="8280"/>
        </w:tabs>
        <w:spacing w:line="240" w:lineRule="auto"/>
        <w:ind w:left="1800" w:right="1620"/>
        <w:jc w:val="both"/>
        <w:rPr>
          <w:rFonts w:ascii="Century" w:hAnsi="Century"/>
          <w:bCs/>
          <w:sz w:val="28"/>
          <w:szCs w:val="28"/>
        </w:rPr>
      </w:pPr>
      <w:r w:rsidRPr="00AC2BAB">
        <w:rPr>
          <w:rFonts w:ascii="Century" w:hAnsi="Century"/>
          <w:sz w:val="28"/>
          <w:szCs w:val="28"/>
        </w:rPr>
        <w:t xml:space="preserve">THE TRIAL COURT ABUSED ITS DISCRETION IN FINDING MR. BETHEA COMPETENT TO STAND TRIAL WHERE </w:t>
      </w:r>
      <w:r w:rsidR="00EA7581">
        <w:rPr>
          <w:rFonts w:ascii="Century" w:hAnsi="Century"/>
          <w:sz w:val="28"/>
          <w:szCs w:val="28"/>
        </w:rPr>
        <w:t>THE UNDISPUTED</w:t>
      </w:r>
      <w:r w:rsidRPr="00AC2BAB">
        <w:rPr>
          <w:rFonts w:ascii="Century" w:hAnsi="Century"/>
          <w:sz w:val="28"/>
          <w:szCs w:val="28"/>
        </w:rPr>
        <w:t xml:space="preserve"> EVIDENCE </w:t>
      </w:r>
      <w:r w:rsidR="00184D77">
        <w:rPr>
          <w:rFonts w:ascii="Century" w:hAnsi="Century"/>
          <w:sz w:val="28"/>
          <w:szCs w:val="28"/>
        </w:rPr>
        <w:t>SHOWED</w:t>
      </w:r>
      <w:r w:rsidRPr="00AC2BAB">
        <w:rPr>
          <w:rFonts w:ascii="Century" w:hAnsi="Century"/>
          <w:sz w:val="28"/>
          <w:szCs w:val="28"/>
        </w:rPr>
        <w:t xml:space="preserve"> HE WAS </w:t>
      </w:r>
      <w:r w:rsidR="007D37E3">
        <w:rPr>
          <w:rFonts w:ascii="Century" w:hAnsi="Century"/>
          <w:sz w:val="28"/>
          <w:szCs w:val="28"/>
        </w:rPr>
        <w:t>UNABLE TO ASSIST IN HIS DEFENSE</w:t>
      </w:r>
      <w:r w:rsidRPr="00AC2BAB">
        <w:rPr>
          <w:rFonts w:ascii="Century" w:hAnsi="Century"/>
          <w:sz w:val="28"/>
          <w:szCs w:val="28"/>
        </w:rPr>
        <w:t xml:space="preserve"> DUE TO A TOTAL LACK OF MEMORY ABOUT THE DAYS SURROUNDING THE INCIDENT</w:t>
      </w:r>
      <w:r w:rsidR="00E03B9C" w:rsidRPr="00AC2BAB">
        <w:rPr>
          <w:rFonts w:ascii="Century" w:hAnsi="Century"/>
          <w:sz w:val="28"/>
          <w:szCs w:val="28"/>
        </w:rPr>
        <w:tab/>
        <w:t>8</w:t>
      </w:r>
    </w:p>
    <w:p w14:paraId="55D6A0D2" w14:textId="77777777" w:rsidR="00C4733A" w:rsidRPr="002B1FF5" w:rsidRDefault="00C4733A" w:rsidP="00C4733A">
      <w:pPr>
        <w:tabs>
          <w:tab w:val="right" w:leader="dot" w:pos="8280"/>
        </w:tabs>
        <w:spacing w:line="240" w:lineRule="auto"/>
        <w:ind w:left="1800" w:right="1620"/>
        <w:jc w:val="both"/>
        <w:rPr>
          <w:rFonts w:ascii="Century" w:hAnsi="Century"/>
          <w:bCs/>
          <w:sz w:val="28"/>
          <w:szCs w:val="28"/>
        </w:rPr>
      </w:pPr>
    </w:p>
    <w:p w14:paraId="002ABC92" w14:textId="020313F3" w:rsidR="002B1FF5" w:rsidRDefault="00307816" w:rsidP="00307816">
      <w:pPr>
        <w:pStyle w:val="ListParagraph"/>
        <w:numPr>
          <w:ilvl w:val="0"/>
          <w:numId w:val="13"/>
        </w:numPr>
        <w:tabs>
          <w:tab w:val="right" w:leader="dot" w:pos="8280"/>
        </w:tabs>
        <w:spacing w:line="240" w:lineRule="auto"/>
        <w:ind w:right="1620"/>
        <w:jc w:val="both"/>
        <w:rPr>
          <w:rFonts w:ascii="Century" w:hAnsi="Century"/>
          <w:sz w:val="28"/>
          <w:szCs w:val="28"/>
        </w:rPr>
      </w:pPr>
      <w:r w:rsidRPr="00307816">
        <w:rPr>
          <w:rFonts w:ascii="Century" w:hAnsi="Century"/>
          <w:sz w:val="28"/>
          <w:szCs w:val="28"/>
        </w:rPr>
        <w:t>Standard of Review</w:t>
      </w:r>
      <w:r w:rsidR="00C4733A" w:rsidRPr="00AC2BAB">
        <w:rPr>
          <w:rFonts w:ascii="Century" w:hAnsi="Century"/>
          <w:sz w:val="28"/>
          <w:szCs w:val="28"/>
        </w:rPr>
        <w:tab/>
        <w:t>8</w:t>
      </w:r>
    </w:p>
    <w:p w14:paraId="0E5D4CCF" w14:textId="56C31F57" w:rsidR="00C4733A" w:rsidRPr="00307816" w:rsidRDefault="00C4733A" w:rsidP="00C4733A">
      <w:pPr>
        <w:pStyle w:val="ListParagraph"/>
        <w:tabs>
          <w:tab w:val="right" w:leader="dot" w:pos="8280"/>
        </w:tabs>
        <w:spacing w:line="240" w:lineRule="auto"/>
        <w:ind w:left="1620" w:right="1620"/>
        <w:jc w:val="both"/>
        <w:rPr>
          <w:rFonts w:ascii="Century" w:hAnsi="Century"/>
          <w:sz w:val="28"/>
          <w:szCs w:val="28"/>
        </w:rPr>
      </w:pPr>
    </w:p>
    <w:p w14:paraId="52641F61" w14:textId="41649853" w:rsidR="00307816" w:rsidRPr="00C4733A" w:rsidRDefault="00307816" w:rsidP="00307816">
      <w:pPr>
        <w:pStyle w:val="ListParagraph"/>
        <w:numPr>
          <w:ilvl w:val="0"/>
          <w:numId w:val="13"/>
        </w:numPr>
        <w:tabs>
          <w:tab w:val="right" w:leader="dot" w:pos="8280"/>
        </w:tabs>
        <w:spacing w:line="240" w:lineRule="auto"/>
        <w:ind w:right="1620"/>
        <w:jc w:val="both"/>
        <w:rPr>
          <w:rFonts w:ascii="Century" w:hAnsi="Century"/>
          <w:bCs/>
          <w:sz w:val="28"/>
          <w:szCs w:val="28"/>
        </w:rPr>
      </w:pPr>
      <w:r>
        <w:rPr>
          <w:rFonts w:ascii="Century" w:hAnsi="Century"/>
          <w:bCs/>
          <w:sz w:val="28"/>
          <w:szCs w:val="28"/>
        </w:rPr>
        <w:t>Legal Analysis</w:t>
      </w:r>
      <w:r w:rsidR="00C4733A" w:rsidRPr="00AC2BAB">
        <w:rPr>
          <w:rFonts w:ascii="Century" w:hAnsi="Century"/>
          <w:sz w:val="28"/>
          <w:szCs w:val="28"/>
        </w:rPr>
        <w:tab/>
      </w:r>
      <w:r w:rsidR="00C4733A">
        <w:rPr>
          <w:rFonts w:ascii="Century" w:hAnsi="Century"/>
          <w:sz w:val="28"/>
          <w:szCs w:val="28"/>
        </w:rPr>
        <w:t>9</w:t>
      </w:r>
    </w:p>
    <w:p w14:paraId="1DBA4222" w14:textId="77777777" w:rsidR="00C4733A" w:rsidRPr="00C4733A" w:rsidRDefault="00C4733A" w:rsidP="00C4733A">
      <w:pPr>
        <w:tabs>
          <w:tab w:val="right" w:leader="dot" w:pos="8280"/>
        </w:tabs>
        <w:spacing w:line="240" w:lineRule="auto"/>
        <w:ind w:right="1620"/>
        <w:jc w:val="both"/>
        <w:rPr>
          <w:rFonts w:ascii="Century" w:hAnsi="Century"/>
          <w:bCs/>
          <w:sz w:val="28"/>
          <w:szCs w:val="28"/>
        </w:rPr>
      </w:pPr>
    </w:p>
    <w:p w14:paraId="2F6CD0BB" w14:textId="35A2DF05" w:rsidR="00307816" w:rsidRPr="00C4733A" w:rsidRDefault="008F5EC0" w:rsidP="008F5EC0">
      <w:pPr>
        <w:pStyle w:val="ListParagraph"/>
        <w:numPr>
          <w:ilvl w:val="3"/>
          <w:numId w:val="1"/>
        </w:numPr>
        <w:tabs>
          <w:tab w:val="right" w:leader="dot" w:pos="8280"/>
        </w:tabs>
        <w:spacing w:line="240" w:lineRule="auto"/>
        <w:ind w:right="1620"/>
        <w:jc w:val="both"/>
        <w:rPr>
          <w:rFonts w:ascii="Century" w:hAnsi="Century"/>
          <w:bCs/>
          <w:sz w:val="28"/>
          <w:szCs w:val="28"/>
        </w:rPr>
      </w:pPr>
      <w:r>
        <w:rPr>
          <w:rFonts w:ascii="Century" w:hAnsi="Century"/>
          <w:bCs/>
          <w:sz w:val="28"/>
          <w:szCs w:val="28"/>
        </w:rPr>
        <w:t>Core Principles</w:t>
      </w:r>
      <w:r w:rsidR="00C4733A" w:rsidRPr="00AC2BAB">
        <w:rPr>
          <w:rFonts w:ascii="Century" w:hAnsi="Century"/>
          <w:sz w:val="28"/>
          <w:szCs w:val="28"/>
        </w:rPr>
        <w:tab/>
      </w:r>
      <w:r w:rsidR="00C4733A">
        <w:rPr>
          <w:rFonts w:ascii="Century" w:hAnsi="Century"/>
          <w:sz w:val="28"/>
          <w:szCs w:val="28"/>
        </w:rPr>
        <w:t>9</w:t>
      </w:r>
    </w:p>
    <w:p w14:paraId="54270967" w14:textId="77777777" w:rsidR="00C4733A" w:rsidRDefault="00C4733A" w:rsidP="00C4733A">
      <w:pPr>
        <w:pStyle w:val="ListParagraph"/>
        <w:tabs>
          <w:tab w:val="right" w:leader="dot" w:pos="8280"/>
        </w:tabs>
        <w:spacing w:line="240" w:lineRule="auto"/>
        <w:ind w:left="3060" w:right="1620"/>
        <w:jc w:val="both"/>
        <w:rPr>
          <w:rFonts w:ascii="Century" w:hAnsi="Century"/>
          <w:bCs/>
          <w:sz w:val="28"/>
          <w:szCs w:val="28"/>
        </w:rPr>
      </w:pPr>
    </w:p>
    <w:p w14:paraId="5521A0BF" w14:textId="496EFD8E" w:rsidR="008F5EC0" w:rsidRDefault="008F5EC0" w:rsidP="008F5EC0">
      <w:pPr>
        <w:pStyle w:val="ListParagraph"/>
        <w:numPr>
          <w:ilvl w:val="3"/>
          <w:numId w:val="1"/>
        </w:numPr>
        <w:tabs>
          <w:tab w:val="right" w:leader="dot" w:pos="8280"/>
        </w:tabs>
        <w:spacing w:line="240" w:lineRule="auto"/>
        <w:ind w:right="1620"/>
        <w:jc w:val="both"/>
        <w:rPr>
          <w:rFonts w:ascii="Century" w:hAnsi="Century"/>
          <w:bCs/>
          <w:sz w:val="28"/>
          <w:szCs w:val="28"/>
        </w:rPr>
      </w:pPr>
      <w:r>
        <w:rPr>
          <w:rFonts w:ascii="Century" w:hAnsi="Century"/>
          <w:bCs/>
          <w:sz w:val="28"/>
          <w:szCs w:val="28"/>
        </w:rPr>
        <w:t>The Trial Court’s Findings of Fact Were Not Supported by Competent Evidence</w:t>
      </w:r>
      <w:r w:rsidR="001C706E">
        <w:rPr>
          <w:rFonts w:ascii="Century" w:hAnsi="Century"/>
          <w:bCs/>
          <w:sz w:val="28"/>
          <w:szCs w:val="28"/>
        </w:rPr>
        <w:t>, and Its Conclusions of Law Did Not Accurately Reflect Either the Law or the Evidence Presented</w:t>
      </w:r>
      <w:r w:rsidR="00C4733A" w:rsidRPr="00AC2BAB">
        <w:rPr>
          <w:rFonts w:ascii="Century" w:hAnsi="Century"/>
          <w:sz w:val="28"/>
          <w:szCs w:val="28"/>
        </w:rPr>
        <w:tab/>
      </w:r>
      <w:r w:rsidR="00C4733A">
        <w:rPr>
          <w:rFonts w:ascii="Century" w:hAnsi="Century"/>
          <w:sz w:val="28"/>
          <w:szCs w:val="28"/>
        </w:rPr>
        <w:t>11</w:t>
      </w:r>
    </w:p>
    <w:p w14:paraId="0579B842" w14:textId="2F2CB450" w:rsidR="001C706E" w:rsidRPr="00307816" w:rsidRDefault="006E3BD4" w:rsidP="008F5EC0">
      <w:pPr>
        <w:pStyle w:val="ListParagraph"/>
        <w:numPr>
          <w:ilvl w:val="3"/>
          <w:numId w:val="1"/>
        </w:numPr>
        <w:tabs>
          <w:tab w:val="right" w:leader="dot" w:pos="8280"/>
        </w:tabs>
        <w:spacing w:line="240" w:lineRule="auto"/>
        <w:ind w:right="1620"/>
        <w:jc w:val="both"/>
        <w:rPr>
          <w:rFonts w:ascii="Century" w:hAnsi="Century"/>
          <w:bCs/>
          <w:sz w:val="28"/>
          <w:szCs w:val="28"/>
        </w:rPr>
      </w:pPr>
      <w:r>
        <w:rPr>
          <w:rFonts w:ascii="Century" w:hAnsi="Century"/>
          <w:bCs/>
          <w:sz w:val="28"/>
          <w:szCs w:val="28"/>
        </w:rPr>
        <w:lastRenderedPageBreak/>
        <w:t>Mr. Bethea Was Incompetent to Stand Trial Because He Had No Recollection of the Events Before, During, or After the Incident, and Was Unable to Assist Counsel in Preparing His Defense</w:t>
      </w:r>
      <w:r w:rsidR="00C4733A" w:rsidRPr="00AC2BAB">
        <w:rPr>
          <w:rFonts w:ascii="Century" w:hAnsi="Century"/>
          <w:sz w:val="28"/>
          <w:szCs w:val="28"/>
        </w:rPr>
        <w:tab/>
      </w:r>
      <w:r w:rsidR="00C4733A">
        <w:rPr>
          <w:rFonts w:ascii="Century" w:hAnsi="Century"/>
          <w:sz w:val="28"/>
          <w:szCs w:val="28"/>
        </w:rPr>
        <w:t>17</w:t>
      </w:r>
    </w:p>
    <w:p w14:paraId="2EB82214" w14:textId="77777777" w:rsidR="00A253C1" w:rsidRPr="00ED2212" w:rsidRDefault="00A253C1">
      <w:pPr>
        <w:tabs>
          <w:tab w:val="right" w:leader="dot" w:pos="8280"/>
          <w:tab w:val="right" w:leader="dot" w:pos="8820"/>
        </w:tabs>
        <w:ind w:left="1800" w:right="1080" w:hanging="720"/>
        <w:jc w:val="both"/>
        <w:rPr>
          <w:rFonts w:ascii="Century" w:hAnsi="Century"/>
          <w:sz w:val="28"/>
          <w:szCs w:val="28"/>
        </w:rPr>
      </w:pPr>
    </w:p>
    <w:p w14:paraId="2EB82215" w14:textId="2A4F6655" w:rsidR="00A253C1" w:rsidRPr="00ED2212" w:rsidRDefault="00E03B9C">
      <w:pPr>
        <w:tabs>
          <w:tab w:val="right" w:leader="dot" w:pos="8280"/>
        </w:tabs>
        <w:ind w:left="1800" w:right="1080" w:hanging="720"/>
        <w:jc w:val="both"/>
        <w:rPr>
          <w:rFonts w:ascii="Century" w:hAnsi="Century"/>
          <w:sz w:val="28"/>
          <w:szCs w:val="28"/>
        </w:rPr>
      </w:pPr>
      <w:r w:rsidRPr="00ED2212">
        <w:rPr>
          <w:rFonts w:ascii="Century" w:hAnsi="Century"/>
          <w:sz w:val="28"/>
          <w:szCs w:val="28"/>
        </w:rPr>
        <w:t>CONCLUSION</w:t>
      </w:r>
      <w:r w:rsidRPr="00ED2212">
        <w:rPr>
          <w:rFonts w:ascii="Century" w:hAnsi="Century"/>
          <w:sz w:val="28"/>
          <w:szCs w:val="28"/>
        </w:rPr>
        <w:tab/>
        <w:t>2</w:t>
      </w:r>
      <w:r w:rsidR="0095758B">
        <w:rPr>
          <w:rFonts w:ascii="Century" w:hAnsi="Century"/>
          <w:sz w:val="28"/>
          <w:szCs w:val="28"/>
        </w:rPr>
        <w:t>0</w:t>
      </w:r>
    </w:p>
    <w:p w14:paraId="2EB82216" w14:textId="77777777" w:rsidR="00A253C1" w:rsidRPr="00ED2212" w:rsidRDefault="00A253C1">
      <w:pPr>
        <w:tabs>
          <w:tab w:val="right" w:leader="dot" w:pos="8280"/>
          <w:tab w:val="right" w:leader="dot" w:pos="8640"/>
        </w:tabs>
        <w:ind w:left="1800" w:right="1080" w:hanging="720"/>
        <w:jc w:val="both"/>
        <w:rPr>
          <w:rFonts w:ascii="Century" w:hAnsi="Century"/>
          <w:sz w:val="28"/>
          <w:szCs w:val="28"/>
        </w:rPr>
      </w:pPr>
    </w:p>
    <w:p w14:paraId="2EB82217" w14:textId="2FDB9E56" w:rsidR="00A253C1" w:rsidRPr="00ED2212" w:rsidRDefault="00E03B9C">
      <w:pPr>
        <w:tabs>
          <w:tab w:val="right" w:leader="dot" w:pos="8280"/>
        </w:tabs>
        <w:ind w:left="1800" w:right="1080" w:hanging="720"/>
        <w:jc w:val="both"/>
        <w:rPr>
          <w:rFonts w:ascii="Century" w:hAnsi="Century"/>
          <w:sz w:val="28"/>
          <w:szCs w:val="28"/>
        </w:rPr>
      </w:pPr>
      <w:r w:rsidRPr="00ED2212">
        <w:rPr>
          <w:rFonts w:ascii="Century" w:hAnsi="Century"/>
          <w:sz w:val="28"/>
          <w:szCs w:val="28"/>
        </w:rPr>
        <w:t>CERTIFICATE OF COMPLIANCE</w:t>
      </w:r>
      <w:r w:rsidRPr="00ED2212">
        <w:rPr>
          <w:rFonts w:ascii="Century" w:hAnsi="Century"/>
          <w:sz w:val="28"/>
          <w:szCs w:val="28"/>
        </w:rPr>
        <w:tab/>
        <w:t>2</w:t>
      </w:r>
      <w:r w:rsidR="0095758B">
        <w:rPr>
          <w:rFonts w:ascii="Century" w:hAnsi="Century"/>
          <w:sz w:val="28"/>
          <w:szCs w:val="28"/>
        </w:rPr>
        <w:t>1</w:t>
      </w:r>
    </w:p>
    <w:p w14:paraId="2EB82218" w14:textId="77777777" w:rsidR="00A253C1" w:rsidRPr="00ED2212" w:rsidRDefault="00A253C1">
      <w:pPr>
        <w:tabs>
          <w:tab w:val="right" w:leader="dot" w:pos="8280"/>
          <w:tab w:val="right" w:leader="dot" w:pos="8820"/>
        </w:tabs>
        <w:ind w:left="1800" w:right="1080" w:hanging="720"/>
        <w:jc w:val="both"/>
        <w:rPr>
          <w:rFonts w:ascii="Century" w:hAnsi="Century"/>
          <w:sz w:val="28"/>
          <w:szCs w:val="28"/>
        </w:rPr>
      </w:pPr>
    </w:p>
    <w:p w14:paraId="2EB82219" w14:textId="5D871A11" w:rsidR="00A253C1" w:rsidRPr="00ED2212" w:rsidRDefault="00E03B9C">
      <w:pPr>
        <w:tabs>
          <w:tab w:val="right" w:leader="dot" w:pos="8280"/>
        </w:tabs>
        <w:ind w:left="1800" w:right="1080" w:hanging="720"/>
        <w:jc w:val="both"/>
        <w:rPr>
          <w:rFonts w:ascii="Century" w:hAnsi="Century"/>
          <w:sz w:val="28"/>
          <w:szCs w:val="28"/>
        </w:rPr>
      </w:pPr>
      <w:r w:rsidRPr="00ED2212">
        <w:rPr>
          <w:rFonts w:ascii="Century" w:hAnsi="Century"/>
          <w:sz w:val="28"/>
          <w:szCs w:val="28"/>
        </w:rPr>
        <w:t>CERTIFICATE OF FILING AND SERVICE</w:t>
      </w:r>
      <w:r w:rsidRPr="00ED2212">
        <w:rPr>
          <w:rFonts w:ascii="Century" w:hAnsi="Century"/>
          <w:sz w:val="28"/>
          <w:szCs w:val="28"/>
        </w:rPr>
        <w:tab/>
        <w:t>2</w:t>
      </w:r>
      <w:r w:rsidR="0095758B">
        <w:rPr>
          <w:rFonts w:ascii="Century" w:hAnsi="Century"/>
          <w:sz w:val="28"/>
          <w:szCs w:val="28"/>
        </w:rPr>
        <w:t>1</w:t>
      </w:r>
    </w:p>
    <w:p w14:paraId="2EB8221A" w14:textId="77777777" w:rsidR="00A253C1" w:rsidRPr="00ED2212" w:rsidRDefault="00A253C1">
      <w:pPr>
        <w:tabs>
          <w:tab w:val="right" w:leader="dot" w:pos="9360"/>
        </w:tabs>
        <w:ind w:right="900" w:firstLine="360"/>
        <w:jc w:val="both"/>
        <w:rPr>
          <w:rFonts w:ascii="Century" w:hAnsi="Century"/>
          <w:sz w:val="28"/>
          <w:szCs w:val="28"/>
        </w:rPr>
      </w:pPr>
    </w:p>
    <w:p w14:paraId="2EB8221B" w14:textId="77777777" w:rsidR="00A253C1" w:rsidRPr="00ED2212" w:rsidRDefault="00A253C1">
      <w:pPr>
        <w:tabs>
          <w:tab w:val="right" w:leader="dot" w:pos="9360"/>
        </w:tabs>
        <w:ind w:right="900"/>
        <w:jc w:val="both"/>
        <w:rPr>
          <w:rFonts w:ascii="Century" w:hAnsi="Century"/>
          <w:sz w:val="28"/>
          <w:szCs w:val="28"/>
        </w:rPr>
      </w:pPr>
    </w:p>
    <w:p w14:paraId="2EB8221C" w14:textId="77777777" w:rsidR="00A253C1" w:rsidRPr="00ED2212" w:rsidRDefault="00A253C1">
      <w:pPr>
        <w:tabs>
          <w:tab w:val="right" w:leader="dot" w:pos="9360"/>
        </w:tabs>
        <w:ind w:right="900"/>
        <w:jc w:val="both"/>
        <w:rPr>
          <w:rFonts w:ascii="Century" w:hAnsi="Century"/>
          <w:sz w:val="28"/>
          <w:szCs w:val="28"/>
        </w:rPr>
      </w:pPr>
    </w:p>
    <w:p w14:paraId="2EB8221F" w14:textId="41D80E31" w:rsidR="00A253C1" w:rsidRPr="00ED2212" w:rsidRDefault="00A253C1">
      <w:pPr>
        <w:rPr>
          <w:rFonts w:ascii="Century" w:hAnsi="Century"/>
          <w:b/>
          <w:sz w:val="28"/>
          <w:szCs w:val="28"/>
          <w:highlight w:val="yellow"/>
          <w:u w:val="single"/>
        </w:rPr>
      </w:pPr>
    </w:p>
    <w:p w14:paraId="22C7A641" w14:textId="77777777" w:rsidR="00C4733A" w:rsidRDefault="00C4733A">
      <w:pPr>
        <w:spacing w:line="240" w:lineRule="auto"/>
        <w:rPr>
          <w:rFonts w:ascii="Century" w:eastAsia="Times New Roman" w:hAnsi="Century"/>
          <w:b/>
          <w:caps/>
          <w:noProof/>
          <w:sz w:val="28"/>
          <w:szCs w:val="28"/>
          <w:u w:val="single"/>
        </w:rPr>
      </w:pPr>
      <w:bookmarkStart w:id="0" w:name="_BA_TOAAll"/>
      <w:bookmarkStart w:id="1" w:name="_BA_DraftTOALocation"/>
      <w:r>
        <w:rPr>
          <w:rFonts w:ascii="Century" w:hAnsi="Century"/>
          <w:noProof/>
          <w:sz w:val="28"/>
          <w:szCs w:val="28"/>
        </w:rPr>
        <w:br w:type="page"/>
      </w:r>
    </w:p>
    <w:p w14:paraId="2EB82220" w14:textId="6C3E080C" w:rsidR="00A253C1" w:rsidRPr="00ED2212" w:rsidRDefault="00E03B9C">
      <w:pPr>
        <w:pStyle w:val="BATOATitle"/>
        <w:ind w:left="1080" w:right="1080"/>
        <w:rPr>
          <w:rFonts w:ascii="Century" w:hAnsi="Century"/>
          <w:noProof/>
          <w:sz w:val="28"/>
          <w:szCs w:val="28"/>
        </w:rPr>
      </w:pPr>
      <w:r w:rsidRPr="003954C3">
        <w:rPr>
          <w:rFonts w:ascii="Century" w:hAnsi="Century"/>
          <w:noProof/>
          <w:sz w:val="28"/>
          <w:szCs w:val="28"/>
        </w:rPr>
        <w:lastRenderedPageBreak/>
        <w:t>Table of Authorities</w:t>
      </w:r>
    </w:p>
    <w:p w14:paraId="2EB82221" w14:textId="77777777" w:rsidR="00A253C1" w:rsidRPr="00ED2212" w:rsidRDefault="00E03B9C">
      <w:pPr>
        <w:pStyle w:val="BATOAPageHeading"/>
        <w:tabs>
          <w:tab w:val="clear" w:pos="9360"/>
          <w:tab w:val="right" w:pos="8280"/>
        </w:tabs>
        <w:ind w:left="1080" w:right="1080"/>
        <w:rPr>
          <w:rFonts w:ascii="Century" w:hAnsi="Century"/>
          <w:noProof/>
          <w:sz w:val="28"/>
          <w:szCs w:val="28"/>
        </w:rPr>
      </w:pPr>
      <w:r w:rsidRPr="00ED2212">
        <w:rPr>
          <w:rFonts w:ascii="Century" w:hAnsi="Century"/>
          <w:noProof/>
          <w:sz w:val="28"/>
          <w:szCs w:val="28"/>
        </w:rPr>
        <w:tab/>
        <w:t>Page(s)</w:t>
      </w:r>
    </w:p>
    <w:p w14:paraId="2EB82222" w14:textId="77777777" w:rsidR="00A253C1" w:rsidRPr="00ED2212" w:rsidRDefault="00E03B9C">
      <w:pPr>
        <w:pStyle w:val="BATOAHeading"/>
        <w:ind w:left="1080" w:right="1080"/>
        <w:rPr>
          <w:rFonts w:ascii="Century" w:hAnsi="Century"/>
          <w:noProof/>
          <w:sz w:val="28"/>
          <w:szCs w:val="28"/>
        </w:rPr>
      </w:pPr>
      <w:bookmarkStart w:id="2" w:name="_BA95XTOA95Cases"/>
      <w:r w:rsidRPr="00ED2212">
        <w:rPr>
          <w:rFonts w:ascii="Century" w:hAnsi="Century"/>
          <w:noProof/>
          <w:sz w:val="28"/>
          <w:szCs w:val="28"/>
        </w:rPr>
        <w:t>Cases</w:t>
      </w:r>
    </w:p>
    <w:p w14:paraId="2EB82223" w14:textId="41B47162" w:rsidR="00A253C1" w:rsidRPr="00184BAA" w:rsidRDefault="007B4E44">
      <w:pPr>
        <w:pStyle w:val="BATOAEntry"/>
        <w:tabs>
          <w:tab w:val="clear" w:pos="9360"/>
          <w:tab w:val="right" w:leader="dot" w:pos="8280"/>
        </w:tabs>
        <w:ind w:left="1080" w:right="1080" w:firstLine="0"/>
        <w:rPr>
          <w:rFonts w:ascii="Century" w:hAnsi="Century"/>
          <w:noProof/>
          <w:sz w:val="28"/>
          <w:szCs w:val="28"/>
        </w:rPr>
      </w:pPr>
      <w:r w:rsidRPr="00184BAA">
        <w:rPr>
          <w:rFonts w:ascii="Century" w:hAnsi="Century"/>
          <w:i/>
          <w:noProof/>
          <w:sz w:val="28"/>
          <w:szCs w:val="28"/>
        </w:rPr>
        <w:t>Drope v. Missouri</w:t>
      </w:r>
      <w:r w:rsidR="00E03B9C" w:rsidRPr="00184BAA">
        <w:rPr>
          <w:rFonts w:ascii="Century" w:hAnsi="Century"/>
          <w:noProof/>
          <w:sz w:val="28"/>
          <w:szCs w:val="28"/>
        </w:rPr>
        <w:t>,</w:t>
      </w:r>
      <w:r w:rsidR="00E03B9C" w:rsidRPr="00184BAA">
        <w:rPr>
          <w:rFonts w:ascii="Century" w:hAnsi="Century"/>
          <w:noProof/>
          <w:sz w:val="28"/>
          <w:szCs w:val="28"/>
        </w:rPr>
        <w:br/>
      </w:r>
      <w:r w:rsidR="00184BAA" w:rsidRPr="00184BAA">
        <w:rPr>
          <w:rFonts w:ascii="Century" w:hAnsi="Century"/>
          <w:noProof/>
          <w:sz w:val="28"/>
          <w:szCs w:val="28"/>
        </w:rPr>
        <w:t>420 U.S. 162, 95 S. Ct. 896 (1975)</w:t>
      </w:r>
      <w:r w:rsidR="00E03B9C" w:rsidRPr="00184BAA">
        <w:rPr>
          <w:rFonts w:ascii="Century" w:hAnsi="Century"/>
          <w:noProof/>
          <w:sz w:val="28"/>
          <w:szCs w:val="28"/>
        </w:rPr>
        <w:tab/>
      </w:r>
      <w:r w:rsidR="00023D5B">
        <w:rPr>
          <w:rFonts w:ascii="Century" w:hAnsi="Century"/>
          <w:noProof/>
          <w:sz w:val="28"/>
          <w:szCs w:val="28"/>
        </w:rPr>
        <w:t>10</w:t>
      </w:r>
    </w:p>
    <w:p w14:paraId="797F0866" w14:textId="67910275" w:rsidR="00515A46" w:rsidRPr="00515A46" w:rsidRDefault="00515A46" w:rsidP="00515A46">
      <w:pPr>
        <w:pStyle w:val="BATOAEntry"/>
        <w:tabs>
          <w:tab w:val="clear" w:pos="9360"/>
          <w:tab w:val="right" w:leader="dot" w:pos="8280"/>
        </w:tabs>
        <w:ind w:left="1080" w:right="1080" w:firstLine="0"/>
        <w:rPr>
          <w:rFonts w:ascii="Century" w:hAnsi="Century"/>
          <w:noProof/>
          <w:sz w:val="28"/>
          <w:szCs w:val="28"/>
        </w:rPr>
      </w:pPr>
      <w:r>
        <w:rPr>
          <w:rFonts w:ascii="Century" w:hAnsi="Century"/>
          <w:i/>
          <w:noProof/>
          <w:sz w:val="28"/>
          <w:szCs w:val="28"/>
        </w:rPr>
        <w:t>Dusky v. United States</w:t>
      </w:r>
      <w:r w:rsidRPr="00515A46">
        <w:rPr>
          <w:rFonts w:ascii="Century" w:hAnsi="Century"/>
          <w:i/>
          <w:iCs/>
          <w:noProof/>
          <w:sz w:val="28"/>
          <w:szCs w:val="28"/>
        </w:rPr>
        <w:t>,</w:t>
      </w:r>
      <w:r w:rsidRPr="00515A46">
        <w:rPr>
          <w:rFonts w:ascii="Century" w:hAnsi="Century"/>
          <w:iCs/>
          <w:noProof/>
          <w:sz w:val="28"/>
          <w:szCs w:val="28"/>
        </w:rPr>
        <w:br/>
      </w:r>
      <w:r w:rsidR="00025F3F">
        <w:rPr>
          <w:rFonts w:ascii="Century" w:hAnsi="Century"/>
          <w:noProof/>
          <w:sz w:val="28"/>
          <w:szCs w:val="28"/>
        </w:rPr>
        <w:t>362 U.S. 402, 80 S. Ct. 788 (1960)</w:t>
      </w:r>
      <w:r w:rsidRPr="00515A46">
        <w:rPr>
          <w:rFonts w:ascii="Century" w:hAnsi="Century"/>
          <w:noProof/>
          <w:sz w:val="28"/>
          <w:szCs w:val="28"/>
        </w:rPr>
        <w:tab/>
      </w:r>
      <w:hyperlink w:anchor="_BA_Cite_47" w:tooltip="Long: State v. Al-Bayyinah,  356 N.C. 150, 567 S.E.2d 120 (2002)" w:history="1">
        <w:r w:rsidR="00023D5B">
          <w:rPr>
            <w:rFonts w:ascii="Century" w:hAnsi="Century"/>
            <w:noProof/>
            <w:sz w:val="28"/>
            <w:szCs w:val="28"/>
          </w:rPr>
          <w:t>17</w:t>
        </w:r>
      </w:hyperlink>
    </w:p>
    <w:p w14:paraId="2D4CB27E" w14:textId="6A5D3A3B" w:rsidR="00BC375A" w:rsidRPr="00515A46" w:rsidRDefault="00BC375A" w:rsidP="00BC375A">
      <w:pPr>
        <w:pStyle w:val="BATOAEntry"/>
        <w:tabs>
          <w:tab w:val="clear" w:pos="9360"/>
          <w:tab w:val="right" w:leader="dot" w:pos="8280"/>
        </w:tabs>
        <w:ind w:left="1080" w:right="1080" w:firstLine="0"/>
        <w:rPr>
          <w:rFonts w:ascii="Century" w:hAnsi="Century"/>
          <w:noProof/>
          <w:sz w:val="28"/>
          <w:szCs w:val="28"/>
        </w:rPr>
      </w:pPr>
      <w:r>
        <w:rPr>
          <w:rFonts w:ascii="Century" w:hAnsi="Century"/>
          <w:i/>
          <w:noProof/>
          <w:sz w:val="28"/>
          <w:szCs w:val="28"/>
        </w:rPr>
        <w:t>Ryan v. Gonzales</w:t>
      </w:r>
      <w:r w:rsidRPr="00515A46">
        <w:rPr>
          <w:rFonts w:ascii="Century" w:hAnsi="Century"/>
          <w:i/>
          <w:iCs/>
          <w:noProof/>
          <w:sz w:val="28"/>
          <w:szCs w:val="28"/>
        </w:rPr>
        <w:t>,</w:t>
      </w:r>
      <w:r w:rsidRPr="00515A46">
        <w:rPr>
          <w:rFonts w:ascii="Century" w:hAnsi="Century"/>
          <w:iCs/>
          <w:noProof/>
          <w:sz w:val="28"/>
          <w:szCs w:val="28"/>
        </w:rPr>
        <w:br/>
      </w:r>
      <w:r>
        <w:rPr>
          <w:rFonts w:ascii="Century" w:hAnsi="Century"/>
          <w:noProof/>
          <w:sz w:val="28"/>
          <w:szCs w:val="28"/>
        </w:rPr>
        <w:t>568 U.S. 57, 133 S. Ct. 696 (2013)</w:t>
      </w:r>
      <w:r w:rsidRPr="00515A46">
        <w:rPr>
          <w:rFonts w:ascii="Century" w:hAnsi="Century"/>
          <w:noProof/>
          <w:sz w:val="28"/>
          <w:szCs w:val="28"/>
        </w:rPr>
        <w:tab/>
      </w:r>
      <w:hyperlink w:anchor="_BA_Cite_47" w:tooltip="Long: State v. Al-Bayyinah,  356 N.C. 150, 567 S.E.2d 120 (2002)" w:history="1">
        <w:r w:rsidR="00023D5B">
          <w:rPr>
            <w:rFonts w:ascii="Century" w:hAnsi="Century"/>
            <w:noProof/>
            <w:sz w:val="28"/>
            <w:szCs w:val="28"/>
          </w:rPr>
          <w:t>18</w:t>
        </w:r>
      </w:hyperlink>
    </w:p>
    <w:p w14:paraId="2EB82224" w14:textId="11175D0E" w:rsidR="00A253C1" w:rsidRPr="00515A46" w:rsidRDefault="00E03B9C">
      <w:pPr>
        <w:pStyle w:val="BATOAEntry"/>
        <w:tabs>
          <w:tab w:val="clear" w:pos="9360"/>
          <w:tab w:val="right" w:leader="dot" w:pos="8280"/>
        </w:tabs>
        <w:ind w:left="1080" w:right="1080" w:firstLine="0"/>
        <w:rPr>
          <w:rFonts w:ascii="Century" w:hAnsi="Century"/>
          <w:noProof/>
          <w:sz w:val="28"/>
          <w:szCs w:val="28"/>
        </w:rPr>
      </w:pPr>
      <w:r w:rsidRPr="00515A46">
        <w:rPr>
          <w:rFonts w:ascii="Century" w:hAnsi="Century"/>
          <w:i/>
          <w:noProof/>
          <w:sz w:val="28"/>
          <w:szCs w:val="28"/>
        </w:rPr>
        <w:t xml:space="preserve">State v. </w:t>
      </w:r>
      <w:r w:rsidR="00515A46" w:rsidRPr="00515A46">
        <w:rPr>
          <w:rFonts w:ascii="Century" w:hAnsi="Century"/>
          <w:i/>
          <w:iCs/>
          <w:noProof/>
          <w:sz w:val="28"/>
          <w:szCs w:val="28"/>
        </w:rPr>
        <w:t>Allen</w:t>
      </w:r>
      <w:r w:rsidRPr="00515A46">
        <w:rPr>
          <w:rFonts w:ascii="Century" w:hAnsi="Century"/>
          <w:i/>
          <w:iCs/>
          <w:noProof/>
          <w:sz w:val="28"/>
          <w:szCs w:val="28"/>
        </w:rPr>
        <w:t>,</w:t>
      </w:r>
      <w:r w:rsidRPr="00515A46">
        <w:rPr>
          <w:rFonts w:ascii="Century" w:hAnsi="Century"/>
          <w:iCs/>
          <w:noProof/>
          <w:sz w:val="28"/>
          <w:szCs w:val="28"/>
        </w:rPr>
        <w:br/>
      </w:r>
      <w:r w:rsidR="00515A46" w:rsidRPr="00515A46">
        <w:rPr>
          <w:rFonts w:ascii="Century" w:hAnsi="Century"/>
          <w:noProof/>
          <w:sz w:val="28"/>
          <w:szCs w:val="28"/>
        </w:rPr>
        <w:t>269 N.C. App. 24, 837 S.E.2d 196 (2019)</w:t>
      </w:r>
      <w:r w:rsidRPr="00515A46">
        <w:rPr>
          <w:rFonts w:ascii="Century" w:hAnsi="Century"/>
          <w:noProof/>
          <w:sz w:val="28"/>
          <w:szCs w:val="28"/>
        </w:rPr>
        <w:tab/>
      </w:r>
      <w:hyperlink w:anchor="_BA_Cite_47" w:tooltip="Long: State v. Al-Bayyinah,  356 N.C. 150, 567 S.E.2d 120 (2002)" w:history="1">
        <w:r w:rsidR="00023D5B">
          <w:rPr>
            <w:rFonts w:ascii="Century" w:hAnsi="Century"/>
            <w:noProof/>
            <w:sz w:val="28"/>
            <w:szCs w:val="28"/>
          </w:rPr>
          <w:t>17</w:t>
        </w:r>
      </w:hyperlink>
    </w:p>
    <w:p w14:paraId="28A2FE69" w14:textId="0FAF02FB" w:rsidR="00F4160A" w:rsidRPr="00515A46" w:rsidRDefault="00F4160A" w:rsidP="00F4160A">
      <w:pPr>
        <w:pStyle w:val="BATOAEntry"/>
        <w:tabs>
          <w:tab w:val="clear" w:pos="9360"/>
          <w:tab w:val="right" w:leader="dot" w:pos="8280"/>
        </w:tabs>
        <w:ind w:left="1080" w:right="1080" w:firstLine="0"/>
        <w:rPr>
          <w:rFonts w:ascii="Century" w:hAnsi="Century"/>
          <w:noProof/>
          <w:sz w:val="28"/>
          <w:szCs w:val="28"/>
        </w:rPr>
      </w:pPr>
      <w:r w:rsidRPr="00515A46">
        <w:rPr>
          <w:rFonts w:ascii="Century" w:hAnsi="Century"/>
          <w:i/>
          <w:noProof/>
          <w:sz w:val="28"/>
          <w:szCs w:val="28"/>
        </w:rPr>
        <w:t xml:space="preserve">State v. </w:t>
      </w:r>
      <w:r w:rsidRPr="00515A46">
        <w:rPr>
          <w:rFonts w:ascii="Century" w:hAnsi="Century"/>
          <w:i/>
          <w:iCs/>
          <w:noProof/>
          <w:sz w:val="28"/>
          <w:szCs w:val="28"/>
        </w:rPr>
        <w:t>A</w:t>
      </w:r>
      <w:r>
        <w:rPr>
          <w:rFonts w:ascii="Century" w:hAnsi="Century"/>
          <w:i/>
          <w:iCs/>
          <w:noProof/>
          <w:sz w:val="28"/>
          <w:szCs w:val="28"/>
        </w:rPr>
        <w:t>very</w:t>
      </w:r>
      <w:r w:rsidRPr="00515A46">
        <w:rPr>
          <w:rFonts w:ascii="Century" w:hAnsi="Century"/>
          <w:i/>
          <w:iCs/>
          <w:noProof/>
          <w:sz w:val="28"/>
          <w:szCs w:val="28"/>
        </w:rPr>
        <w:t>,</w:t>
      </w:r>
      <w:r w:rsidRPr="00515A46">
        <w:rPr>
          <w:rFonts w:ascii="Century" w:hAnsi="Century"/>
          <w:iCs/>
          <w:noProof/>
          <w:sz w:val="28"/>
          <w:szCs w:val="28"/>
        </w:rPr>
        <w:br/>
      </w:r>
      <w:r>
        <w:rPr>
          <w:rFonts w:ascii="Century" w:hAnsi="Century"/>
          <w:noProof/>
          <w:sz w:val="28"/>
          <w:szCs w:val="28"/>
        </w:rPr>
        <w:t>315 N.C. 1, 337 S.E.2d 786 (1985)</w:t>
      </w:r>
      <w:r w:rsidRPr="00515A46">
        <w:rPr>
          <w:rFonts w:ascii="Century" w:hAnsi="Century"/>
          <w:noProof/>
          <w:sz w:val="28"/>
          <w:szCs w:val="28"/>
        </w:rPr>
        <w:tab/>
      </w:r>
      <w:hyperlink w:anchor="_BA_Cite_47" w:tooltip="Long: State v. Al-Bayyinah,  356 N.C. 150, 567 S.E.2d 120 (2002)" w:history="1">
        <w:r w:rsidR="00023D5B">
          <w:rPr>
            <w:rFonts w:ascii="Century" w:hAnsi="Century"/>
            <w:noProof/>
            <w:sz w:val="28"/>
            <w:szCs w:val="28"/>
          </w:rPr>
          <w:t>15-16</w:t>
        </w:r>
      </w:hyperlink>
    </w:p>
    <w:p w14:paraId="648E7C2F" w14:textId="73F776FF" w:rsidR="00CA5749" w:rsidRPr="00515A46" w:rsidRDefault="00CA5749" w:rsidP="00CA5749">
      <w:pPr>
        <w:pStyle w:val="BATOAEntry"/>
        <w:tabs>
          <w:tab w:val="clear" w:pos="9360"/>
          <w:tab w:val="right" w:leader="dot" w:pos="8280"/>
        </w:tabs>
        <w:ind w:left="1080" w:right="1080" w:firstLine="0"/>
        <w:rPr>
          <w:rFonts w:ascii="Century" w:hAnsi="Century"/>
          <w:noProof/>
          <w:sz w:val="28"/>
          <w:szCs w:val="28"/>
        </w:rPr>
      </w:pPr>
      <w:r w:rsidRPr="00515A46">
        <w:rPr>
          <w:rFonts w:ascii="Century" w:hAnsi="Century"/>
          <w:i/>
          <w:noProof/>
          <w:sz w:val="28"/>
          <w:szCs w:val="28"/>
        </w:rPr>
        <w:t xml:space="preserve">State v. </w:t>
      </w:r>
      <w:r>
        <w:rPr>
          <w:rFonts w:ascii="Century" w:hAnsi="Century"/>
          <w:i/>
          <w:iCs/>
          <w:noProof/>
          <w:sz w:val="28"/>
          <w:szCs w:val="28"/>
        </w:rPr>
        <w:t>Chukwu</w:t>
      </w:r>
      <w:r w:rsidRPr="00515A46">
        <w:rPr>
          <w:rFonts w:ascii="Century" w:hAnsi="Century"/>
          <w:i/>
          <w:iCs/>
          <w:noProof/>
          <w:sz w:val="28"/>
          <w:szCs w:val="28"/>
        </w:rPr>
        <w:t>,</w:t>
      </w:r>
      <w:r w:rsidRPr="00515A46">
        <w:rPr>
          <w:rFonts w:ascii="Century" w:hAnsi="Century"/>
          <w:iCs/>
          <w:noProof/>
          <w:sz w:val="28"/>
          <w:szCs w:val="28"/>
        </w:rPr>
        <w:br/>
      </w:r>
      <w:r>
        <w:rPr>
          <w:rFonts w:ascii="Century" w:hAnsi="Century"/>
          <w:noProof/>
          <w:sz w:val="28"/>
          <w:szCs w:val="28"/>
        </w:rPr>
        <w:t>230 N.C. App. 553, 749 S.E.2d 910 (2013)</w:t>
      </w:r>
      <w:r w:rsidRPr="00515A46">
        <w:rPr>
          <w:rFonts w:ascii="Century" w:hAnsi="Century"/>
          <w:noProof/>
          <w:sz w:val="28"/>
          <w:szCs w:val="28"/>
        </w:rPr>
        <w:tab/>
      </w:r>
      <w:hyperlink w:anchor="_BA_Cite_47" w:tooltip="Long: State v. Al-Bayyinah,  356 N.C. 150, 567 S.E.2d 120 (2002)" w:history="1">
        <w:r w:rsidR="00A06461">
          <w:rPr>
            <w:rFonts w:ascii="Century" w:hAnsi="Century"/>
            <w:noProof/>
            <w:sz w:val="28"/>
            <w:szCs w:val="28"/>
          </w:rPr>
          <w:t>19</w:t>
        </w:r>
      </w:hyperlink>
    </w:p>
    <w:p w14:paraId="2EB82225" w14:textId="1F77B331" w:rsidR="00A253C1" w:rsidRPr="00824A1F" w:rsidRDefault="00E03B9C">
      <w:pPr>
        <w:pStyle w:val="BATOAEntry"/>
        <w:tabs>
          <w:tab w:val="clear" w:pos="9360"/>
          <w:tab w:val="right" w:leader="dot" w:pos="8280"/>
        </w:tabs>
        <w:ind w:left="1080" w:right="1080" w:firstLine="0"/>
        <w:rPr>
          <w:rFonts w:ascii="Century" w:hAnsi="Century"/>
          <w:noProof/>
          <w:sz w:val="28"/>
          <w:szCs w:val="28"/>
        </w:rPr>
      </w:pPr>
      <w:r w:rsidRPr="00824A1F">
        <w:rPr>
          <w:rFonts w:ascii="Century" w:hAnsi="Century"/>
          <w:i/>
          <w:noProof/>
          <w:sz w:val="28"/>
          <w:szCs w:val="28"/>
        </w:rPr>
        <w:t>State v.</w:t>
      </w:r>
      <w:r w:rsidRPr="00824A1F">
        <w:rPr>
          <w:rFonts w:ascii="Century" w:hAnsi="Century"/>
          <w:noProof/>
          <w:sz w:val="28"/>
          <w:szCs w:val="28"/>
        </w:rPr>
        <w:t xml:space="preserve"> </w:t>
      </w:r>
      <w:r w:rsidR="00C41C9E" w:rsidRPr="00824A1F">
        <w:rPr>
          <w:rFonts w:ascii="Century" w:hAnsi="Century"/>
          <w:i/>
          <w:noProof/>
          <w:sz w:val="28"/>
          <w:szCs w:val="28"/>
        </w:rPr>
        <w:t>Coley</w:t>
      </w:r>
      <w:r w:rsidRPr="00824A1F">
        <w:rPr>
          <w:rFonts w:ascii="Century" w:hAnsi="Century"/>
          <w:noProof/>
          <w:sz w:val="28"/>
          <w:szCs w:val="28"/>
        </w:rPr>
        <w:t>,</w:t>
      </w:r>
      <w:r w:rsidRPr="00824A1F">
        <w:rPr>
          <w:rFonts w:ascii="Century" w:hAnsi="Century"/>
          <w:noProof/>
          <w:sz w:val="28"/>
          <w:szCs w:val="28"/>
        </w:rPr>
        <w:br/>
      </w:r>
      <w:r w:rsidR="00C41C9E" w:rsidRPr="00824A1F">
        <w:rPr>
          <w:rFonts w:ascii="Century" w:hAnsi="Century"/>
          <w:noProof/>
          <w:sz w:val="28"/>
          <w:szCs w:val="28"/>
        </w:rPr>
        <w:t xml:space="preserve">193 N.C. App. </w:t>
      </w:r>
      <w:r w:rsidR="00824A1F" w:rsidRPr="00824A1F">
        <w:rPr>
          <w:rFonts w:ascii="Century" w:hAnsi="Century"/>
          <w:noProof/>
          <w:sz w:val="28"/>
          <w:szCs w:val="28"/>
        </w:rPr>
        <w:t>458, 668 S.E.2d 46 (2008)</w:t>
      </w:r>
      <w:r w:rsidRPr="00824A1F">
        <w:rPr>
          <w:rFonts w:ascii="Century" w:hAnsi="Century"/>
          <w:noProof/>
          <w:sz w:val="28"/>
          <w:szCs w:val="28"/>
        </w:rPr>
        <w:tab/>
      </w:r>
      <w:r w:rsidR="00A06461">
        <w:rPr>
          <w:rFonts w:ascii="Century" w:hAnsi="Century"/>
          <w:sz w:val="28"/>
          <w:szCs w:val="28"/>
        </w:rPr>
        <w:t>10</w:t>
      </w:r>
    </w:p>
    <w:p w14:paraId="2EB82228" w14:textId="18F5D241" w:rsidR="00A253C1" w:rsidRPr="00A06461" w:rsidRDefault="00E03B9C">
      <w:pPr>
        <w:pStyle w:val="BATOAEntry"/>
        <w:tabs>
          <w:tab w:val="clear" w:pos="9360"/>
          <w:tab w:val="right" w:leader="dot" w:pos="8280"/>
        </w:tabs>
        <w:ind w:left="1080" w:right="1080" w:firstLine="0"/>
        <w:rPr>
          <w:rFonts w:ascii="Century" w:hAnsi="Century"/>
          <w:noProof/>
          <w:sz w:val="28"/>
          <w:szCs w:val="28"/>
        </w:rPr>
      </w:pPr>
      <w:r w:rsidRPr="007B4E44">
        <w:rPr>
          <w:rFonts w:ascii="Century" w:hAnsi="Century"/>
          <w:i/>
          <w:noProof/>
          <w:sz w:val="28"/>
          <w:szCs w:val="28"/>
        </w:rPr>
        <w:t xml:space="preserve">State v. </w:t>
      </w:r>
      <w:r w:rsidR="007F08F7" w:rsidRPr="007B4E44">
        <w:rPr>
          <w:rFonts w:ascii="Century" w:hAnsi="Century"/>
          <w:i/>
          <w:noProof/>
          <w:sz w:val="28"/>
          <w:szCs w:val="28"/>
        </w:rPr>
        <w:t>Hennis</w:t>
      </w:r>
      <w:r w:rsidRPr="007B4E44">
        <w:rPr>
          <w:rFonts w:ascii="Century" w:hAnsi="Century"/>
          <w:noProof/>
          <w:sz w:val="28"/>
          <w:szCs w:val="28"/>
        </w:rPr>
        <w:t>,</w:t>
      </w:r>
      <w:r w:rsidRPr="007B4E44">
        <w:rPr>
          <w:rFonts w:ascii="Century" w:hAnsi="Century"/>
          <w:noProof/>
          <w:sz w:val="28"/>
          <w:szCs w:val="28"/>
        </w:rPr>
        <w:br/>
      </w:r>
      <w:r w:rsidR="007F08F7" w:rsidRPr="007B4E44">
        <w:rPr>
          <w:rFonts w:ascii="Century" w:hAnsi="Century"/>
          <w:noProof/>
          <w:sz w:val="28"/>
          <w:szCs w:val="28"/>
        </w:rPr>
        <w:t xml:space="preserve">323 N.C. </w:t>
      </w:r>
      <w:r w:rsidR="007B4E44" w:rsidRPr="007B4E44">
        <w:rPr>
          <w:rFonts w:ascii="Century" w:hAnsi="Century"/>
          <w:noProof/>
          <w:sz w:val="28"/>
          <w:szCs w:val="28"/>
        </w:rPr>
        <w:t>279, 372 S.E.2d 523 (1988)</w:t>
      </w:r>
      <w:r w:rsidRPr="00A06461">
        <w:rPr>
          <w:rFonts w:ascii="Century" w:hAnsi="Century"/>
          <w:noProof/>
          <w:sz w:val="28"/>
          <w:szCs w:val="28"/>
        </w:rPr>
        <w:tab/>
      </w:r>
      <w:hyperlink w:anchor="_BA_Cite_49" w:tooltip="Long: State v. Green,  321 N.C. 594, 365 S.E.2d 587 (1988)" w:history="1">
        <w:r w:rsidR="00A06461" w:rsidRPr="00A06461">
          <w:rPr>
            <w:rFonts w:ascii="Century" w:hAnsi="Century"/>
            <w:noProof/>
            <w:sz w:val="28"/>
            <w:szCs w:val="28"/>
          </w:rPr>
          <w:t>9</w:t>
        </w:r>
      </w:hyperlink>
    </w:p>
    <w:p w14:paraId="2EB82229" w14:textId="2B794A82" w:rsidR="00A253C1" w:rsidRPr="00A06461" w:rsidRDefault="00E03B9C">
      <w:pPr>
        <w:pStyle w:val="BATOAEntry"/>
        <w:tabs>
          <w:tab w:val="clear" w:pos="9360"/>
          <w:tab w:val="right" w:leader="dot" w:pos="8280"/>
        </w:tabs>
        <w:ind w:left="1080" w:right="1080" w:firstLine="0"/>
        <w:rPr>
          <w:rFonts w:ascii="Century" w:hAnsi="Century"/>
          <w:noProof/>
          <w:sz w:val="28"/>
          <w:szCs w:val="28"/>
        </w:rPr>
      </w:pPr>
      <w:r w:rsidRPr="00A06461">
        <w:rPr>
          <w:rFonts w:ascii="Century" w:hAnsi="Century"/>
          <w:i/>
          <w:noProof/>
          <w:sz w:val="28"/>
          <w:szCs w:val="28"/>
        </w:rPr>
        <w:t>State v. H</w:t>
      </w:r>
      <w:r w:rsidR="00391AD3" w:rsidRPr="00A06461">
        <w:rPr>
          <w:rFonts w:ascii="Century" w:hAnsi="Century"/>
          <w:i/>
          <w:noProof/>
          <w:sz w:val="28"/>
          <w:szCs w:val="28"/>
        </w:rPr>
        <w:t>epinstall</w:t>
      </w:r>
      <w:r w:rsidRPr="00A06461">
        <w:rPr>
          <w:rFonts w:ascii="Century" w:hAnsi="Century"/>
          <w:noProof/>
          <w:sz w:val="28"/>
          <w:szCs w:val="28"/>
        </w:rPr>
        <w:t>,</w:t>
      </w:r>
      <w:r w:rsidRPr="00A06461">
        <w:rPr>
          <w:rFonts w:ascii="Century" w:hAnsi="Century"/>
          <w:noProof/>
          <w:sz w:val="28"/>
          <w:szCs w:val="28"/>
        </w:rPr>
        <w:br/>
      </w:r>
      <w:r w:rsidR="003E740E" w:rsidRPr="00A06461">
        <w:rPr>
          <w:rFonts w:ascii="Century" w:hAnsi="Century"/>
          <w:noProof/>
          <w:sz w:val="28"/>
          <w:szCs w:val="28"/>
        </w:rPr>
        <w:t>309 N.C. 231, 306 S.E.2d 109 (1983)</w:t>
      </w:r>
      <w:r w:rsidRPr="00A06461">
        <w:rPr>
          <w:rFonts w:ascii="Century" w:hAnsi="Century"/>
          <w:noProof/>
          <w:sz w:val="28"/>
          <w:szCs w:val="28"/>
        </w:rPr>
        <w:tab/>
      </w:r>
      <w:r w:rsidR="00A06461" w:rsidRPr="00A06461">
        <w:rPr>
          <w:rFonts w:ascii="Century" w:hAnsi="Century"/>
          <w:sz w:val="28"/>
          <w:szCs w:val="28"/>
        </w:rPr>
        <w:t>8, 18</w:t>
      </w:r>
    </w:p>
    <w:p w14:paraId="2EB8222E" w14:textId="7CFC6582" w:rsidR="00A253C1" w:rsidRPr="00A06461" w:rsidRDefault="00E03B9C">
      <w:pPr>
        <w:pStyle w:val="BATOAEntry"/>
        <w:tabs>
          <w:tab w:val="clear" w:pos="9360"/>
          <w:tab w:val="right" w:leader="dot" w:pos="8280"/>
        </w:tabs>
        <w:ind w:left="1080" w:right="1080" w:firstLine="0"/>
        <w:rPr>
          <w:rFonts w:ascii="Century" w:hAnsi="Century"/>
          <w:noProof/>
          <w:sz w:val="28"/>
          <w:szCs w:val="28"/>
        </w:rPr>
      </w:pPr>
      <w:r w:rsidRPr="00A06461">
        <w:rPr>
          <w:rFonts w:ascii="Century" w:hAnsi="Century"/>
          <w:i/>
          <w:noProof/>
          <w:sz w:val="28"/>
          <w:szCs w:val="28"/>
        </w:rPr>
        <w:t>State v. McClain</w:t>
      </w:r>
      <w:r w:rsidRPr="00A06461">
        <w:rPr>
          <w:rFonts w:ascii="Century" w:hAnsi="Century"/>
          <w:noProof/>
          <w:sz w:val="28"/>
          <w:szCs w:val="28"/>
        </w:rPr>
        <w:t>,</w:t>
      </w:r>
      <w:r w:rsidRPr="00A06461">
        <w:rPr>
          <w:rFonts w:ascii="Century" w:hAnsi="Century"/>
          <w:noProof/>
          <w:sz w:val="28"/>
          <w:szCs w:val="28"/>
        </w:rPr>
        <w:br/>
      </w:r>
      <w:r w:rsidR="003E740E" w:rsidRPr="00A06461">
        <w:rPr>
          <w:rFonts w:ascii="Century" w:hAnsi="Century"/>
          <w:noProof/>
          <w:sz w:val="28"/>
          <w:szCs w:val="28"/>
        </w:rPr>
        <w:t>169 N.C. App. 657</w:t>
      </w:r>
      <w:r w:rsidR="007F08F7" w:rsidRPr="00A06461">
        <w:rPr>
          <w:rFonts w:ascii="Century" w:hAnsi="Century"/>
          <w:noProof/>
          <w:sz w:val="28"/>
          <w:szCs w:val="28"/>
        </w:rPr>
        <w:t>, 610 S.E.2d 783 (2005)</w:t>
      </w:r>
      <w:r w:rsidRPr="00A06461">
        <w:rPr>
          <w:rFonts w:ascii="Century" w:hAnsi="Century"/>
          <w:noProof/>
          <w:sz w:val="28"/>
          <w:szCs w:val="28"/>
        </w:rPr>
        <w:tab/>
      </w:r>
      <w:r w:rsidR="00A06461" w:rsidRPr="00A06461">
        <w:rPr>
          <w:rFonts w:ascii="Century" w:hAnsi="Century"/>
          <w:sz w:val="28"/>
          <w:szCs w:val="28"/>
        </w:rPr>
        <w:t>8-9</w:t>
      </w:r>
    </w:p>
    <w:p w14:paraId="2EB8222F" w14:textId="7625F7E5" w:rsidR="00A253C1" w:rsidRPr="00A06461" w:rsidRDefault="00E03B9C">
      <w:pPr>
        <w:pStyle w:val="BATOAEntry"/>
        <w:tabs>
          <w:tab w:val="clear" w:pos="9360"/>
          <w:tab w:val="right" w:leader="dot" w:pos="8280"/>
        </w:tabs>
        <w:ind w:left="1080" w:right="1080" w:firstLine="0"/>
        <w:rPr>
          <w:rFonts w:ascii="Century" w:hAnsi="Century"/>
          <w:noProof/>
          <w:sz w:val="28"/>
          <w:szCs w:val="28"/>
        </w:rPr>
      </w:pPr>
      <w:r w:rsidRPr="00A06461">
        <w:rPr>
          <w:rFonts w:ascii="Century" w:hAnsi="Century"/>
          <w:i/>
          <w:noProof/>
          <w:sz w:val="28"/>
          <w:szCs w:val="28"/>
        </w:rPr>
        <w:t xml:space="preserve">State v. </w:t>
      </w:r>
      <w:r w:rsidR="00BF58BA" w:rsidRPr="00A06461">
        <w:rPr>
          <w:rFonts w:ascii="Century" w:hAnsi="Century"/>
          <w:i/>
          <w:noProof/>
          <w:sz w:val="28"/>
          <w:szCs w:val="28"/>
        </w:rPr>
        <w:t>Pratt</w:t>
      </w:r>
      <w:r w:rsidRPr="00A06461">
        <w:rPr>
          <w:rFonts w:ascii="Century" w:hAnsi="Century"/>
          <w:noProof/>
          <w:sz w:val="28"/>
          <w:szCs w:val="28"/>
        </w:rPr>
        <w:t>,</w:t>
      </w:r>
      <w:r w:rsidRPr="00A06461">
        <w:rPr>
          <w:rFonts w:ascii="Century" w:hAnsi="Century"/>
          <w:noProof/>
          <w:sz w:val="28"/>
          <w:szCs w:val="28"/>
        </w:rPr>
        <w:br/>
      </w:r>
      <w:r w:rsidR="00BF58BA" w:rsidRPr="00A06461">
        <w:rPr>
          <w:rFonts w:ascii="Century" w:hAnsi="Century"/>
          <w:noProof/>
          <w:sz w:val="28"/>
          <w:szCs w:val="28"/>
        </w:rPr>
        <w:t>152 N.C. App. 694, 568 S.E.2d 276 (2002)</w:t>
      </w:r>
      <w:r w:rsidRPr="00A06461">
        <w:rPr>
          <w:rFonts w:ascii="Century" w:hAnsi="Century"/>
          <w:noProof/>
          <w:sz w:val="28"/>
          <w:szCs w:val="28"/>
        </w:rPr>
        <w:tab/>
      </w:r>
      <w:hyperlink w:anchor="_BA_Cite_46" w:tooltip="Long: State v. Moore,  309 N.C. 102, 305 S.E.2d 542 (1983)" w:history="1">
        <w:r w:rsidR="00A06461" w:rsidRPr="00A06461">
          <w:rPr>
            <w:rFonts w:ascii="Century" w:hAnsi="Century"/>
            <w:noProof/>
            <w:sz w:val="28"/>
            <w:szCs w:val="28"/>
          </w:rPr>
          <w:t>19</w:t>
        </w:r>
      </w:hyperlink>
    </w:p>
    <w:p w14:paraId="2EB82231" w14:textId="37003B42" w:rsidR="00A253C1" w:rsidRDefault="00E03B9C">
      <w:pPr>
        <w:pStyle w:val="BATOAEntry"/>
        <w:tabs>
          <w:tab w:val="clear" w:pos="9360"/>
          <w:tab w:val="right" w:leader="dot" w:pos="8280"/>
        </w:tabs>
        <w:ind w:left="1080" w:right="1080" w:firstLine="0"/>
        <w:rPr>
          <w:rFonts w:ascii="Century" w:hAnsi="Century"/>
          <w:noProof/>
          <w:sz w:val="28"/>
          <w:szCs w:val="28"/>
        </w:rPr>
      </w:pPr>
      <w:r w:rsidRPr="002E201A">
        <w:rPr>
          <w:rFonts w:ascii="Century" w:hAnsi="Century"/>
          <w:i/>
          <w:noProof/>
          <w:sz w:val="28"/>
          <w:szCs w:val="28"/>
        </w:rPr>
        <w:t>State v. S</w:t>
      </w:r>
      <w:r w:rsidR="00184BAA" w:rsidRPr="002E201A">
        <w:rPr>
          <w:rFonts w:ascii="Century" w:hAnsi="Century"/>
          <w:i/>
          <w:noProof/>
          <w:sz w:val="28"/>
          <w:szCs w:val="28"/>
        </w:rPr>
        <w:t>hytle</w:t>
      </w:r>
      <w:r w:rsidRPr="002E201A">
        <w:rPr>
          <w:rFonts w:ascii="Century" w:hAnsi="Century"/>
          <w:noProof/>
          <w:sz w:val="28"/>
          <w:szCs w:val="28"/>
        </w:rPr>
        <w:t>,</w:t>
      </w:r>
      <w:r w:rsidRPr="002E201A">
        <w:rPr>
          <w:rFonts w:ascii="Century" w:hAnsi="Century"/>
          <w:noProof/>
          <w:sz w:val="28"/>
          <w:szCs w:val="28"/>
        </w:rPr>
        <w:br/>
      </w:r>
      <w:r w:rsidR="00184BAA" w:rsidRPr="002E201A">
        <w:rPr>
          <w:rFonts w:ascii="Century" w:hAnsi="Century"/>
          <w:noProof/>
          <w:sz w:val="28"/>
          <w:szCs w:val="28"/>
        </w:rPr>
        <w:t xml:space="preserve">323 N.C. </w:t>
      </w:r>
      <w:r w:rsidR="002E201A" w:rsidRPr="002E201A">
        <w:rPr>
          <w:rFonts w:ascii="Century" w:hAnsi="Century"/>
          <w:noProof/>
          <w:sz w:val="28"/>
          <w:szCs w:val="28"/>
        </w:rPr>
        <w:t>684, 374 S.E.2d 573 (1989)</w:t>
      </w:r>
      <w:r w:rsidRPr="002E201A">
        <w:rPr>
          <w:rFonts w:ascii="Century" w:hAnsi="Century"/>
          <w:noProof/>
          <w:sz w:val="28"/>
          <w:szCs w:val="28"/>
        </w:rPr>
        <w:tab/>
      </w:r>
      <w:hyperlink w:anchor="_BA_Cite_54" w:tooltip="Long: State v. Stager,  329 N.C. 278, 406 S.E.2d 876 (1991)" w:history="1">
        <w:r w:rsidR="003954C3">
          <w:rPr>
            <w:rFonts w:ascii="Century" w:hAnsi="Century"/>
            <w:noProof/>
            <w:sz w:val="28"/>
            <w:szCs w:val="28"/>
          </w:rPr>
          <w:t>10,</w:t>
        </w:r>
      </w:hyperlink>
      <w:r w:rsidR="003954C3">
        <w:rPr>
          <w:rFonts w:ascii="Century" w:hAnsi="Century"/>
          <w:noProof/>
          <w:sz w:val="28"/>
          <w:szCs w:val="28"/>
        </w:rPr>
        <w:t xml:space="preserve"> 16-17</w:t>
      </w:r>
    </w:p>
    <w:p w14:paraId="046F2D2E" w14:textId="683EBD24" w:rsidR="00827F84" w:rsidRPr="002E201A" w:rsidRDefault="00827F84" w:rsidP="00827F84">
      <w:pPr>
        <w:pStyle w:val="BATOAEntry"/>
        <w:tabs>
          <w:tab w:val="clear" w:pos="9360"/>
          <w:tab w:val="right" w:leader="dot" w:pos="8280"/>
        </w:tabs>
        <w:ind w:left="1080" w:right="1080" w:firstLine="0"/>
        <w:rPr>
          <w:rFonts w:ascii="Century" w:hAnsi="Century"/>
          <w:noProof/>
          <w:sz w:val="28"/>
          <w:szCs w:val="28"/>
        </w:rPr>
      </w:pPr>
      <w:r w:rsidRPr="00515A46">
        <w:rPr>
          <w:rFonts w:ascii="Century" w:hAnsi="Century"/>
          <w:i/>
          <w:noProof/>
          <w:sz w:val="28"/>
          <w:szCs w:val="28"/>
        </w:rPr>
        <w:lastRenderedPageBreak/>
        <w:t xml:space="preserve">State v. </w:t>
      </w:r>
      <w:r>
        <w:rPr>
          <w:rFonts w:ascii="Century" w:hAnsi="Century"/>
          <w:i/>
          <w:iCs/>
          <w:noProof/>
          <w:sz w:val="28"/>
          <w:szCs w:val="28"/>
        </w:rPr>
        <w:t>Willard</w:t>
      </w:r>
      <w:r w:rsidRPr="00515A46">
        <w:rPr>
          <w:rFonts w:ascii="Century" w:hAnsi="Century"/>
          <w:i/>
          <w:iCs/>
          <w:noProof/>
          <w:sz w:val="28"/>
          <w:szCs w:val="28"/>
        </w:rPr>
        <w:t>,</w:t>
      </w:r>
      <w:r w:rsidRPr="00515A46">
        <w:rPr>
          <w:rFonts w:ascii="Century" w:hAnsi="Century"/>
          <w:iCs/>
          <w:noProof/>
          <w:sz w:val="28"/>
          <w:szCs w:val="28"/>
        </w:rPr>
        <w:br/>
      </w:r>
      <w:r>
        <w:rPr>
          <w:rFonts w:ascii="Century" w:hAnsi="Century"/>
          <w:noProof/>
          <w:sz w:val="28"/>
          <w:szCs w:val="28"/>
        </w:rPr>
        <w:t>292 N.C. 567, 234 S.E.2d 587 (1977)</w:t>
      </w:r>
      <w:r w:rsidRPr="00515A46">
        <w:rPr>
          <w:rFonts w:ascii="Century" w:hAnsi="Century"/>
          <w:noProof/>
          <w:sz w:val="28"/>
          <w:szCs w:val="28"/>
        </w:rPr>
        <w:tab/>
      </w:r>
      <w:hyperlink w:anchor="_BA_Cite_47" w:tooltip="Long: State v. Al-Bayyinah,  356 N.C. 150, 567 S.E.2d 120 (2002)" w:history="1">
        <w:r w:rsidR="003954C3">
          <w:rPr>
            <w:rFonts w:ascii="Century" w:hAnsi="Century"/>
            <w:noProof/>
            <w:sz w:val="28"/>
            <w:szCs w:val="28"/>
          </w:rPr>
          <w:t>13-16</w:t>
        </w:r>
      </w:hyperlink>
    </w:p>
    <w:p w14:paraId="2EB82232" w14:textId="4F654D83" w:rsidR="00A253C1" w:rsidRPr="002E201A" w:rsidRDefault="00E03B9C">
      <w:pPr>
        <w:pStyle w:val="BATOAHeading"/>
        <w:tabs>
          <w:tab w:val="right" w:leader="dot" w:pos="8280"/>
        </w:tabs>
        <w:ind w:left="1080" w:right="1080"/>
        <w:rPr>
          <w:rFonts w:ascii="Century" w:hAnsi="Century"/>
          <w:noProof/>
          <w:sz w:val="28"/>
          <w:szCs w:val="28"/>
        </w:rPr>
      </w:pPr>
      <w:bookmarkStart w:id="3" w:name="_BA95XTOA95Statutes"/>
      <w:bookmarkEnd w:id="2"/>
      <w:r w:rsidRPr="002E201A">
        <w:rPr>
          <w:rFonts w:ascii="Century" w:hAnsi="Century"/>
          <w:noProof/>
          <w:sz w:val="28"/>
          <w:szCs w:val="28"/>
        </w:rPr>
        <w:t>Statute</w:t>
      </w:r>
    </w:p>
    <w:p w14:paraId="4B108B8A" w14:textId="2B238052" w:rsidR="00A253C1" w:rsidRDefault="00E03B9C" w:rsidP="00C7182F">
      <w:pPr>
        <w:pStyle w:val="BATOAEntry"/>
        <w:tabs>
          <w:tab w:val="clear" w:pos="9360"/>
          <w:tab w:val="right" w:leader="dot" w:pos="8280"/>
        </w:tabs>
        <w:ind w:left="1080" w:right="1080" w:firstLine="0"/>
        <w:rPr>
          <w:rFonts w:ascii="Century" w:hAnsi="Century"/>
          <w:noProof/>
          <w:sz w:val="28"/>
          <w:szCs w:val="28"/>
        </w:rPr>
      </w:pPr>
      <w:r w:rsidRPr="007B4E44">
        <w:rPr>
          <w:rFonts w:ascii="Century" w:hAnsi="Century"/>
          <w:noProof/>
          <w:sz w:val="28"/>
          <w:szCs w:val="28"/>
        </w:rPr>
        <w:t xml:space="preserve">N.C. Gen. Stat. § </w:t>
      </w:r>
      <w:r w:rsidR="007B4E44" w:rsidRPr="007B4E44">
        <w:rPr>
          <w:rFonts w:ascii="Century" w:hAnsi="Century"/>
          <w:noProof/>
          <w:sz w:val="28"/>
          <w:szCs w:val="28"/>
        </w:rPr>
        <w:t>15A-1001(a)</w:t>
      </w:r>
      <w:r w:rsidRPr="007B4E44">
        <w:rPr>
          <w:rFonts w:ascii="Century" w:hAnsi="Century"/>
          <w:noProof/>
          <w:sz w:val="28"/>
          <w:szCs w:val="28"/>
        </w:rPr>
        <w:tab/>
      </w:r>
      <w:bookmarkEnd w:id="0"/>
      <w:bookmarkEnd w:id="1"/>
      <w:bookmarkEnd w:id="3"/>
      <w:r w:rsidR="003954C3">
        <w:rPr>
          <w:rFonts w:ascii="Century" w:hAnsi="Century"/>
          <w:noProof/>
          <w:sz w:val="28"/>
          <w:szCs w:val="28"/>
        </w:rPr>
        <w:t>9-10</w:t>
      </w:r>
    </w:p>
    <w:p w14:paraId="4EFD2DFC" w14:textId="0D63A489" w:rsidR="00C7182F" w:rsidRPr="002E201A" w:rsidRDefault="00C7182F" w:rsidP="00C7182F">
      <w:pPr>
        <w:pStyle w:val="BATOAHeading"/>
        <w:tabs>
          <w:tab w:val="right" w:leader="dot" w:pos="8280"/>
        </w:tabs>
        <w:ind w:left="1080" w:right="1080"/>
        <w:rPr>
          <w:rFonts w:ascii="Century" w:hAnsi="Century"/>
          <w:noProof/>
          <w:sz w:val="28"/>
          <w:szCs w:val="28"/>
        </w:rPr>
      </w:pPr>
      <w:r>
        <w:rPr>
          <w:rFonts w:ascii="Century" w:hAnsi="Century"/>
          <w:noProof/>
          <w:sz w:val="28"/>
          <w:szCs w:val="28"/>
        </w:rPr>
        <w:t>Other Authorities</w:t>
      </w:r>
    </w:p>
    <w:p w14:paraId="61DA0E83" w14:textId="41E0F448" w:rsidR="00C7182F" w:rsidRPr="007B4E44" w:rsidRDefault="00C7182F" w:rsidP="00C7182F">
      <w:pPr>
        <w:pStyle w:val="BATOAEntry"/>
        <w:tabs>
          <w:tab w:val="clear" w:pos="9360"/>
          <w:tab w:val="right" w:leader="dot" w:pos="8280"/>
        </w:tabs>
        <w:ind w:left="1080" w:right="1080" w:firstLine="0"/>
        <w:rPr>
          <w:rFonts w:ascii="Century" w:hAnsi="Century"/>
          <w:noProof/>
          <w:sz w:val="28"/>
          <w:szCs w:val="28"/>
        </w:rPr>
      </w:pPr>
      <w:r>
        <w:rPr>
          <w:rFonts w:ascii="Century" w:hAnsi="Century"/>
          <w:noProof/>
          <w:sz w:val="28"/>
          <w:szCs w:val="28"/>
        </w:rPr>
        <w:t>W. Blackstone, Commentaries</w:t>
      </w:r>
      <w:r w:rsidR="00AC1AE3">
        <w:rPr>
          <w:rFonts w:ascii="Century" w:hAnsi="Century"/>
          <w:noProof/>
          <w:sz w:val="28"/>
          <w:szCs w:val="28"/>
        </w:rPr>
        <w:t xml:space="preserve"> (1769)</w:t>
      </w:r>
      <w:r w:rsidRPr="007B4E44">
        <w:rPr>
          <w:rFonts w:ascii="Century" w:hAnsi="Century"/>
          <w:noProof/>
          <w:sz w:val="28"/>
          <w:szCs w:val="28"/>
        </w:rPr>
        <w:tab/>
      </w:r>
      <w:r w:rsidR="003954C3">
        <w:rPr>
          <w:rFonts w:ascii="Century" w:hAnsi="Century"/>
          <w:noProof/>
          <w:sz w:val="28"/>
          <w:szCs w:val="28"/>
        </w:rPr>
        <w:t>9</w:t>
      </w:r>
    </w:p>
    <w:p w14:paraId="2EB8223B" w14:textId="77777777" w:rsidR="00C7182F" w:rsidRPr="00ED2212" w:rsidRDefault="00C7182F">
      <w:pPr>
        <w:spacing w:line="480" w:lineRule="auto"/>
        <w:rPr>
          <w:rFonts w:ascii="Century" w:hAnsi="Century"/>
          <w:sz w:val="28"/>
          <w:szCs w:val="28"/>
        </w:rPr>
        <w:sectPr w:rsidR="00C7182F" w:rsidRPr="00ED2212">
          <w:headerReference w:type="default" r:id="rId10"/>
          <w:pgSz w:w="12240" w:h="15840"/>
          <w:pgMar w:top="1440" w:right="1440" w:bottom="1440" w:left="1440" w:header="720" w:footer="720" w:gutter="0"/>
          <w:pgNumType w:fmt="lowerRoman" w:start="1"/>
          <w:cols w:space="720"/>
          <w:titlePg/>
          <w:docGrid w:linePitch="360"/>
        </w:sectPr>
      </w:pPr>
    </w:p>
    <w:p w14:paraId="2CF53631" w14:textId="77777777" w:rsidR="00900B89" w:rsidRPr="00634FD4" w:rsidRDefault="00900B89" w:rsidP="00900B89">
      <w:pPr>
        <w:rPr>
          <w:rFonts w:ascii="Century" w:hAnsi="Century"/>
          <w:sz w:val="28"/>
          <w:szCs w:val="28"/>
        </w:rPr>
      </w:pPr>
      <w:r w:rsidRPr="00634FD4">
        <w:rPr>
          <w:rFonts w:ascii="Century" w:hAnsi="Century"/>
          <w:sz w:val="28"/>
          <w:szCs w:val="28"/>
        </w:rPr>
        <w:lastRenderedPageBreak/>
        <w:t xml:space="preserve">No. </w:t>
      </w:r>
      <w:proofErr w:type="spellStart"/>
      <w:r w:rsidRPr="00634FD4">
        <w:rPr>
          <w:rFonts w:ascii="Century" w:hAnsi="Century"/>
          <w:sz w:val="28"/>
          <w:szCs w:val="28"/>
        </w:rPr>
        <w:t>COA22</w:t>
      </w:r>
      <w:proofErr w:type="spellEnd"/>
      <w:r w:rsidRPr="00634FD4">
        <w:rPr>
          <w:rFonts w:ascii="Century" w:hAnsi="Century"/>
          <w:sz w:val="28"/>
          <w:szCs w:val="28"/>
        </w:rPr>
        <w:t>-932</w:t>
      </w:r>
      <w:r w:rsidRPr="00634FD4">
        <w:rPr>
          <w:rFonts w:ascii="Century" w:hAnsi="Century"/>
          <w:sz w:val="28"/>
          <w:szCs w:val="28"/>
        </w:rPr>
        <w:tab/>
      </w:r>
      <w:r w:rsidRPr="00634FD4">
        <w:rPr>
          <w:rFonts w:ascii="Century" w:hAnsi="Century"/>
          <w:sz w:val="28"/>
          <w:szCs w:val="28"/>
        </w:rPr>
        <w:tab/>
      </w:r>
      <w:r w:rsidRPr="00634FD4">
        <w:rPr>
          <w:rFonts w:ascii="Century" w:hAnsi="Century"/>
          <w:sz w:val="28"/>
          <w:szCs w:val="28"/>
        </w:rPr>
        <w:tab/>
      </w:r>
      <w:r w:rsidRPr="00634FD4">
        <w:rPr>
          <w:rFonts w:ascii="Century" w:hAnsi="Century"/>
          <w:sz w:val="28"/>
          <w:szCs w:val="28"/>
        </w:rPr>
        <w:tab/>
      </w:r>
      <w:r w:rsidRPr="00634FD4">
        <w:rPr>
          <w:rFonts w:ascii="Century" w:hAnsi="Century"/>
          <w:sz w:val="28"/>
          <w:szCs w:val="28"/>
        </w:rPr>
        <w:tab/>
        <w:t xml:space="preserve"> </w:t>
      </w:r>
      <w:r w:rsidRPr="00634FD4">
        <w:rPr>
          <w:rFonts w:ascii="Century" w:hAnsi="Century"/>
          <w:sz w:val="28"/>
          <w:szCs w:val="28"/>
        </w:rPr>
        <w:tab/>
        <w:t xml:space="preserve">      DISTRICT SIXTEEN-A</w:t>
      </w:r>
    </w:p>
    <w:p w14:paraId="562CBC4F" w14:textId="77777777" w:rsidR="00900B89" w:rsidRPr="00634FD4" w:rsidRDefault="00900B89" w:rsidP="00900B89">
      <w:pPr>
        <w:rPr>
          <w:rFonts w:ascii="Century" w:hAnsi="Century"/>
          <w:sz w:val="28"/>
          <w:szCs w:val="28"/>
        </w:rPr>
      </w:pPr>
    </w:p>
    <w:p w14:paraId="0D40F99F" w14:textId="77777777" w:rsidR="00900B89" w:rsidRPr="00634FD4" w:rsidRDefault="00900B89" w:rsidP="00900B89">
      <w:pPr>
        <w:rPr>
          <w:rFonts w:ascii="Century" w:hAnsi="Century"/>
          <w:sz w:val="28"/>
          <w:szCs w:val="28"/>
        </w:rPr>
      </w:pPr>
    </w:p>
    <w:p w14:paraId="10B4F0DA" w14:textId="77777777" w:rsidR="00900B89" w:rsidRPr="00634FD4" w:rsidRDefault="00900B89" w:rsidP="00900B89">
      <w:pPr>
        <w:jc w:val="center"/>
        <w:rPr>
          <w:rFonts w:ascii="Century" w:hAnsi="Century"/>
          <w:sz w:val="28"/>
          <w:szCs w:val="28"/>
        </w:rPr>
      </w:pPr>
      <w:r w:rsidRPr="00634FD4">
        <w:rPr>
          <w:rFonts w:ascii="Century" w:hAnsi="Century"/>
          <w:sz w:val="28"/>
          <w:szCs w:val="28"/>
        </w:rPr>
        <w:t>NORTH CAROLINA COURT OF APPEALS</w:t>
      </w:r>
    </w:p>
    <w:p w14:paraId="0888957E" w14:textId="77777777" w:rsidR="00900B89" w:rsidRPr="00634FD4" w:rsidRDefault="00900B89" w:rsidP="00900B89">
      <w:pPr>
        <w:jc w:val="center"/>
        <w:rPr>
          <w:rFonts w:ascii="Century" w:hAnsi="Century"/>
          <w:sz w:val="28"/>
          <w:szCs w:val="28"/>
        </w:rPr>
      </w:pPr>
    </w:p>
    <w:p w14:paraId="7ADBC262" w14:textId="77777777" w:rsidR="00900B89" w:rsidRPr="00387296" w:rsidRDefault="00900B89" w:rsidP="00900B89">
      <w:pPr>
        <w:tabs>
          <w:tab w:val="left" w:pos="1260"/>
          <w:tab w:val="left" w:pos="9180"/>
        </w:tabs>
        <w:jc w:val="center"/>
        <w:rPr>
          <w:rFonts w:ascii="Century" w:hAnsi="Century"/>
          <w:sz w:val="28"/>
          <w:szCs w:val="28"/>
        </w:rPr>
      </w:pPr>
      <w:r w:rsidRPr="00634FD4">
        <w:rPr>
          <w:rFonts w:ascii="Century" w:hAnsi="Century"/>
          <w:sz w:val="28"/>
          <w:szCs w:val="28"/>
        </w:rPr>
        <w:t>****************************************************</w:t>
      </w:r>
    </w:p>
    <w:p w14:paraId="5BBD31F8" w14:textId="77777777" w:rsidR="00900B89" w:rsidRPr="00387296" w:rsidRDefault="00900B89" w:rsidP="00900B89">
      <w:pPr>
        <w:tabs>
          <w:tab w:val="left" w:pos="1260"/>
          <w:tab w:val="left" w:pos="9180"/>
        </w:tabs>
        <w:rPr>
          <w:rFonts w:ascii="Century" w:hAnsi="Century"/>
          <w:sz w:val="28"/>
          <w:szCs w:val="28"/>
        </w:rPr>
      </w:pPr>
    </w:p>
    <w:p w14:paraId="0432E76A" w14:textId="77777777" w:rsidR="00900B89" w:rsidRPr="00387296" w:rsidRDefault="00900B89" w:rsidP="00900B89">
      <w:pPr>
        <w:tabs>
          <w:tab w:val="left" w:pos="4590"/>
        </w:tabs>
        <w:rPr>
          <w:rFonts w:ascii="Century" w:hAnsi="Century"/>
          <w:sz w:val="28"/>
          <w:szCs w:val="28"/>
        </w:rPr>
      </w:pPr>
      <w:r w:rsidRPr="00387296">
        <w:rPr>
          <w:rFonts w:ascii="Century" w:hAnsi="Century"/>
          <w:sz w:val="28"/>
          <w:szCs w:val="28"/>
        </w:rPr>
        <w:t>STATE OF NORTH CAROLINA</w:t>
      </w:r>
      <w:r w:rsidRPr="00387296">
        <w:rPr>
          <w:rFonts w:ascii="Century" w:hAnsi="Century"/>
          <w:sz w:val="28"/>
          <w:szCs w:val="28"/>
        </w:rPr>
        <w:tab/>
        <w:t>)</w:t>
      </w:r>
      <w:r w:rsidRPr="00387296">
        <w:rPr>
          <w:rFonts w:ascii="Century" w:hAnsi="Century"/>
          <w:sz w:val="28"/>
          <w:szCs w:val="28"/>
        </w:rPr>
        <w:tab/>
      </w:r>
      <w:r w:rsidRPr="00387296">
        <w:rPr>
          <w:rFonts w:ascii="Century" w:hAnsi="Century"/>
          <w:sz w:val="28"/>
          <w:szCs w:val="28"/>
        </w:rPr>
        <w:tab/>
      </w:r>
      <w:r w:rsidRPr="00387296">
        <w:rPr>
          <w:rFonts w:ascii="Century" w:hAnsi="Century"/>
          <w:sz w:val="28"/>
          <w:szCs w:val="28"/>
        </w:rPr>
        <w:tab/>
        <w:t xml:space="preserve">   </w:t>
      </w:r>
      <w:r w:rsidRPr="00387296">
        <w:rPr>
          <w:rFonts w:ascii="Century" w:hAnsi="Century"/>
          <w:sz w:val="28"/>
          <w:szCs w:val="28"/>
        </w:rPr>
        <w:tab/>
        <w:t xml:space="preserve">              </w:t>
      </w:r>
    </w:p>
    <w:p w14:paraId="2FE48BB3" w14:textId="77777777" w:rsidR="00900B89" w:rsidRPr="00387296" w:rsidRDefault="00900B89" w:rsidP="00900B89">
      <w:pPr>
        <w:tabs>
          <w:tab w:val="left" w:pos="4590"/>
          <w:tab w:val="left" w:pos="5400"/>
        </w:tabs>
        <w:rPr>
          <w:rFonts w:ascii="Century" w:hAnsi="Century"/>
          <w:sz w:val="28"/>
          <w:szCs w:val="28"/>
        </w:rPr>
      </w:pPr>
      <w:r w:rsidRPr="00387296">
        <w:rPr>
          <w:rFonts w:ascii="Century" w:hAnsi="Century"/>
          <w:sz w:val="28"/>
          <w:szCs w:val="28"/>
        </w:rPr>
        <w:tab/>
        <w:t xml:space="preserve">)            </w:t>
      </w:r>
    </w:p>
    <w:p w14:paraId="6DD022B9" w14:textId="77777777" w:rsidR="00900B89" w:rsidRPr="00387296" w:rsidRDefault="00900B89" w:rsidP="00900B89">
      <w:pPr>
        <w:tabs>
          <w:tab w:val="left" w:pos="4590"/>
          <w:tab w:val="left" w:pos="5400"/>
        </w:tabs>
        <w:ind w:firstLine="1620"/>
        <w:rPr>
          <w:rFonts w:ascii="Century" w:hAnsi="Century"/>
          <w:sz w:val="28"/>
          <w:szCs w:val="28"/>
        </w:rPr>
      </w:pPr>
      <w:r w:rsidRPr="00387296">
        <w:rPr>
          <w:rFonts w:ascii="Century" w:hAnsi="Century"/>
          <w:sz w:val="28"/>
          <w:szCs w:val="28"/>
        </w:rPr>
        <w:t>v.</w:t>
      </w:r>
      <w:proofErr w:type="gramStart"/>
      <w:r w:rsidRPr="00387296">
        <w:rPr>
          <w:rFonts w:ascii="Century" w:hAnsi="Century"/>
          <w:sz w:val="28"/>
          <w:szCs w:val="28"/>
        </w:rPr>
        <w:tab/>
        <w:t xml:space="preserve">)   </w:t>
      </w:r>
      <w:proofErr w:type="gramEnd"/>
      <w:r w:rsidRPr="00387296">
        <w:rPr>
          <w:rFonts w:ascii="Century" w:hAnsi="Century"/>
          <w:sz w:val="28"/>
          <w:szCs w:val="28"/>
        </w:rPr>
        <w:t xml:space="preserve">     </w:t>
      </w:r>
      <w:r w:rsidRPr="00387296">
        <w:rPr>
          <w:rFonts w:ascii="Century" w:hAnsi="Century"/>
          <w:sz w:val="28"/>
          <w:szCs w:val="28"/>
          <w:u w:val="single"/>
        </w:rPr>
        <w:t xml:space="preserve">From </w:t>
      </w:r>
      <w:r>
        <w:rPr>
          <w:rFonts w:ascii="Century" w:hAnsi="Century"/>
          <w:sz w:val="28"/>
          <w:szCs w:val="28"/>
          <w:u w:val="single"/>
        </w:rPr>
        <w:t xml:space="preserve">Scotland </w:t>
      </w:r>
      <w:r w:rsidRPr="00387296">
        <w:rPr>
          <w:rFonts w:ascii="Century" w:hAnsi="Century"/>
          <w:sz w:val="28"/>
          <w:szCs w:val="28"/>
          <w:u w:val="single"/>
        </w:rPr>
        <w:t>County</w:t>
      </w:r>
    </w:p>
    <w:p w14:paraId="64D10519" w14:textId="77777777" w:rsidR="00900B89" w:rsidRPr="00387296" w:rsidRDefault="00900B89" w:rsidP="00900B89">
      <w:pPr>
        <w:tabs>
          <w:tab w:val="left" w:pos="4590"/>
          <w:tab w:val="left" w:pos="5400"/>
        </w:tabs>
        <w:rPr>
          <w:rFonts w:ascii="Century" w:hAnsi="Century"/>
          <w:sz w:val="28"/>
          <w:szCs w:val="28"/>
        </w:rPr>
      </w:pPr>
      <w:r w:rsidRPr="00387296">
        <w:rPr>
          <w:rFonts w:ascii="Century" w:hAnsi="Century"/>
          <w:sz w:val="28"/>
          <w:szCs w:val="28"/>
        </w:rPr>
        <w:tab/>
        <w:t xml:space="preserve">)        </w:t>
      </w:r>
    </w:p>
    <w:p w14:paraId="41BD6D85" w14:textId="77777777" w:rsidR="00900B89" w:rsidRPr="00ED2212" w:rsidRDefault="00900B89" w:rsidP="00900B89">
      <w:pPr>
        <w:tabs>
          <w:tab w:val="left" w:pos="4590"/>
          <w:tab w:val="left" w:pos="5400"/>
        </w:tabs>
        <w:rPr>
          <w:rFonts w:ascii="Century" w:hAnsi="Century"/>
          <w:sz w:val="28"/>
          <w:szCs w:val="28"/>
        </w:rPr>
      </w:pPr>
      <w:r>
        <w:rPr>
          <w:rFonts w:ascii="Century" w:hAnsi="Century"/>
          <w:sz w:val="28"/>
          <w:szCs w:val="28"/>
        </w:rPr>
        <w:t xml:space="preserve">DESMOND </w:t>
      </w:r>
      <w:proofErr w:type="spellStart"/>
      <w:r>
        <w:rPr>
          <w:rFonts w:ascii="Century" w:hAnsi="Century"/>
          <w:sz w:val="28"/>
          <w:szCs w:val="28"/>
        </w:rPr>
        <w:t>JAKEEM</w:t>
      </w:r>
      <w:proofErr w:type="spellEnd"/>
      <w:r>
        <w:rPr>
          <w:rFonts w:ascii="Century" w:hAnsi="Century"/>
          <w:sz w:val="28"/>
          <w:szCs w:val="28"/>
        </w:rPr>
        <w:t xml:space="preserve"> BETHEA</w:t>
      </w:r>
      <w:r w:rsidRPr="00387296">
        <w:rPr>
          <w:rFonts w:ascii="Century" w:hAnsi="Century"/>
          <w:sz w:val="28"/>
          <w:szCs w:val="28"/>
        </w:rPr>
        <w:tab/>
        <w:t xml:space="preserve">)         </w:t>
      </w:r>
    </w:p>
    <w:p w14:paraId="2EB82248" w14:textId="77777777" w:rsidR="00A148A1" w:rsidRPr="00ED2212" w:rsidRDefault="00A148A1" w:rsidP="00A148A1">
      <w:pPr>
        <w:tabs>
          <w:tab w:val="left" w:pos="4590"/>
          <w:tab w:val="left" w:pos="5400"/>
        </w:tabs>
        <w:rPr>
          <w:rFonts w:ascii="Century" w:hAnsi="Century"/>
          <w:sz w:val="28"/>
          <w:szCs w:val="28"/>
        </w:rPr>
      </w:pPr>
    </w:p>
    <w:p w14:paraId="2EB82249" w14:textId="77777777" w:rsidR="00A148A1" w:rsidRPr="00ED2212" w:rsidRDefault="00A148A1" w:rsidP="00A148A1">
      <w:pPr>
        <w:jc w:val="center"/>
        <w:rPr>
          <w:rFonts w:ascii="Century" w:hAnsi="Century"/>
          <w:sz w:val="28"/>
          <w:szCs w:val="28"/>
        </w:rPr>
      </w:pPr>
      <w:r w:rsidRPr="00ED2212">
        <w:rPr>
          <w:rFonts w:ascii="Century" w:hAnsi="Century"/>
          <w:sz w:val="28"/>
          <w:szCs w:val="28"/>
        </w:rPr>
        <w:t>****************************************************</w:t>
      </w:r>
    </w:p>
    <w:p w14:paraId="2EB8224A" w14:textId="77777777" w:rsidR="00A253C1" w:rsidRPr="00ED2212" w:rsidRDefault="00A253C1">
      <w:pPr>
        <w:jc w:val="center"/>
        <w:rPr>
          <w:rFonts w:ascii="Century" w:hAnsi="Century"/>
          <w:sz w:val="28"/>
          <w:szCs w:val="28"/>
        </w:rPr>
      </w:pPr>
    </w:p>
    <w:p w14:paraId="2EB8224B" w14:textId="77777777" w:rsidR="00A253C1" w:rsidRPr="00ED2212" w:rsidRDefault="00E03B9C">
      <w:pPr>
        <w:pStyle w:val="Heading1"/>
        <w:rPr>
          <w:rFonts w:ascii="Century" w:hAnsi="Century"/>
          <w:sz w:val="28"/>
          <w:szCs w:val="28"/>
        </w:rPr>
      </w:pPr>
      <w:r w:rsidRPr="00ED2212">
        <w:rPr>
          <w:rFonts w:ascii="Century" w:hAnsi="Century"/>
          <w:sz w:val="28"/>
          <w:szCs w:val="28"/>
        </w:rPr>
        <w:t>DEFENDANT-APPELLANT’S BRIEF</w:t>
      </w:r>
    </w:p>
    <w:p w14:paraId="2EB8224C" w14:textId="77777777" w:rsidR="00A253C1" w:rsidRPr="00ED2212" w:rsidRDefault="00A253C1">
      <w:pPr>
        <w:rPr>
          <w:rFonts w:ascii="Century" w:hAnsi="Century"/>
          <w:sz w:val="28"/>
          <w:szCs w:val="28"/>
        </w:rPr>
      </w:pPr>
    </w:p>
    <w:p w14:paraId="2EB8224D" w14:textId="77777777" w:rsidR="00A253C1" w:rsidRPr="00ED2212" w:rsidRDefault="00E03B9C">
      <w:pPr>
        <w:jc w:val="center"/>
        <w:rPr>
          <w:rFonts w:ascii="Century" w:hAnsi="Century"/>
          <w:sz w:val="28"/>
          <w:szCs w:val="28"/>
        </w:rPr>
      </w:pPr>
      <w:r w:rsidRPr="00ED2212">
        <w:rPr>
          <w:rFonts w:ascii="Century" w:hAnsi="Century"/>
          <w:sz w:val="28"/>
          <w:szCs w:val="28"/>
        </w:rPr>
        <w:t>****************************************************</w:t>
      </w:r>
    </w:p>
    <w:p w14:paraId="2EB8224E" w14:textId="1D71B453" w:rsidR="00A253C1" w:rsidRPr="00ED2212" w:rsidRDefault="00E03B9C">
      <w:pPr>
        <w:pStyle w:val="Heading2"/>
        <w:rPr>
          <w:rFonts w:ascii="Century" w:hAnsi="Century"/>
          <w:sz w:val="28"/>
          <w:szCs w:val="28"/>
        </w:rPr>
      </w:pPr>
      <w:r w:rsidRPr="00ED2212">
        <w:rPr>
          <w:rFonts w:ascii="Century" w:hAnsi="Century"/>
          <w:sz w:val="28"/>
          <w:szCs w:val="28"/>
        </w:rPr>
        <w:t>ISSUE PRESENTED</w:t>
      </w:r>
    </w:p>
    <w:p w14:paraId="2EB8224F" w14:textId="77777777" w:rsidR="00A253C1" w:rsidRPr="00ED2212" w:rsidRDefault="00A253C1">
      <w:pPr>
        <w:pStyle w:val="BodyTextIndent"/>
        <w:spacing w:line="240" w:lineRule="auto"/>
        <w:ind w:firstLine="0"/>
        <w:jc w:val="both"/>
        <w:rPr>
          <w:rFonts w:ascii="Century" w:hAnsi="Century"/>
          <w:sz w:val="28"/>
          <w:szCs w:val="28"/>
        </w:rPr>
      </w:pPr>
    </w:p>
    <w:p w14:paraId="4690FCA1" w14:textId="4ED77335" w:rsidR="00265BFF" w:rsidRDefault="00265BFF" w:rsidP="00265BFF">
      <w:pPr>
        <w:pStyle w:val="BodyTextIndent"/>
        <w:numPr>
          <w:ilvl w:val="0"/>
          <w:numId w:val="6"/>
        </w:numPr>
        <w:spacing w:line="240" w:lineRule="auto"/>
        <w:jc w:val="both"/>
        <w:rPr>
          <w:rFonts w:ascii="Century" w:hAnsi="Century"/>
          <w:sz w:val="28"/>
          <w:szCs w:val="28"/>
        </w:rPr>
      </w:pPr>
      <w:r w:rsidRPr="000E5C9B">
        <w:rPr>
          <w:rFonts w:ascii="Century" w:hAnsi="Century"/>
          <w:sz w:val="28"/>
          <w:szCs w:val="28"/>
        </w:rPr>
        <w:t xml:space="preserve">DID THE TRIAL COURT ABUSE ITS DISCRETION IN FINDING MR. BETHEA COMPETENT TO STAND TRIAL WHERE THE </w:t>
      </w:r>
      <w:r w:rsidR="006B7047">
        <w:rPr>
          <w:rFonts w:ascii="Century" w:hAnsi="Century"/>
          <w:sz w:val="28"/>
          <w:szCs w:val="28"/>
        </w:rPr>
        <w:t xml:space="preserve">UNDISPUTED </w:t>
      </w:r>
      <w:r w:rsidRPr="000E5C9B">
        <w:rPr>
          <w:rFonts w:ascii="Century" w:hAnsi="Century"/>
          <w:sz w:val="28"/>
          <w:szCs w:val="28"/>
        </w:rPr>
        <w:t xml:space="preserve">EVIDENCE </w:t>
      </w:r>
      <w:r w:rsidR="006B7047">
        <w:rPr>
          <w:rFonts w:ascii="Century" w:hAnsi="Century"/>
          <w:sz w:val="28"/>
          <w:szCs w:val="28"/>
        </w:rPr>
        <w:t>SHOWED</w:t>
      </w:r>
      <w:r w:rsidRPr="000E5C9B">
        <w:rPr>
          <w:rFonts w:ascii="Century" w:hAnsi="Century"/>
          <w:sz w:val="28"/>
          <w:szCs w:val="28"/>
        </w:rPr>
        <w:t xml:space="preserve"> HE WAS </w:t>
      </w:r>
      <w:r w:rsidR="007D37E3">
        <w:rPr>
          <w:rFonts w:ascii="Century" w:hAnsi="Century"/>
          <w:sz w:val="28"/>
          <w:szCs w:val="28"/>
        </w:rPr>
        <w:t>UNABLE TO ASSIST IN HIS DEFENSE</w:t>
      </w:r>
      <w:r w:rsidRPr="000E5C9B">
        <w:rPr>
          <w:rFonts w:ascii="Century" w:hAnsi="Century"/>
          <w:sz w:val="28"/>
          <w:szCs w:val="28"/>
        </w:rPr>
        <w:t xml:space="preserve"> DUE TO A TOTAL LACK OF MEMORY ABOUT THE DAYS SURROUNDING THE INCIDENT?</w:t>
      </w:r>
    </w:p>
    <w:p w14:paraId="6087E318" w14:textId="77777777" w:rsidR="00ED6A39" w:rsidRDefault="00ED6A39">
      <w:pPr>
        <w:spacing w:line="240" w:lineRule="auto"/>
        <w:rPr>
          <w:rFonts w:ascii="Century" w:eastAsia="Times New Roman" w:hAnsi="Century"/>
          <w:sz w:val="28"/>
          <w:szCs w:val="28"/>
        </w:rPr>
      </w:pPr>
      <w:r>
        <w:rPr>
          <w:rFonts w:ascii="Century" w:eastAsia="Times New Roman" w:hAnsi="Century"/>
          <w:sz w:val="28"/>
          <w:szCs w:val="28"/>
        </w:rPr>
        <w:br w:type="page"/>
      </w:r>
    </w:p>
    <w:p w14:paraId="2EB8225A" w14:textId="1CF0E4D8" w:rsidR="00A253C1" w:rsidRPr="00653823" w:rsidRDefault="00E03B9C">
      <w:pPr>
        <w:spacing w:line="480" w:lineRule="auto"/>
        <w:jc w:val="center"/>
        <w:rPr>
          <w:rFonts w:ascii="Century" w:hAnsi="Century"/>
          <w:b/>
          <w:sz w:val="28"/>
          <w:szCs w:val="28"/>
          <w:u w:val="single"/>
        </w:rPr>
      </w:pPr>
      <w:r w:rsidRPr="00653823">
        <w:rPr>
          <w:rFonts w:ascii="Century" w:hAnsi="Century"/>
          <w:b/>
          <w:sz w:val="28"/>
          <w:szCs w:val="28"/>
          <w:u w:val="single"/>
        </w:rPr>
        <w:lastRenderedPageBreak/>
        <w:t>STATEMENT OF THE CASE</w:t>
      </w:r>
    </w:p>
    <w:p w14:paraId="45EE7CF1" w14:textId="4DC5D135" w:rsidR="00D01F2E" w:rsidRDefault="00D01F2E" w:rsidP="00D01F2E">
      <w:pPr>
        <w:spacing w:line="480" w:lineRule="auto"/>
        <w:ind w:firstLine="720"/>
        <w:jc w:val="both"/>
        <w:rPr>
          <w:rFonts w:ascii="Century" w:hAnsi="Century"/>
          <w:sz w:val="28"/>
          <w:szCs w:val="28"/>
        </w:rPr>
      </w:pPr>
      <w:r w:rsidRPr="00653823">
        <w:rPr>
          <w:rFonts w:ascii="Century" w:hAnsi="Century"/>
          <w:sz w:val="28"/>
          <w:szCs w:val="28"/>
        </w:rPr>
        <w:t xml:space="preserve">This case came on for trial at the </w:t>
      </w:r>
      <w:r>
        <w:rPr>
          <w:rFonts w:ascii="Century" w:hAnsi="Century"/>
          <w:sz w:val="28"/>
          <w:szCs w:val="28"/>
        </w:rPr>
        <w:t>21 March 2022</w:t>
      </w:r>
      <w:r w:rsidRPr="00653823">
        <w:rPr>
          <w:rFonts w:ascii="Century" w:hAnsi="Century"/>
          <w:sz w:val="28"/>
          <w:szCs w:val="28"/>
        </w:rPr>
        <w:t xml:space="preserve"> criminal session of </w:t>
      </w:r>
      <w:r>
        <w:rPr>
          <w:rFonts w:ascii="Century" w:hAnsi="Century"/>
          <w:sz w:val="28"/>
          <w:szCs w:val="28"/>
        </w:rPr>
        <w:t>Scotland</w:t>
      </w:r>
      <w:r w:rsidRPr="00653823">
        <w:rPr>
          <w:rFonts w:ascii="Century" w:hAnsi="Century"/>
          <w:sz w:val="28"/>
          <w:szCs w:val="28"/>
        </w:rPr>
        <w:t xml:space="preserve"> County Superior Court, before the Honorable </w:t>
      </w:r>
      <w:r>
        <w:rPr>
          <w:rFonts w:ascii="Century" w:hAnsi="Century"/>
          <w:sz w:val="28"/>
          <w:szCs w:val="28"/>
        </w:rPr>
        <w:t>Stephan Futrell</w:t>
      </w:r>
      <w:r w:rsidRPr="00653823">
        <w:rPr>
          <w:rFonts w:ascii="Century" w:hAnsi="Century"/>
          <w:sz w:val="28"/>
          <w:szCs w:val="28"/>
        </w:rPr>
        <w:t xml:space="preserve">, on indictments charging </w:t>
      </w:r>
      <w:r w:rsidR="001B5FE1">
        <w:rPr>
          <w:rFonts w:ascii="Century" w:hAnsi="Century"/>
          <w:sz w:val="28"/>
          <w:szCs w:val="28"/>
        </w:rPr>
        <w:t>Desmond</w:t>
      </w:r>
      <w:r>
        <w:rPr>
          <w:rFonts w:ascii="Century" w:hAnsi="Century"/>
          <w:sz w:val="28"/>
          <w:szCs w:val="28"/>
        </w:rPr>
        <w:t xml:space="preserve"> Bethea</w:t>
      </w:r>
      <w:r w:rsidRPr="00653823">
        <w:rPr>
          <w:rFonts w:ascii="Century" w:hAnsi="Century"/>
          <w:sz w:val="28"/>
          <w:szCs w:val="28"/>
        </w:rPr>
        <w:t xml:space="preserve"> with </w:t>
      </w:r>
      <w:r>
        <w:rPr>
          <w:rFonts w:ascii="Century" w:hAnsi="Century"/>
          <w:sz w:val="28"/>
          <w:szCs w:val="28"/>
        </w:rPr>
        <w:t xml:space="preserve">three counts of attempted first-degree murder, one count of assault with a deadly weapon with intent to kill inflicting serious injury, two counts of assault with a deadly weapon on a government official, carrying a concealed gun, and discharging a </w:t>
      </w:r>
      <w:r w:rsidRPr="000C0E3B">
        <w:rPr>
          <w:rFonts w:ascii="Century" w:hAnsi="Century"/>
          <w:sz w:val="28"/>
          <w:szCs w:val="28"/>
        </w:rPr>
        <w:t>weapon into an occupied dwelling.  (R pp 10-13) On 28 March 2022, the jury found Mr. Bethea not guilty of discharging a weapon into occupied property but guilty of the remaining charges.  (R pp 59-63; T pp 855-56) Mr. Bethea was</w:t>
      </w:r>
      <w:r w:rsidRPr="00653823">
        <w:rPr>
          <w:rFonts w:ascii="Century" w:hAnsi="Century"/>
          <w:sz w:val="28"/>
          <w:szCs w:val="28"/>
        </w:rPr>
        <w:t xml:space="preserve"> sentenced </w:t>
      </w:r>
      <w:r w:rsidRPr="00CE1828">
        <w:rPr>
          <w:rFonts w:ascii="Century" w:hAnsi="Century"/>
          <w:sz w:val="28"/>
          <w:szCs w:val="28"/>
        </w:rPr>
        <w:t>to a total of 520 to 672 months’ imprisonment. (R pp 66-76; T pp 908-09) Mr. Bethea gave both oral and written notice of appeal. (R pp 77-79; T p 909)</w:t>
      </w:r>
      <w:r w:rsidRPr="00ED2212">
        <w:rPr>
          <w:rFonts w:ascii="Century" w:hAnsi="Century"/>
          <w:sz w:val="28"/>
          <w:szCs w:val="28"/>
        </w:rPr>
        <w:t xml:space="preserve"> </w:t>
      </w:r>
    </w:p>
    <w:p w14:paraId="2096C61E" w14:textId="77777777" w:rsidR="00F346CA" w:rsidRPr="00ED2212" w:rsidRDefault="00F346CA">
      <w:pPr>
        <w:spacing w:line="480" w:lineRule="auto"/>
        <w:ind w:firstLine="720"/>
        <w:jc w:val="both"/>
        <w:rPr>
          <w:rFonts w:ascii="Century" w:hAnsi="Century"/>
          <w:sz w:val="28"/>
          <w:szCs w:val="28"/>
        </w:rPr>
      </w:pPr>
    </w:p>
    <w:p w14:paraId="2EB8225C" w14:textId="77777777" w:rsidR="00A253C1" w:rsidRPr="00ED2212" w:rsidRDefault="00E03B9C">
      <w:pPr>
        <w:pStyle w:val="BodyTextIndent"/>
        <w:ind w:firstLine="0"/>
        <w:jc w:val="center"/>
        <w:rPr>
          <w:rFonts w:ascii="Century" w:hAnsi="Century"/>
          <w:b/>
          <w:bCs/>
          <w:sz w:val="28"/>
          <w:szCs w:val="28"/>
          <w:u w:val="single"/>
        </w:rPr>
      </w:pPr>
      <w:r w:rsidRPr="00ED2212">
        <w:rPr>
          <w:rFonts w:ascii="Century" w:hAnsi="Century"/>
          <w:b/>
          <w:bCs/>
          <w:sz w:val="28"/>
          <w:szCs w:val="28"/>
          <w:u w:val="single"/>
        </w:rPr>
        <w:t>STATEMENT OF GROUNDS FOR APPELLATE REVIEW</w:t>
      </w:r>
    </w:p>
    <w:p w14:paraId="2EB8225D" w14:textId="3297AB17" w:rsidR="00A253C1" w:rsidRPr="00ED2212" w:rsidRDefault="00F346CA">
      <w:pPr>
        <w:pStyle w:val="BodyTextIndent2"/>
        <w:ind w:left="0" w:firstLine="720"/>
        <w:jc w:val="both"/>
        <w:rPr>
          <w:rFonts w:ascii="Century" w:hAnsi="Century"/>
          <w:sz w:val="28"/>
          <w:szCs w:val="28"/>
        </w:rPr>
      </w:pPr>
      <w:r w:rsidRPr="00F346CA">
        <w:rPr>
          <w:rFonts w:ascii="Century" w:hAnsi="Century"/>
          <w:sz w:val="28"/>
          <w:szCs w:val="28"/>
        </w:rPr>
        <w:t>Mr. Bethea</w:t>
      </w:r>
      <w:r w:rsidR="00E03B9C" w:rsidRPr="00F346CA">
        <w:rPr>
          <w:rFonts w:ascii="Century" w:hAnsi="Century"/>
          <w:sz w:val="28"/>
          <w:szCs w:val="28"/>
        </w:rPr>
        <w:t xml:space="preserve"> appeals pursuant to N.C. Gen. Stat. §§ </w:t>
      </w:r>
      <w:proofErr w:type="spellStart"/>
      <w:r w:rsidR="00E03B9C" w:rsidRPr="00F346CA">
        <w:rPr>
          <w:rFonts w:ascii="Century" w:hAnsi="Century"/>
          <w:sz w:val="28"/>
          <w:szCs w:val="28"/>
        </w:rPr>
        <w:t>7A</w:t>
      </w:r>
      <w:proofErr w:type="spellEnd"/>
      <w:r w:rsidR="00E03B9C" w:rsidRPr="00F346CA">
        <w:rPr>
          <w:rFonts w:ascii="Century" w:hAnsi="Century"/>
          <w:sz w:val="28"/>
          <w:szCs w:val="28"/>
        </w:rPr>
        <w:t xml:space="preserve">-27(b) and </w:t>
      </w:r>
      <w:proofErr w:type="spellStart"/>
      <w:r w:rsidR="00E03B9C" w:rsidRPr="00F346CA">
        <w:rPr>
          <w:rFonts w:ascii="Century" w:hAnsi="Century"/>
          <w:sz w:val="28"/>
          <w:szCs w:val="28"/>
        </w:rPr>
        <w:t>15A</w:t>
      </w:r>
      <w:proofErr w:type="spellEnd"/>
      <w:r w:rsidR="00E03B9C" w:rsidRPr="00F346CA">
        <w:rPr>
          <w:rFonts w:ascii="Century" w:hAnsi="Century"/>
          <w:sz w:val="28"/>
          <w:szCs w:val="28"/>
        </w:rPr>
        <w:t xml:space="preserve">-1444(a) from </w:t>
      </w:r>
      <w:r w:rsidR="00653823" w:rsidRPr="00F346CA">
        <w:rPr>
          <w:rFonts w:ascii="Century" w:hAnsi="Century"/>
          <w:sz w:val="28"/>
          <w:szCs w:val="28"/>
        </w:rPr>
        <w:t>a final judgment</w:t>
      </w:r>
      <w:r w:rsidR="00E03B9C" w:rsidRPr="00F346CA">
        <w:rPr>
          <w:rFonts w:ascii="Century" w:hAnsi="Century"/>
          <w:sz w:val="28"/>
          <w:szCs w:val="28"/>
        </w:rPr>
        <w:t xml:space="preserve"> entered in </w:t>
      </w:r>
      <w:r w:rsidRPr="00F346CA">
        <w:rPr>
          <w:rFonts w:ascii="Century" w:hAnsi="Century"/>
          <w:sz w:val="28"/>
          <w:szCs w:val="28"/>
        </w:rPr>
        <w:t>Scotland</w:t>
      </w:r>
      <w:r w:rsidR="00E03B9C" w:rsidRPr="00F346CA">
        <w:rPr>
          <w:rFonts w:ascii="Century" w:hAnsi="Century"/>
          <w:sz w:val="28"/>
          <w:szCs w:val="28"/>
        </w:rPr>
        <w:t xml:space="preserve"> County Superior Court.</w:t>
      </w:r>
    </w:p>
    <w:p w14:paraId="0F555E8C" w14:textId="77777777" w:rsidR="00653823" w:rsidRDefault="00653823">
      <w:pPr>
        <w:pStyle w:val="BodyTextIndent2"/>
        <w:ind w:left="0"/>
        <w:jc w:val="center"/>
        <w:rPr>
          <w:rFonts w:ascii="Century" w:hAnsi="Century"/>
          <w:b/>
          <w:sz w:val="28"/>
          <w:szCs w:val="28"/>
          <w:u w:val="single"/>
        </w:rPr>
      </w:pPr>
    </w:p>
    <w:p w14:paraId="2EB8225E" w14:textId="1796CD79" w:rsidR="00A253C1" w:rsidRPr="00ED2212" w:rsidRDefault="00E03B9C">
      <w:pPr>
        <w:pStyle w:val="BodyTextIndent2"/>
        <w:ind w:left="0"/>
        <w:jc w:val="center"/>
        <w:rPr>
          <w:rFonts w:ascii="Century" w:hAnsi="Century"/>
          <w:b/>
          <w:sz w:val="28"/>
          <w:szCs w:val="28"/>
        </w:rPr>
      </w:pPr>
      <w:r w:rsidRPr="00ED2212">
        <w:rPr>
          <w:rFonts w:ascii="Century" w:hAnsi="Century"/>
          <w:b/>
          <w:sz w:val="28"/>
          <w:szCs w:val="28"/>
          <w:u w:val="single"/>
        </w:rPr>
        <w:lastRenderedPageBreak/>
        <w:t>STATEMENT OF FACTS</w:t>
      </w:r>
    </w:p>
    <w:p w14:paraId="327AED47" w14:textId="4CB05657" w:rsidR="00167215" w:rsidRDefault="00293E0D" w:rsidP="00AD5C5E">
      <w:pPr>
        <w:spacing w:line="480" w:lineRule="auto"/>
        <w:ind w:firstLine="720"/>
        <w:jc w:val="both"/>
        <w:rPr>
          <w:rFonts w:ascii="Century" w:hAnsi="Century"/>
          <w:sz w:val="28"/>
          <w:szCs w:val="28"/>
        </w:rPr>
      </w:pPr>
      <w:r w:rsidRPr="00293E0D">
        <w:rPr>
          <w:rFonts w:ascii="Century" w:hAnsi="Century"/>
          <w:sz w:val="28"/>
          <w:szCs w:val="28"/>
        </w:rPr>
        <w:t>No one knows why Desmond Bethea</w:t>
      </w:r>
      <w:r w:rsidR="00C664D3">
        <w:rPr>
          <w:rFonts w:ascii="Century" w:hAnsi="Century"/>
          <w:sz w:val="28"/>
          <w:szCs w:val="28"/>
        </w:rPr>
        <w:t xml:space="preserve">, a teenager with no </w:t>
      </w:r>
      <w:r w:rsidR="00C72ECA">
        <w:rPr>
          <w:rFonts w:ascii="Century" w:hAnsi="Century"/>
          <w:sz w:val="28"/>
          <w:szCs w:val="28"/>
        </w:rPr>
        <w:t xml:space="preserve">prior criminal </w:t>
      </w:r>
      <w:r w:rsidR="005A2490">
        <w:rPr>
          <w:rFonts w:ascii="Century" w:hAnsi="Century"/>
          <w:sz w:val="28"/>
          <w:szCs w:val="28"/>
        </w:rPr>
        <w:t>record</w:t>
      </w:r>
      <w:r w:rsidR="00C72ECA">
        <w:rPr>
          <w:rFonts w:ascii="Century" w:hAnsi="Century"/>
          <w:sz w:val="28"/>
          <w:szCs w:val="28"/>
        </w:rPr>
        <w:t>,</w:t>
      </w:r>
      <w:r w:rsidRPr="00293E0D">
        <w:rPr>
          <w:rFonts w:ascii="Century" w:hAnsi="Century"/>
          <w:sz w:val="28"/>
          <w:szCs w:val="28"/>
        </w:rPr>
        <w:t xml:space="preserve"> </w:t>
      </w:r>
      <w:r w:rsidR="00C72ECA">
        <w:rPr>
          <w:rFonts w:ascii="Century" w:hAnsi="Century"/>
          <w:sz w:val="28"/>
          <w:szCs w:val="28"/>
        </w:rPr>
        <w:t>was involved in two separate shooting incidents</w:t>
      </w:r>
      <w:r w:rsidRPr="00293E0D">
        <w:rPr>
          <w:rFonts w:ascii="Century" w:hAnsi="Century"/>
          <w:sz w:val="28"/>
          <w:szCs w:val="28"/>
        </w:rPr>
        <w:t xml:space="preserve"> on 26 May 2018. </w:t>
      </w:r>
    </w:p>
    <w:p w14:paraId="24F23F73" w14:textId="0914F3D0" w:rsidR="00167215" w:rsidRDefault="00293E0D" w:rsidP="00AD5C5E">
      <w:pPr>
        <w:spacing w:line="480" w:lineRule="auto"/>
        <w:ind w:firstLine="720"/>
        <w:jc w:val="both"/>
        <w:rPr>
          <w:rFonts w:ascii="Century" w:hAnsi="Century"/>
          <w:sz w:val="28"/>
          <w:szCs w:val="28"/>
          <w:highlight w:val="yellow"/>
        </w:rPr>
      </w:pPr>
      <w:r w:rsidRPr="004E2122">
        <w:rPr>
          <w:rFonts w:ascii="Century" w:hAnsi="Century"/>
          <w:sz w:val="28"/>
          <w:szCs w:val="28"/>
        </w:rPr>
        <w:t xml:space="preserve">Around </w:t>
      </w:r>
      <w:r w:rsidR="007A5229" w:rsidRPr="004E2122">
        <w:rPr>
          <w:rFonts w:ascii="Century" w:hAnsi="Century"/>
          <w:sz w:val="28"/>
          <w:szCs w:val="28"/>
        </w:rPr>
        <w:t>2:00</w:t>
      </w:r>
      <w:r w:rsidR="00991A6A">
        <w:rPr>
          <w:rFonts w:ascii="Century" w:hAnsi="Century"/>
          <w:sz w:val="28"/>
          <w:szCs w:val="28"/>
        </w:rPr>
        <w:t xml:space="preserve"> a.m. that day</w:t>
      </w:r>
      <w:r w:rsidRPr="004E2122">
        <w:rPr>
          <w:rFonts w:ascii="Century" w:hAnsi="Century"/>
          <w:sz w:val="28"/>
          <w:szCs w:val="28"/>
        </w:rPr>
        <w:t xml:space="preserve">, Nathaniel Patterson was standing outside </w:t>
      </w:r>
      <w:r w:rsidR="008C2B08">
        <w:rPr>
          <w:rFonts w:ascii="Century" w:hAnsi="Century"/>
          <w:sz w:val="28"/>
          <w:szCs w:val="28"/>
        </w:rPr>
        <w:t xml:space="preserve">a laundromat </w:t>
      </w:r>
      <w:r w:rsidR="00FA0B02" w:rsidRPr="003E13DA">
        <w:rPr>
          <w:rFonts w:ascii="Century" w:hAnsi="Century"/>
          <w:sz w:val="28"/>
          <w:szCs w:val="28"/>
        </w:rPr>
        <w:t xml:space="preserve">near </w:t>
      </w:r>
      <w:r w:rsidRPr="003E13DA">
        <w:rPr>
          <w:rFonts w:ascii="Century" w:hAnsi="Century"/>
          <w:sz w:val="28"/>
          <w:szCs w:val="28"/>
        </w:rPr>
        <w:t xml:space="preserve">the </w:t>
      </w:r>
      <w:r w:rsidR="007A5229" w:rsidRPr="003E13DA">
        <w:rPr>
          <w:rFonts w:ascii="Century" w:hAnsi="Century"/>
          <w:sz w:val="28"/>
          <w:szCs w:val="28"/>
        </w:rPr>
        <w:t>Laurinburg</w:t>
      </w:r>
      <w:r w:rsidR="004E2122" w:rsidRPr="003E13DA">
        <w:rPr>
          <w:rFonts w:ascii="Century" w:hAnsi="Century"/>
          <w:sz w:val="28"/>
          <w:szCs w:val="28"/>
        </w:rPr>
        <w:t xml:space="preserve"> Food Mart</w:t>
      </w:r>
      <w:r w:rsidRPr="003E13DA">
        <w:rPr>
          <w:rFonts w:ascii="Century" w:hAnsi="Century"/>
          <w:sz w:val="28"/>
          <w:szCs w:val="28"/>
        </w:rPr>
        <w:t xml:space="preserve"> when </w:t>
      </w:r>
      <w:r w:rsidR="00C77EE6" w:rsidRPr="003E13DA">
        <w:rPr>
          <w:rFonts w:ascii="Century" w:hAnsi="Century"/>
          <w:sz w:val="28"/>
          <w:szCs w:val="28"/>
        </w:rPr>
        <w:t>he was struck by a bullet that grazed his side</w:t>
      </w:r>
      <w:r w:rsidR="001F662D" w:rsidRPr="003E13DA">
        <w:rPr>
          <w:rFonts w:ascii="Century" w:hAnsi="Century"/>
          <w:sz w:val="28"/>
          <w:szCs w:val="28"/>
        </w:rPr>
        <w:t xml:space="preserve"> and </w:t>
      </w:r>
      <w:r w:rsidR="00520985">
        <w:rPr>
          <w:rFonts w:ascii="Century" w:hAnsi="Century"/>
          <w:sz w:val="28"/>
          <w:szCs w:val="28"/>
        </w:rPr>
        <w:t>wounded</w:t>
      </w:r>
      <w:r w:rsidR="001F662D" w:rsidRPr="003E13DA">
        <w:rPr>
          <w:rFonts w:ascii="Century" w:hAnsi="Century"/>
          <w:sz w:val="28"/>
          <w:szCs w:val="28"/>
        </w:rPr>
        <w:t xml:space="preserve"> his arm above the elbow</w:t>
      </w:r>
      <w:r w:rsidRPr="003E13DA">
        <w:rPr>
          <w:rFonts w:ascii="Century" w:hAnsi="Century"/>
          <w:sz w:val="28"/>
          <w:szCs w:val="28"/>
        </w:rPr>
        <w:t xml:space="preserve">. </w:t>
      </w:r>
      <w:r w:rsidR="00BF5D1D">
        <w:rPr>
          <w:rFonts w:ascii="Century" w:hAnsi="Century"/>
          <w:sz w:val="28"/>
          <w:szCs w:val="28"/>
        </w:rPr>
        <w:t xml:space="preserve">Patterson </w:t>
      </w:r>
      <w:r w:rsidR="003E13DA" w:rsidRPr="003E13DA">
        <w:rPr>
          <w:rFonts w:ascii="Century" w:hAnsi="Century"/>
          <w:sz w:val="28"/>
          <w:szCs w:val="28"/>
        </w:rPr>
        <w:t xml:space="preserve">did not know </w:t>
      </w:r>
      <w:r w:rsidR="001B4F91">
        <w:rPr>
          <w:rFonts w:ascii="Century" w:hAnsi="Century"/>
          <w:sz w:val="28"/>
          <w:szCs w:val="28"/>
        </w:rPr>
        <w:t xml:space="preserve">the person </w:t>
      </w:r>
      <w:r w:rsidR="003E13DA" w:rsidRPr="003E13DA">
        <w:rPr>
          <w:rFonts w:ascii="Century" w:hAnsi="Century"/>
          <w:sz w:val="28"/>
          <w:szCs w:val="28"/>
        </w:rPr>
        <w:t xml:space="preserve">who </w:t>
      </w:r>
      <w:r w:rsidR="009D7CAC">
        <w:rPr>
          <w:rFonts w:ascii="Century" w:hAnsi="Century"/>
          <w:sz w:val="28"/>
          <w:szCs w:val="28"/>
        </w:rPr>
        <w:t>fired the shot</w:t>
      </w:r>
      <w:r w:rsidR="003E13DA" w:rsidRPr="003E13DA">
        <w:rPr>
          <w:rFonts w:ascii="Century" w:hAnsi="Century"/>
          <w:sz w:val="28"/>
          <w:szCs w:val="28"/>
        </w:rPr>
        <w:t>.</w:t>
      </w:r>
      <w:r w:rsidR="00697BAB">
        <w:rPr>
          <w:rFonts w:ascii="Century" w:hAnsi="Century"/>
          <w:sz w:val="28"/>
          <w:szCs w:val="28"/>
        </w:rPr>
        <w:t xml:space="preserve"> There was no </w:t>
      </w:r>
      <w:r w:rsidR="00697BAB" w:rsidRPr="0086628D">
        <w:rPr>
          <w:rFonts w:ascii="Century" w:hAnsi="Century"/>
          <w:sz w:val="28"/>
          <w:szCs w:val="28"/>
        </w:rPr>
        <w:t>confrontation between Patterson and the shooter.</w:t>
      </w:r>
      <w:r w:rsidR="003E13DA" w:rsidRPr="0086628D">
        <w:rPr>
          <w:rFonts w:ascii="Century" w:hAnsi="Century"/>
          <w:sz w:val="28"/>
          <w:szCs w:val="28"/>
        </w:rPr>
        <w:t xml:space="preserve"> (T pp 376-77</w:t>
      </w:r>
      <w:r w:rsidR="00BE4D54" w:rsidRPr="0086628D">
        <w:rPr>
          <w:rFonts w:ascii="Century" w:hAnsi="Century"/>
          <w:sz w:val="28"/>
          <w:szCs w:val="28"/>
        </w:rPr>
        <w:t>, 401-</w:t>
      </w:r>
      <w:r w:rsidR="00AF6139" w:rsidRPr="0086628D">
        <w:rPr>
          <w:rFonts w:ascii="Century" w:hAnsi="Century"/>
          <w:sz w:val="28"/>
          <w:szCs w:val="28"/>
        </w:rPr>
        <w:t>02</w:t>
      </w:r>
      <w:r w:rsidR="003E13DA" w:rsidRPr="0086628D">
        <w:rPr>
          <w:rFonts w:ascii="Century" w:hAnsi="Century"/>
          <w:sz w:val="28"/>
          <w:szCs w:val="28"/>
        </w:rPr>
        <w:t>; State’s Exhibit 17) Patterson did not testify at the trial.</w:t>
      </w:r>
    </w:p>
    <w:p w14:paraId="6871AB14" w14:textId="0B9A510B" w:rsidR="00AD5C5E" w:rsidRDefault="000719FD" w:rsidP="00DF20F2">
      <w:pPr>
        <w:spacing w:line="480" w:lineRule="auto"/>
        <w:ind w:firstLine="720"/>
        <w:jc w:val="both"/>
        <w:rPr>
          <w:rFonts w:ascii="Century" w:hAnsi="Century"/>
          <w:sz w:val="28"/>
          <w:szCs w:val="28"/>
        </w:rPr>
      </w:pPr>
      <w:r>
        <w:rPr>
          <w:rFonts w:ascii="Century" w:hAnsi="Century"/>
          <w:sz w:val="28"/>
          <w:szCs w:val="28"/>
        </w:rPr>
        <w:t xml:space="preserve">Laurinburg Police </w:t>
      </w:r>
      <w:r w:rsidR="00CA1BAD">
        <w:rPr>
          <w:rFonts w:ascii="Century" w:hAnsi="Century"/>
          <w:sz w:val="28"/>
          <w:szCs w:val="28"/>
        </w:rPr>
        <w:t>Department</w:t>
      </w:r>
      <w:r>
        <w:rPr>
          <w:rFonts w:ascii="Century" w:hAnsi="Century"/>
          <w:sz w:val="28"/>
          <w:szCs w:val="28"/>
        </w:rPr>
        <w:t xml:space="preserve"> </w:t>
      </w:r>
      <w:r w:rsidR="00991A6A">
        <w:rPr>
          <w:rFonts w:ascii="Century" w:hAnsi="Century"/>
          <w:sz w:val="28"/>
          <w:szCs w:val="28"/>
        </w:rPr>
        <w:t>(“</w:t>
      </w:r>
      <w:proofErr w:type="spellStart"/>
      <w:r w:rsidR="00991A6A">
        <w:rPr>
          <w:rFonts w:ascii="Century" w:hAnsi="Century"/>
          <w:sz w:val="28"/>
          <w:szCs w:val="28"/>
        </w:rPr>
        <w:t>LPD</w:t>
      </w:r>
      <w:proofErr w:type="spellEnd"/>
      <w:r w:rsidR="00991A6A">
        <w:rPr>
          <w:rFonts w:ascii="Century" w:hAnsi="Century"/>
          <w:sz w:val="28"/>
          <w:szCs w:val="28"/>
        </w:rPr>
        <w:t xml:space="preserve">”) </w:t>
      </w:r>
      <w:r>
        <w:rPr>
          <w:rFonts w:ascii="Century" w:hAnsi="Century"/>
          <w:sz w:val="28"/>
          <w:szCs w:val="28"/>
        </w:rPr>
        <w:t>Corporal</w:t>
      </w:r>
      <w:r w:rsidR="00293E0D" w:rsidRPr="00293E0D">
        <w:rPr>
          <w:rFonts w:ascii="Century" w:hAnsi="Century"/>
          <w:sz w:val="28"/>
          <w:szCs w:val="28"/>
        </w:rPr>
        <w:t xml:space="preserve"> Benjamin Teasley </w:t>
      </w:r>
      <w:r w:rsidR="00C917AB">
        <w:rPr>
          <w:rFonts w:ascii="Century" w:hAnsi="Century"/>
          <w:sz w:val="28"/>
          <w:szCs w:val="28"/>
        </w:rPr>
        <w:t>was</w:t>
      </w:r>
      <w:r w:rsidR="00CA1BAD">
        <w:rPr>
          <w:rFonts w:ascii="Century" w:hAnsi="Century"/>
          <w:sz w:val="28"/>
          <w:szCs w:val="28"/>
        </w:rPr>
        <w:t xml:space="preserve"> among those who </w:t>
      </w:r>
      <w:r w:rsidR="00293E0D" w:rsidRPr="00293E0D">
        <w:rPr>
          <w:rFonts w:ascii="Century" w:hAnsi="Century"/>
          <w:sz w:val="28"/>
          <w:szCs w:val="28"/>
        </w:rPr>
        <w:t>responded to the scene.</w:t>
      </w:r>
      <w:r w:rsidR="00C917AB">
        <w:rPr>
          <w:rFonts w:ascii="Century" w:hAnsi="Century"/>
          <w:sz w:val="28"/>
          <w:szCs w:val="28"/>
        </w:rPr>
        <w:t xml:space="preserve"> </w:t>
      </w:r>
      <w:r w:rsidR="00FB6981">
        <w:rPr>
          <w:rFonts w:ascii="Century" w:hAnsi="Century"/>
          <w:sz w:val="28"/>
          <w:szCs w:val="28"/>
        </w:rPr>
        <w:t xml:space="preserve">Teasley was </w:t>
      </w:r>
      <w:r w:rsidR="00745592">
        <w:rPr>
          <w:rFonts w:ascii="Century" w:hAnsi="Century"/>
          <w:sz w:val="28"/>
          <w:szCs w:val="28"/>
        </w:rPr>
        <w:t xml:space="preserve">directed to collect evidence from the laundromat parking lot. </w:t>
      </w:r>
      <w:r w:rsidR="00C917AB">
        <w:rPr>
          <w:rFonts w:ascii="Century" w:hAnsi="Century"/>
          <w:sz w:val="28"/>
          <w:szCs w:val="28"/>
        </w:rPr>
        <w:t xml:space="preserve">After a few minutes, </w:t>
      </w:r>
      <w:r w:rsidR="009F21C0">
        <w:rPr>
          <w:rFonts w:ascii="Century" w:hAnsi="Century"/>
          <w:sz w:val="28"/>
          <w:szCs w:val="28"/>
        </w:rPr>
        <w:t>Teasley</w:t>
      </w:r>
      <w:r w:rsidR="00C917AB">
        <w:rPr>
          <w:rFonts w:ascii="Century" w:hAnsi="Century"/>
          <w:sz w:val="28"/>
          <w:szCs w:val="28"/>
        </w:rPr>
        <w:t xml:space="preserve"> was joined by </w:t>
      </w:r>
      <w:proofErr w:type="spellStart"/>
      <w:r w:rsidR="00C917AB">
        <w:rPr>
          <w:rFonts w:ascii="Century" w:hAnsi="Century"/>
          <w:sz w:val="28"/>
          <w:szCs w:val="28"/>
        </w:rPr>
        <w:t>LPD</w:t>
      </w:r>
      <w:proofErr w:type="spellEnd"/>
      <w:r w:rsidR="00C917AB">
        <w:rPr>
          <w:rFonts w:ascii="Century" w:hAnsi="Century"/>
          <w:sz w:val="28"/>
          <w:szCs w:val="28"/>
        </w:rPr>
        <w:t xml:space="preserve"> Officer Jeremy Rodriguez. </w:t>
      </w:r>
      <w:r w:rsidR="009F21C0">
        <w:rPr>
          <w:rFonts w:ascii="Century" w:hAnsi="Century"/>
          <w:sz w:val="28"/>
          <w:szCs w:val="28"/>
        </w:rPr>
        <w:t>(T pp 437, 439-43)</w:t>
      </w:r>
      <w:r w:rsidR="00DF20F2">
        <w:rPr>
          <w:rFonts w:ascii="Century" w:hAnsi="Century"/>
          <w:sz w:val="28"/>
          <w:szCs w:val="28"/>
        </w:rPr>
        <w:t xml:space="preserve"> </w:t>
      </w:r>
      <w:r w:rsidR="00765811">
        <w:rPr>
          <w:rFonts w:ascii="Century" w:hAnsi="Century"/>
          <w:sz w:val="28"/>
          <w:szCs w:val="28"/>
        </w:rPr>
        <w:t xml:space="preserve">For reasons unexplained, Mr. Bethea </w:t>
      </w:r>
      <w:r w:rsidR="00CC4553">
        <w:rPr>
          <w:rFonts w:ascii="Century" w:hAnsi="Century"/>
          <w:sz w:val="28"/>
          <w:szCs w:val="28"/>
        </w:rPr>
        <w:t>entered the parking lot, despite the presence of crime scene tape and uniformed officers. When the officers confronted him, a struggle ensued. Mr. Bethea fired one shot</w:t>
      </w:r>
      <w:r w:rsidR="009D77A7">
        <w:rPr>
          <w:rFonts w:ascii="Century" w:hAnsi="Century"/>
          <w:sz w:val="28"/>
          <w:szCs w:val="28"/>
        </w:rPr>
        <w:t xml:space="preserve">, which missed both officers but damaged </w:t>
      </w:r>
      <w:r w:rsidR="00E368D7">
        <w:rPr>
          <w:rFonts w:ascii="Century" w:hAnsi="Century"/>
          <w:sz w:val="28"/>
          <w:szCs w:val="28"/>
        </w:rPr>
        <w:t>Teasley’s hearing,</w:t>
      </w:r>
      <w:r w:rsidR="00CC4553">
        <w:rPr>
          <w:rFonts w:ascii="Century" w:hAnsi="Century"/>
          <w:sz w:val="28"/>
          <w:szCs w:val="28"/>
        </w:rPr>
        <w:t xml:space="preserve"> before running away</w:t>
      </w:r>
      <w:r w:rsidR="009D77A7">
        <w:rPr>
          <w:rFonts w:ascii="Century" w:hAnsi="Century"/>
          <w:sz w:val="28"/>
          <w:szCs w:val="28"/>
        </w:rPr>
        <w:t>.</w:t>
      </w:r>
      <w:r w:rsidR="00CC4553">
        <w:rPr>
          <w:rFonts w:ascii="Century" w:hAnsi="Century"/>
          <w:sz w:val="28"/>
          <w:szCs w:val="28"/>
        </w:rPr>
        <w:t xml:space="preserve"> Officer Teasley fired </w:t>
      </w:r>
      <w:r w:rsidR="00E368D7">
        <w:rPr>
          <w:rFonts w:ascii="Century" w:hAnsi="Century"/>
          <w:sz w:val="28"/>
          <w:szCs w:val="28"/>
        </w:rPr>
        <w:t>approximately</w:t>
      </w:r>
      <w:r w:rsidR="0084149B">
        <w:rPr>
          <w:rFonts w:ascii="Century" w:hAnsi="Century"/>
          <w:sz w:val="28"/>
          <w:szCs w:val="28"/>
        </w:rPr>
        <w:t xml:space="preserve"> </w:t>
      </w:r>
      <w:r w:rsidR="00CC4553">
        <w:rPr>
          <w:rFonts w:ascii="Century" w:hAnsi="Century"/>
          <w:sz w:val="28"/>
          <w:szCs w:val="28"/>
        </w:rPr>
        <w:t xml:space="preserve">eleven </w:t>
      </w:r>
      <w:r w:rsidR="00E368D7">
        <w:rPr>
          <w:rFonts w:ascii="Century" w:hAnsi="Century"/>
          <w:sz w:val="28"/>
          <w:szCs w:val="28"/>
        </w:rPr>
        <w:t>s</w:t>
      </w:r>
      <w:r w:rsidR="00CC4553">
        <w:rPr>
          <w:rFonts w:ascii="Century" w:hAnsi="Century"/>
          <w:sz w:val="28"/>
          <w:szCs w:val="28"/>
        </w:rPr>
        <w:t>hots</w:t>
      </w:r>
      <w:r w:rsidR="00AD5C5E">
        <w:rPr>
          <w:rFonts w:ascii="Century" w:hAnsi="Century"/>
          <w:sz w:val="28"/>
          <w:szCs w:val="28"/>
        </w:rPr>
        <w:t xml:space="preserve"> as Mr. Bethea </w:t>
      </w:r>
      <w:r w:rsidR="00AD5C5E">
        <w:rPr>
          <w:rFonts w:ascii="Century" w:hAnsi="Century"/>
          <w:sz w:val="28"/>
          <w:szCs w:val="28"/>
        </w:rPr>
        <w:lastRenderedPageBreak/>
        <w:t>fled. (</w:t>
      </w:r>
      <w:r w:rsidR="00FE373E">
        <w:rPr>
          <w:rFonts w:ascii="Century" w:hAnsi="Century"/>
          <w:sz w:val="28"/>
          <w:szCs w:val="28"/>
        </w:rPr>
        <w:t>T pp 413-</w:t>
      </w:r>
      <w:r w:rsidR="007965E2">
        <w:rPr>
          <w:rFonts w:ascii="Century" w:hAnsi="Century"/>
          <w:sz w:val="28"/>
          <w:szCs w:val="28"/>
        </w:rPr>
        <w:t xml:space="preserve">15, </w:t>
      </w:r>
      <w:r w:rsidR="002E630C">
        <w:rPr>
          <w:rFonts w:ascii="Century" w:hAnsi="Century"/>
          <w:sz w:val="28"/>
          <w:szCs w:val="28"/>
        </w:rPr>
        <w:t xml:space="preserve">443-47; </w:t>
      </w:r>
      <w:r w:rsidR="00AD5C5E">
        <w:rPr>
          <w:rFonts w:ascii="Century" w:hAnsi="Century"/>
          <w:sz w:val="28"/>
          <w:szCs w:val="28"/>
        </w:rPr>
        <w:t xml:space="preserve">State’s Exhibit 18) </w:t>
      </w:r>
      <w:r w:rsidR="00FD0BDB">
        <w:rPr>
          <w:rFonts w:ascii="Century" w:hAnsi="Century"/>
          <w:sz w:val="28"/>
          <w:szCs w:val="28"/>
        </w:rPr>
        <w:t xml:space="preserve">When </w:t>
      </w:r>
      <w:r w:rsidR="001E7FC8">
        <w:rPr>
          <w:rFonts w:ascii="Century" w:hAnsi="Century"/>
          <w:sz w:val="28"/>
          <w:szCs w:val="28"/>
        </w:rPr>
        <w:t xml:space="preserve">other officers </w:t>
      </w:r>
      <w:r w:rsidR="00FD0BDB">
        <w:rPr>
          <w:rFonts w:ascii="Century" w:hAnsi="Century"/>
          <w:sz w:val="28"/>
          <w:szCs w:val="28"/>
        </w:rPr>
        <w:t>arri</w:t>
      </w:r>
      <w:r w:rsidR="001F40D9">
        <w:rPr>
          <w:rFonts w:ascii="Century" w:hAnsi="Century"/>
          <w:sz w:val="28"/>
          <w:szCs w:val="28"/>
        </w:rPr>
        <w:t xml:space="preserve">ved, Mr. Bethea </w:t>
      </w:r>
      <w:r w:rsidR="00FA37B9">
        <w:rPr>
          <w:rFonts w:ascii="Century" w:hAnsi="Century"/>
          <w:sz w:val="28"/>
          <w:szCs w:val="28"/>
        </w:rPr>
        <w:t xml:space="preserve">was </w:t>
      </w:r>
      <w:r w:rsidR="001E7FC8">
        <w:rPr>
          <w:rFonts w:ascii="Century" w:hAnsi="Century"/>
          <w:sz w:val="28"/>
          <w:szCs w:val="28"/>
        </w:rPr>
        <w:t xml:space="preserve">found </w:t>
      </w:r>
      <w:r w:rsidR="009838B2">
        <w:rPr>
          <w:rFonts w:ascii="Century" w:hAnsi="Century"/>
          <w:sz w:val="28"/>
          <w:szCs w:val="28"/>
        </w:rPr>
        <w:t xml:space="preserve">incapacitated </w:t>
      </w:r>
      <w:r w:rsidR="00D01F2E">
        <w:rPr>
          <w:rFonts w:ascii="Century" w:hAnsi="Century"/>
          <w:sz w:val="28"/>
          <w:szCs w:val="28"/>
        </w:rPr>
        <w:t xml:space="preserve">on the ground </w:t>
      </w:r>
      <w:r w:rsidR="00FA37B9">
        <w:rPr>
          <w:rFonts w:ascii="Century" w:hAnsi="Century"/>
          <w:sz w:val="28"/>
          <w:szCs w:val="28"/>
        </w:rPr>
        <w:t xml:space="preserve">across the street from </w:t>
      </w:r>
      <w:r w:rsidR="00525B1A">
        <w:rPr>
          <w:rFonts w:ascii="Century" w:hAnsi="Century"/>
          <w:sz w:val="28"/>
          <w:szCs w:val="28"/>
        </w:rPr>
        <w:t>the parking lot.</w:t>
      </w:r>
      <w:r w:rsidR="008D243D">
        <w:rPr>
          <w:rFonts w:ascii="Century" w:hAnsi="Century"/>
          <w:sz w:val="28"/>
          <w:szCs w:val="28"/>
        </w:rPr>
        <w:t xml:space="preserve"> (T pp 392-93)</w:t>
      </w:r>
    </w:p>
    <w:p w14:paraId="421319B6" w14:textId="28932873" w:rsidR="000F5EAE" w:rsidRPr="00293E0D" w:rsidRDefault="00AD5C5E" w:rsidP="000F5EAE">
      <w:pPr>
        <w:spacing w:line="480" w:lineRule="auto"/>
        <w:ind w:firstLine="720"/>
        <w:jc w:val="both"/>
        <w:rPr>
          <w:rFonts w:ascii="Century" w:hAnsi="Century"/>
          <w:sz w:val="28"/>
          <w:szCs w:val="28"/>
        </w:rPr>
      </w:pPr>
      <w:r>
        <w:rPr>
          <w:rFonts w:ascii="Century" w:hAnsi="Century"/>
          <w:sz w:val="28"/>
          <w:szCs w:val="28"/>
        </w:rPr>
        <w:t xml:space="preserve">Mr. Bethea suffered multiple gunshot wounds, including injuries to his head, jaw, large intestine, liver, stomach, and right arm. He was initially admitted to Scotland Memorial Hospital and then transferred to Grand Strand Regional Medical Center for emergency surgery. </w:t>
      </w:r>
      <w:r w:rsidR="001E7FC8">
        <w:rPr>
          <w:rFonts w:ascii="Century" w:hAnsi="Century"/>
          <w:sz w:val="28"/>
          <w:szCs w:val="28"/>
        </w:rPr>
        <w:t xml:space="preserve">Physicians </w:t>
      </w:r>
      <w:r>
        <w:rPr>
          <w:rFonts w:ascii="Century" w:hAnsi="Century"/>
          <w:sz w:val="28"/>
          <w:szCs w:val="28"/>
        </w:rPr>
        <w:t>determined that Mr. Bethea had suffered a traumatic brain injury and would suffer lifelong effects from his injuries. (R pp 26-27)</w:t>
      </w:r>
      <w:r w:rsidR="000F5EAE">
        <w:rPr>
          <w:rFonts w:ascii="Century" w:hAnsi="Century"/>
          <w:sz w:val="28"/>
          <w:szCs w:val="28"/>
        </w:rPr>
        <w:t xml:space="preserve"> </w:t>
      </w:r>
      <w:r w:rsidR="000F5EAE" w:rsidRPr="00922580">
        <w:rPr>
          <w:rFonts w:ascii="Century" w:hAnsi="Century"/>
          <w:sz w:val="28"/>
          <w:szCs w:val="28"/>
        </w:rPr>
        <w:t xml:space="preserve">Five months after the shooting, Mr. Bethea was still experiencing “internal hemorrhaging, respiratory problems, and blood clots” so severe that he could not be housed in the local jail. (R p 15) </w:t>
      </w:r>
    </w:p>
    <w:p w14:paraId="2EB82260" w14:textId="4BCAA14E" w:rsidR="00A148A1" w:rsidRPr="000F5EAE" w:rsidRDefault="000F5EAE" w:rsidP="00922580">
      <w:pPr>
        <w:spacing w:line="480" w:lineRule="auto"/>
        <w:jc w:val="both"/>
        <w:rPr>
          <w:rFonts w:ascii="Century" w:hAnsi="Century"/>
          <w:b/>
          <w:sz w:val="28"/>
          <w:szCs w:val="28"/>
          <w:u w:val="single"/>
        </w:rPr>
      </w:pPr>
      <w:r w:rsidRPr="000F5EAE">
        <w:rPr>
          <w:rFonts w:ascii="Century" w:hAnsi="Century"/>
          <w:b/>
          <w:sz w:val="28"/>
          <w:szCs w:val="28"/>
          <w:u w:val="single"/>
        </w:rPr>
        <w:t>The Competency Hearing</w:t>
      </w:r>
    </w:p>
    <w:p w14:paraId="261CFA95" w14:textId="21D2DE50" w:rsidR="00922580" w:rsidRDefault="001E7FC8" w:rsidP="00922580">
      <w:pPr>
        <w:spacing w:line="480" w:lineRule="auto"/>
        <w:ind w:firstLine="720"/>
        <w:jc w:val="both"/>
        <w:rPr>
          <w:rFonts w:ascii="Century" w:hAnsi="Century"/>
          <w:sz w:val="28"/>
          <w:szCs w:val="28"/>
        </w:rPr>
      </w:pPr>
      <w:r>
        <w:rPr>
          <w:rFonts w:ascii="Century" w:hAnsi="Century"/>
          <w:sz w:val="28"/>
          <w:szCs w:val="28"/>
        </w:rPr>
        <w:t xml:space="preserve">Defense </w:t>
      </w:r>
      <w:r w:rsidR="00922580">
        <w:rPr>
          <w:rFonts w:ascii="Century" w:hAnsi="Century"/>
          <w:sz w:val="28"/>
          <w:szCs w:val="28"/>
        </w:rPr>
        <w:t xml:space="preserve">counsel filed </w:t>
      </w:r>
      <w:r>
        <w:rPr>
          <w:rFonts w:ascii="Century" w:hAnsi="Century"/>
          <w:sz w:val="28"/>
          <w:szCs w:val="28"/>
        </w:rPr>
        <w:t>a</w:t>
      </w:r>
      <w:r w:rsidR="00922580">
        <w:rPr>
          <w:rFonts w:ascii="Century" w:hAnsi="Century"/>
          <w:sz w:val="28"/>
          <w:szCs w:val="28"/>
        </w:rPr>
        <w:t xml:space="preserve"> Motion for Capacity Hearing, alleging that Mr. Bethea was not competent to stand trial </w:t>
      </w:r>
      <w:r w:rsidR="00676231">
        <w:rPr>
          <w:rFonts w:ascii="Century" w:hAnsi="Century"/>
          <w:sz w:val="28"/>
          <w:szCs w:val="28"/>
        </w:rPr>
        <w:t xml:space="preserve">as </w:t>
      </w:r>
      <w:r w:rsidR="00922580">
        <w:rPr>
          <w:rFonts w:ascii="Century" w:hAnsi="Century"/>
          <w:sz w:val="28"/>
          <w:szCs w:val="28"/>
        </w:rPr>
        <w:t>he was unable “to assist in his defense in a rational or reasonable manner” because, due to his injuries, he had no memory of the events surrounding the alleged crime. (R pp 22-23)</w:t>
      </w:r>
      <w:r w:rsidR="00346BF8">
        <w:rPr>
          <w:rFonts w:ascii="Century" w:hAnsi="Century"/>
          <w:sz w:val="28"/>
          <w:szCs w:val="28"/>
        </w:rPr>
        <w:t xml:space="preserve"> Attached to the motion was </w:t>
      </w:r>
      <w:r w:rsidR="00676231">
        <w:rPr>
          <w:rFonts w:ascii="Century" w:hAnsi="Century"/>
          <w:sz w:val="28"/>
          <w:szCs w:val="28"/>
        </w:rPr>
        <w:t xml:space="preserve">a </w:t>
      </w:r>
      <w:r w:rsidR="00346BF8">
        <w:rPr>
          <w:rFonts w:ascii="Century" w:hAnsi="Century"/>
          <w:sz w:val="28"/>
          <w:szCs w:val="28"/>
        </w:rPr>
        <w:t xml:space="preserve">report </w:t>
      </w:r>
      <w:r w:rsidR="00676231">
        <w:rPr>
          <w:rFonts w:ascii="Century" w:hAnsi="Century"/>
          <w:sz w:val="28"/>
          <w:szCs w:val="28"/>
        </w:rPr>
        <w:t xml:space="preserve">written by </w:t>
      </w:r>
      <w:r w:rsidR="00346BF8">
        <w:rPr>
          <w:rFonts w:ascii="Century" w:hAnsi="Century"/>
          <w:sz w:val="28"/>
          <w:szCs w:val="28"/>
        </w:rPr>
        <w:t xml:space="preserve">Dr. James </w:t>
      </w:r>
      <w:proofErr w:type="spellStart"/>
      <w:r w:rsidR="00346BF8">
        <w:rPr>
          <w:rFonts w:ascii="Century" w:hAnsi="Century"/>
          <w:sz w:val="28"/>
          <w:szCs w:val="28"/>
        </w:rPr>
        <w:t>Hilkey</w:t>
      </w:r>
      <w:proofErr w:type="spellEnd"/>
      <w:r w:rsidR="00ED6A39">
        <w:rPr>
          <w:rFonts w:ascii="Century" w:hAnsi="Century"/>
          <w:sz w:val="28"/>
          <w:szCs w:val="28"/>
        </w:rPr>
        <w:t xml:space="preserve">. Dr. </w:t>
      </w:r>
      <w:proofErr w:type="spellStart"/>
      <w:r w:rsidR="00ED6A39">
        <w:rPr>
          <w:rFonts w:ascii="Century" w:hAnsi="Century"/>
          <w:sz w:val="28"/>
          <w:szCs w:val="28"/>
        </w:rPr>
        <w:t>Hilkey</w:t>
      </w:r>
      <w:proofErr w:type="spellEnd"/>
      <w:r w:rsidR="00ED6A39">
        <w:rPr>
          <w:rFonts w:ascii="Century" w:hAnsi="Century"/>
          <w:sz w:val="28"/>
          <w:szCs w:val="28"/>
        </w:rPr>
        <w:t xml:space="preserve"> </w:t>
      </w:r>
      <w:r w:rsidR="00346BF8">
        <w:rPr>
          <w:rFonts w:ascii="Century" w:hAnsi="Century"/>
          <w:sz w:val="28"/>
          <w:szCs w:val="28"/>
        </w:rPr>
        <w:t xml:space="preserve">concluded that Mr. Bethea “lacks a rational </w:t>
      </w:r>
      <w:r w:rsidR="00346BF8">
        <w:rPr>
          <w:rFonts w:ascii="Century" w:hAnsi="Century"/>
          <w:sz w:val="28"/>
          <w:szCs w:val="28"/>
        </w:rPr>
        <w:lastRenderedPageBreak/>
        <w:t>understanding in that he has no memory for the events” and therefore “cannot assist his attorney in explaining his mental state or provide relevant information in offering a defense.” (R pp 24-30)</w:t>
      </w:r>
    </w:p>
    <w:p w14:paraId="4A0C9137" w14:textId="1E97CB8D" w:rsidR="004C60FB" w:rsidRDefault="00346BF8" w:rsidP="007E747F">
      <w:pPr>
        <w:spacing w:line="480" w:lineRule="auto"/>
        <w:ind w:firstLine="720"/>
        <w:jc w:val="both"/>
        <w:rPr>
          <w:rFonts w:ascii="Century" w:hAnsi="Century"/>
          <w:sz w:val="28"/>
          <w:szCs w:val="28"/>
        </w:rPr>
      </w:pPr>
      <w:r>
        <w:rPr>
          <w:rFonts w:ascii="Century" w:hAnsi="Century"/>
          <w:sz w:val="28"/>
          <w:szCs w:val="28"/>
        </w:rPr>
        <w:t xml:space="preserve">A </w:t>
      </w:r>
      <w:r w:rsidR="00830487">
        <w:rPr>
          <w:rFonts w:ascii="Century" w:hAnsi="Century"/>
          <w:sz w:val="28"/>
          <w:szCs w:val="28"/>
        </w:rPr>
        <w:t xml:space="preserve">competency </w:t>
      </w:r>
      <w:r>
        <w:rPr>
          <w:rFonts w:ascii="Century" w:hAnsi="Century"/>
          <w:sz w:val="28"/>
          <w:szCs w:val="28"/>
        </w:rPr>
        <w:t xml:space="preserve">hearing was held on </w:t>
      </w:r>
      <w:r w:rsidR="009D68F0">
        <w:rPr>
          <w:rFonts w:ascii="Century" w:hAnsi="Century"/>
          <w:sz w:val="28"/>
          <w:szCs w:val="28"/>
        </w:rPr>
        <w:t>21 March 2022</w:t>
      </w:r>
      <w:r w:rsidR="00765811">
        <w:rPr>
          <w:rFonts w:ascii="Century" w:hAnsi="Century"/>
          <w:sz w:val="28"/>
          <w:szCs w:val="28"/>
        </w:rPr>
        <w:t xml:space="preserve">. </w:t>
      </w:r>
      <w:r w:rsidR="00B947C0">
        <w:rPr>
          <w:rFonts w:ascii="Century" w:hAnsi="Century"/>
          <w:sz w:val="28"/>
          <w:szCs w:val="28"/>
        </w:rPr>
        <w:t xml:space="preserve">Dr. </w:t>
      </w:r>
      <w:proofErr w:type="spellStart"/>
      <w:r w:rsidR="00B947C0">
        <w:rPr>
          <w:rFonts w:ascii="Century" w:hAnsi="Century"/>
          <w:sz w:val="28"/>
          <w:szCs w:val="28"/>
        </w:rPr>
        <w:t>Hilkey</w:t>
      </w:r>
      <w:proofErr w:type="spellEnd"/>
      <w:r w:rsidR="00B947C0">
        <w:rPr>
          <w:rFonts w:ascii="Century" w:hAnsi="Century"/>
          <w:sz w:val="28"/>
          <w:szCs w:val="28"/>
        </w:rPr>
        <w:t>, a psychologist with 45 years’ experience,</w:t>
      </w:r>
      <w:r w:rsidR="00C321A9">
        <w:rPr>
          <w:rFonts w:ascii="Century" w:hAnsi="Century"/>
          <w:sz w:val="28"/>
          <w:szCs w:val="28"/>
        </w:rPr>
        <w:t xml:space="preserve"> </w:t>
      </w:r>
      <w:r w:rsidR="00B947C0">
        <w:rPr>
          <w:rFonts w:ascii="Century" w:hAnsi="Century"/>
          <w:sz w:val="28"/>
          <w:szCs w:val="28"/>
        </w:rPr>
        <w:t>was qualified as an expert in forensic psychology</w:t>
      </w:r>
      <w:r w:rsidR="000664F9">
        <w:rPr>
          <w:rFonts w:ascii="Century" w:hAnsi="Century"/>
          <w:sz w:val="28"/>
          <w:szCs w:val="28"/>
        </w:rPr>
        <w:t xml:space="preserve"> and testified for the defense</w:t>
      </w:r>
      <w:r w:rsidR="00B947C0">
        <w:rPr>
          <w:rFonts w:ascii="Century" w:hAnsi="Century"/>
          <w:sz w:val="28"/>
          <w:szCs w:val="28"/>
        </w:rPr>
        <w:t xml:space="preserve">. (T pp 7-11) Dr. </w:t>
      </w:r>
      <w:proofErr w:type="spellStart"/>
      <w:r w:rsidR="00B947C0">
        <w:rPr>
          <w:rFonts w:ascii="Century" w:hAnsi="Century"/>
          <w:sz w:val="28"/>
          <w:szCs w:val="28"/>
        </w:rPr>
        <w:t>Hilkey</w:t>
      </w:r>
      <w:proofErr w:type="spellEnd"/>
      <w:r w:rsidR="00B947C0">
        <w:rPr>
          <w:rFonts w:ascii="Century" w:hAnsi="Century"/>
          <w:sz w:val="28"/>
          <w:szCs w:val="28"/>
        </w:rPr>
        <w:t xml:space="preserve"> </w:t>
      </w:r>
      <w:r w:rsidR="00B95B12">
        <w:rPr>
          <w:rFonts w:ascii="Century" w:hAnsi="Century"/>
          <w:sz w:val="28"/>
          <w:szCs w:val="28"/>
        </w:rPr>
        <w:t xml:space="preserve">had </w:t>
      </w:r>
      <w:r w:rsidR="00B947C0">
        <w:rPr>
          <w:rFonts w:ascii="Century" w:hAnsi="Century"/>
          <w:sz w:val="28"/>
          <w:szCs w:val="28"/>
        </w:rPr>
        <w:t>met with Mr. Bethea on three occasions and reviewed</w:t>
      </w:r>
      <w:r w:rsidR="00784045">
        <w:rPr>
          <w:rFonts w:ascii="Century" w:hAnsi="Century"/>
          <w:sz w:val="28"/>
          <w:szCs w:val="28"/>
        </w:rPr>
        <w:t xml:space="preserve"> thousands of pages of medical records. (T pp 11-12) Dr. </w:t>
      </w:r>
      <w:proofErr w:type="spellStart"/>
      <w:r w:rsidR="00784045">
        <w:rPr>
          <w:rFonts w:ascii="Century" w:hAnsi="Century"/>
          <w:sz w:val="28"/>
          <w:szCs w:val="28"/>
        </w:rPr>
        <w:t>Hilkey</w:t>
      </w:r>
      <w:proofErr w:type="spellEnd"/>
      <w:r w:rsidR="00784045">
        <w:rPr>
          <w:rFonts w:ascii="Century" w:hAnsi="Century"/>
          <w:sz w:val="28"/>
          <w:szCs w:val="28"/>
        </w:rPr>
        <w:t xml:space="preserve"> testified that </w:t>
      </w:r>
      <w:proofErr w:type="gramStart"/>
      <w:r w:rsidR="00784045">
        <w:rPr>
          <w:rFonts w:ascii="Century" w:hAnsi="Century"/>
          <w:sz w:val="28"/>
          <w:szCs w:val="28"/>
        </w:rPr>
        <w:t>as a result of</w:t>
      </w:r>
      <w:proofErr w:type="gramEnd"/>
      <w:r w:rsidR="00784045">
        <w:rPr>
          <w:rFonts w:ascii="Century" w:hAnsi="Century"/>
          <w:sz w:val="28"/>
          <w:szCs w:val="28"/>
        </w:rPr>
        <w:t xml:space="preserve"> his injuries, Mr. Bethea lost a significant amount of blood, was placed on a respirator, and remained unconscious and unresponsive for </w:t>
      </w:r>
      <w:r w:rsidR="00162C70">
        <w:rPr>
          <w:rFonts w:ascii="Century" w:hAnsi="Century"/>
          <w:sz w:val="28"/>
          <w:szCs w:val="28"/>
        </w:rPr>
        <w:t>several</w:t>
      </w:r>
      <w:r w:rsidR="00784045">
        <w:rPr>
          <w:rFonts w:ascii="Century" w:hAnsi="Century"/>
          <w:sz w:val="28"/>
          <w:szCs w:val="28"/>
        </w:rPr>
        <w:t xml:space="preserve"> weeks. Mr. Bethea underwent multiple surgeries and suffered a traumatic brain injury. Dr. </w:t>
      </w:r>
      <w:proofErr w:type="spellStart"/>
      <w:r w:rsidR="00784045">
        <w:rPr>
          <w:rFonts w:ascii="Century" w:hAnsi="Century"/>
          <w:sz w:val="28"/>
          <w:szCs w:val="28"/>
        </w:rPr>
        <w:t>Hilkey</w:t>
      </w:r>
      <w:proofErr w:type="spellEnd"/>
      <w:r w:rsidR="00784045">
        <w:rPr>
          <w:rFonts w:ascii="Century" w:hAnsi="Century"/>
          <w:sz w:val="28"/>
          <w:szCs w:val="28"/>
        </w:rPr>
        <w:t xml:space="preserve"> described Mr. Bethea’s injuries as being among the worst he has seen in conducting thousands of evaluations. (T pp 12-13)</w:t>
      </w:r>
      <w:r w:rsidR="007E747F">
        <w:rPr>
          <w:rFonts w:ascii="Century" w:hAnsi="Century"/>
          <w:sz w:val="28"/>
          <w:szCs w:val="28"/>
        </w:rPr>
        <w:t xml:space="preserve"> </w:t>
      </w:r>
    </w:p>
    <w:p w14:paraId="049F14F1" w14:textId="6254FB6F" w:rsidR="00172D81" w:rsidRDefault="00B51EFA" w:rsidP="00172D81">
      <w:pPr>
        <w:spacing w:line="480" w:lineRule="auto"/>
        <w:ind w:firstLine="720"/>
        <w:jc w:val="both"/>
        <w:rPr>
          <w:rFonts w:ascii="Century" w:hAnsi="Century"/>
          <w:sz w:val="28"/>
          <w:szCs w:val="28"/>
        </w:rPr>
      </w:pPr>
      <w:r>
        <w:rPr>
          <w:rFonts w:ascii="Century" w:hAnsi="Century"/>
          <w:sz w:val="28"/>
          <w:szCs w:val="28"/>
        </w:rPr>
        <w:t>Dr</w:t>
      </w:r>
      <w:r w:rsidR="00222DF7">
        <w:rPr>
          <w:rFonts w:ascii="Century" w:hAnsi="Century"/>
          <w:sz w:val="28"/>
          <w:szCs w:val="28"/>
        </w:rPr>
        <w:t>.</w:t>
      </w:r>
      <w:r>
        <w:rPr>
          <w:rFonts w:ascii="Century" w:hAnsi="Century"/>
          <w:sz w:val="28"/>
          <w:szCs w:val="28"/>
        </w:rPr>
        <w:t xml:space="preserve"> </w:t>
      </w:r>
      <w:proofErr w:type="spellStart"/>
      <w:r>
        <w:rPr>
          <w:rFonts w:ascii="Century" w:hAnsi="Century"/>
          <w:sz w:val="28"/>
          <w:szCs w:val="28"/>
        </w:rPr>
        <w:t>Hilkey</w:t>
      </w:r>
      <w:proofErr w:type="spellEnd"/>
      <w:r>
        <w:rPr>
          <w:rFonts w:ascii="Century" w:hAnsi="Century"/>
          <w:sz w:val="28"/>
          <w:szCs w:val="28"/>
        </w:rPr>
        <w:t xml:space="preserve"> administered various tests</w:t>
      </w:r>
      <w:r w:rsidR="002F0EEB">
        <w:rPr>
          <w:rFonts w:ascii="Century" w:hAnsi="Century"/>
          <w:sz w:val="28"/>
          <w:szCs w:val="28"/>
        </w:rPr>
        <w:t xml:space="preserve"> as part of his examination. Significantly, there was no evidence that Mr. Bethea was malingering his symptoms. (T p 14) </w:t>
      </w:r>
      <w:r w:rsidR="00C460FB">
        <w:rPr>
          <w:rFonts w:ascii="Century" w:hAnsi="Century"/>
          <w:sz w:val="28"/>
          <w:szCs w:val="28"/>
        </w:rPr>
        <w:t>Intelligence t</w:t>
      </w:r>
      <w:r w:rsidR="00674024">
        <w:rPr>
          <w:rFonts w:ascii="Century" w:hAnsi="Century"/>
          <w:sz w:val="28"/>
          <w:szCs w:val="28"/>
        </w:rPr>
        <w:t>esting showed that Mr. Bethea’s IQ is in the borderline range</w:t>
      </w:r>
      <w:r w:rsidR="008A5D2B">
        <w:rPr>
          <w:rFonts w:ascii="Century" w:hAnsi="Century"/>
          <w:sz w:val="28"/>
          <w:szCs w:val="28"/>
        </w:rPr>
        <w:t xml:space="preserve">, lower than 93% of other people. </w:t>
      </w:r>
      <w:r w:rsidR="003722C0">
        <w:rPr>
          <w:rFonts w:ascii="Century" w:hAnsi="Century"/>
          <w:sz w:val="28"/>
          <w:szCs w:val="28"/>
        </w:rPr>
        <w:t xml:space="preserve">His lowest score was in processing speech, a result common in people with brain injuries. </w:t>
      </w:r>
      <w:r w:rsidR="00E122AC">
        <w:rPr>
          <w:rFonts w:ascii="Century" w:hAnsi="Century"/>
          <w:sz w:val="28"/>
          <w:szCs w:val="28"/>
        </w:rPr>
        <w:lastRenderedPageBreak/>
        <w:t>(T</w:t>
      </w:r>
      <w:r w:rsidR="00222DF7">
        <w:rPr>
          <w:rFonts w:ascii="Century" w:hAnsi="Century"/>
          <w:sz w:val="28"/>
          <w:szCs w:val="28"/>
        </w:rPr>
        <w:t xml:space="preserve"> </w:t>
      </w:r>
      <w:r w:rsidR="00E122AC">
        <w:rPr>
          <w:rFonts w:ascii="Century" w:hAnsi="Century"/>
          <w:sz w:val="28"/>
          <w:szCs w:val="28"/>
        </w:rPr>
        <w:t xml:space="preserve">pp 14-16) </w:t>
      </w:r>
      <w:r w:rsidR="00C460FB">
        <w:rPr>
          <w:rFonts w:ascii="Century" w:hAnsi="Century"/>
          <w:sz w:val="28"/>
          <w:szCs w:val="28"/>
        </w:rPr>
        <w:t xml:space="preserve">A </w:t>
      </w:r>
      <w:r w:rsidR="005B639D">
        <w:rPr>
          <w:rFonts w:ascii="Century" w:hAnsi="Century"/>
          <w:sz w:val="28"/>
          <w:szCs w:val="28"/>
        </w:rPr>
        <w:t>neurocognitive</w:t>
      </w:r>
      <w:r w:rsidR="00C460FB">
        <w:rPr>
          <w:rFonts w:ascii="Century" w:hAnsi="Century"/>
          <w:sz w:val="28"/>
          <w:szCs w:val="28"/>
        </w:rPr>
        <w:t xml:space="preserve"> assessment showed </w:t>
      </w:r>
      <w:r w:rsidR="003B6827">
        <w:rPr>
          <w:rFonts w:ascii="Century" w:hAnsi="Century"/>
          <w:sz w:val="28"/>
          <w:szCs w:val="28"/>
        </w:rPr>
        <w:t xml:space="preserve">significant </w:t>
      </w:r>
      <w:r w:rsidR="005B639D">
        <w:rPr>
          <w:rFonts w:ascii="Century" w:hAnsi="Century"/>
          <w:sz w:val="28"/>
          <w:szCs w:val="28"/>
        </w:rPr>
        <w:t xml:space="preserve">impairment to </w:t>
      </w:r>
      <w:r w:rsidR="00B95B12">
        <w:rPr>
          <w:rFonts w:ascii="Century" w:hAnsi="Century"/>
          <w:sz w:val="28"/>
          <w:szCs w:val="28"/>
        </w:rPr>
        <w:t xml:space="preserve">his </w:t>
      </w:r>
      <w:r w:rsidR="005B639D">
        <w:rPr>
          <w:rFonts w:ascii="Century" w:hAnsi="Century"/>
          <w:sz w:val="28"/>
          <w:szCs w:val="28"/>
        </w:rPr>
        <w:t>memory. (T p 16)</w:t>
      </w:r>
      <w:r w:rsidR="00A25FFB">
        <w:rPr>
          <w:rFonts w:ascii="Century" w:hAnsi="Century"/>
          <w:sz w:val="28"/>
          <w:szCs w:val="28"/>
        </w:rPr>
        <w:t xml:space="preserve"> </w:t>
      </w:r>
      <w:r w:rsidR="003B6827">
        <w:rPr>
          <w:rFonts w:ascii="Century" w:hAnsi="Century"/>
          <w:sz w:val="28"/>
          <w:szCs w:val="28"/>
        </w:rPr>
        <w:t>The p</w:t>
      </w:r>
      <w:r w:rsidR="00172D81">
        <w:rPr>
          <w:rFonts w:ascii="Century" w:hAnsi="Century"/>
          <w:sz w:val="28"/>
          <w:szCs w:val="28"/>
        </w:rPr>
        <w:t>otential causes of Mr. Bethea’s intellectual and neurocognitive impairments include swelling of the brain secondary to being shot in the head and oxygen deprivation from significant blood loss. (T pp 25-26)</w:t>
      </w:r>
    </w:p>
    <w:p w14:paraId="77EA2CE6" w14:textId="3FA5DD19" w:rsidR="00AF3255" w:rsidRDefault="00A25FFB" w:rsidP="00F95A5E">
      <w:pPr>
        <w:spacing w:line="480" w:lineRule="auto"/>
        <w:ind w:firstLine="720"/>
        <w:jc w:val="both"/>
        <w:rPr>
          <w:rFonts w:ascii="Century" w:hAnsi="Century"/>
          <w:sz w:val="28"/>
          <w:szCs w:val="28"/>
        </w:rPr>
      </w:pPr>
      <w:r>
        <w:rPr>
          <w:rFonts w:ascii="Century" w:hAnsi="Century"/>
          <w:sz w:val="28"/>
          <w:szCs w:val="28"/>
        </w:rPr>
        <w:t xml:space="preserve">Mr. Bethea had no recollection of the events of 26 May 2018. </w:t>
      </w:r>
      <w:r w:rsidR="00D1312C">
        <w:rPr>
          <w:rFonts w:ascii="Century" w:hAnsi="Century"/>
          <w:sz w:val="28"/>
          <w:szCs w:val="28"/>
        </w:rPr>
        <w:t>He reported waking up in the hospital in Myrtle Beach with no idea how he got there</w:t>
      </w:r>
      <w:r w:rsidR="00AC257C">
        <w:rPr>
          <w:rFonts w:ascii="Century" w:hAnsi="Century"/>
          <w:sz w:val="28"/>
          <w:szCs w:val="28"/>
        </w:rPr>
        <w:t xml:space="preserve">. </w:t>
      </w:r>
      <w:r w:rsidR="00A608B8">
        <w:rPr>
          <w:rFonts w:ascii="Century" w:hAnsi="Century"/>
          <w:sz w:val="28"/>
          <w:szCs w:val="28"/>
        </w:rPr>
        <w:t>Such total memory loss is consistent with the degree of brain injury Mr. Bethea suffered. (T pp</w:t>
      </w:r>
      <w:r w:rsidR="00065848">
        <w:rPr>
          <w:rFonts w:ascii="Century" w:hAnsi="Century"/>
          <w:sz w:val="28"/>
          <w:szCs w:val="28"/>
        </w:rPr>
        <w:t xml:space="preserve"> 16-17) Because Mr. Bethea had no memory of the events surrounding the crime, he was unable to consult with counsel about what happened and what defenses might be appropriate.</w:t>
      </w:r>
      <w:r w:rsidR="00C609EB">
        <w:rPr>
          <w:rFonts w:ascii="Century" w:hAnsi="Century"/>
          <w:sz w:val="28"/>
          <w:szCs w:val="28"/>
        </w:rPr>
        <w:t xml:space="preserve"> (T pp 17-18)</w:t>
      </w:r>
      <w:r w:rsidR="0047360A">
        <w:rPr>
          <w:rFonts w:ascii="Century" w:hAnsi="Century"/>
          <w:sz w:val="28"/>
          <w:szCs w:val="28"/>
        </w:rPr>
        <w:t xml:space="preserve"> </w:t>
      </w:r>
      <w:r w:rsidR="00E42A78">
        <w:rPr>
          <w:rFonts w:ascii="Century" w:hAnsi="Century"/>
          <w:sz w:val="28"/>
          <w:szCs w:val="28"/>
        </w:rPr>
        <w:t xml:space="preserve">He was also unable to provide Dr. </w:t>
      </w:r>
      <w:proofErr w:type="spellStart"/>
      <w:r w:rsidR="00E42A78">
        <w:rPr>
          <w:rFonts w:ascii="Century" w:hAnsi="Century"/>
          <w:sz w:val="28"/>
          <w:szCs w:val="28"/>
        </w:rPr>
        <w:t>Hilkey</w:t>
      </w:r>
      <w:proofErr w:type="spellEnd"/>
      <w:r w:rsidR="00E42A78">
        <w:rPr>
          <w:rFonts w:ascii="Century" w:hAnsi="Century"/>
          <w:sz w:val="28"/>
          <w:szCs w:val="28"/>
        </w:rPr>
        <w:t xml:space="preserve"> with evidence of his mental state at the time of the shooting. (T p</w:t>
      </w:r>
      <w:r w:rsidR="00D11E57">
        <w:rPr>
          <w:rFonts w:ascii="Century" w:hAnsi="Century"/>
          <w:sz w:val="28"/>
          <w:szCs w:val="28"/>
        </w:rPr>
        <w:t xml:space="preserve">p 26-27) </w:t>
      </w:r>
      <w:r w:rsidR="0047360A">
        <w:rPr>
          <w:rFonts w:ascii="Century" w:hAnsi="Century"/>
          <w:sz w:val="28"/>
          <w:szCs w:val="28"/>
        </w:rPr>
        <w:t xml:space="preserve">Dr. </w:t>
      </w:r>
      <w:proofErr w:type="spellStart"/>
      <w:r w:rsidR="0047360A">
        <w:rPr>
          <w:rFonts w:ascii="Century" w:hAnsi="Century"/>
          <w:sz w:val="28"/>
          <w:szCs w:val="28"/>
        </w:rPr>
        <w:t>Hilkey</w:t>
      </w:r>
      <w:proofErr w:type="spellEnd"/>
      <w:r w:rsidR="0047360A">
        <w:rPr>
          <w:rFonts w:ascii="Century" w:hAnsi="Century"/>
          <w:sz w:val="28"/>
          <w:szCs w:val="28"/>
        </w:rPr>
        <w:t xml:space="preserve"> ultimately concluded that Mr. Bethea was not competent to stand trial. (</w:t>
      </w:r>
      <w:r w:rsidR="000F1BFF">
        <w:rPr>
          <w:rFonts w:ascii="Century" w:hAnsi="Century"/>
          <w:sz w:val="28"/>
          <w:szCs w:val="28"/>
        </w:rPr>
        <w:t>Doc. Ex. 6</w:t>
      </w:r>
      <w:r w:rsidR="00D71F49">
        <w:rPr>
          <w:rFonts w:ascii="Century" w:hAnsi="Century"/>
          <w:sz w:val="28"/>
          <w:szCs w:val="28"/>
        </w:rPr>
        <w:t>; T p 18</w:t>
      </w:r>
      <w:r w:rsidR="0047360A">
        <w:rPr>
          <w:rFonts w:ascii="Century" w:hAnsi="Century"/>
          <w:sz w:val="28"/>
          <w:szCs w:val="28"/>
        </w:rPr>
        <w:t>)</w:t>
      </w:r>
    </w:p>
    <w:p w14:paraId="70F15955" w14:textId="0DA4DB89" w:rsidR="00F95A5E" w:rsidRDefault="000664F9" w:rsidP="00F95A5E">
      <w:pPr>
        <w:spacing w:line="480" w:lineRule="auto"/>
        <w:ind w:firstLine="720"/>
        <w:jc w:val="both"/>
        <w:rPr>
          <w:rFonts w:ascii="Century" w:hAnsi="Century"/>
          <w:sz w:val="28"/>
          <w:szCs w:val="28"/>
        </w:rPr>
      </w:pPr>
      <w:r w:rsidRPr="000664F9">
        <w:rPr>
          <w:rFonts w:ascii="Century" w:hAnsi="Century"/>
          <w:sz w:val="28"/>
          <w:szCs w:val="28"/>
        </w:rPr>
        <w:t>The State presented no evidence</w:t>
      </w:r>
      <w:r w:rsidR="003B6827">
        <w:rPr>
          <w:rFonts w:ascii="Century" w:hAnsi="Century"/>
          <w:sz w:val="28"/>
          <w:szCs w:val="28"/>
        </w:rPr>
        <w:t xml:space="preserve"> at the hearing</w:t>
      </w:r>
      <w:r w:rsidRPr="000664F9">
        <w:rPr>
          <w:rFonts w:ascii="Century" w:hAnsi="Century"/>
          <w:sz w:val="28"/>
          <w:szCs w:val="28"/>
        </w:rPr>
        <w:t>.</w:t>
      </w:r>
      <w:r w:rsidR="00F95A5E">
        <w:rPr>
          <w:rFonts w:ascii="Century" w:hAnsi="Century"/>
          <w:sz w:val="28"/>
          <w:szCs w:val="28"/>
        </w:rPr>
        <w:t xml:space="preserve"> The State </w:t>
      </w:r>
      <w:r w:rsidR="000145ED">
        <w:rPr>
          <w:rFonts w:ascii="Century" w:hAnsi="Century"/>
          <w:sz w:val="28"/>
          <w:szCs w:val="28"/>
        </w:rPr>
        <w:t>agreed that Mr. Bethea ha</w:t>
      </w:r>
      <w:r w:rsidR="00222DF7">
        <w:rPr>
          <w:rFonts w:ascii="Century" w:hAnsi="Century"/>
          <w:sz w:val="28"/>
          <w:szCs w:val="28"/>
        </w:rPr>
        <w:t>d</w:t>
      </w:r>
      <w:r w:rsidR="000145ED">
        <w:rPr>
          <w:rFonts w:ascii="Century" w:hAnsi="Century"/>
          <w:sz w:val="28"/>
          <w:szCs w:val="28"/>
        </w:rPr>
        <w:t xml:space="preserve"> some level of </w:t>
      </w:r>
      <w:r w:rsidR="008C4DE7">
        <w:rPr>
          <w:rFonts w:ascii="Century" w:hAnsi="Century"/>
          <w:sz w:val="28"/>
          <w:szCs w:val="28"/>
        </w:rPr>
        <w:t>impairment but</w:t>
      </w:r>
      <w:r w:rsidR="001830D2">
        <w:rPr>
          <w:rFonts w:ascii="Century" w:hAnsi="Century"/>
          <w:sz w:val="28"/>
          <w:szCs w:val="28"/>
        </w:rPr>
        <w:t xml:space="preserve"> argued that </w:t>
      </w:r>
      <w:r w:rsidR="008C4DE7">
        <w:rPr>
          <w:rFonts w:ascii="Century" w:hAnsi="Century"/>
          <w:sz w:val="28"/>
          <w:szCs w:val="28"/>
        </w:rPr>
        <w:t xml:space="preserve">he was not incompetent under </w:t>
      </w:r>
      <w:r w:rsidR="008C4DE7">
        <w:rPr>
          <w:rFonts w:ascii="Century" w:hAnsi="Century"/>
          <w:i/>
          <w:iCs/>
          <w:sz w:val="28"/>
          <w:szCs w:val="28"/>
        </w:rPr>
        <w:t>State v. Willard</w:t>
      </w:r>
      <w:r w:rsidR="008C4DE7">
        <w:rPr>
          <w:rFonts w:ascii="Century" w:hAnsi="Century"/>
          <w:sz w:val="28"/>
          <w:szCs w:val="28"/>
        </w:rPr>
        <w:t xml:space="preserve">, 292 N.C. 567, </w:t>
      </w:r>
      <w:r w:rsidR="0041529B">
        <w:rPr>
          <w:rFonts w:ascii="Century" w:hAnsi="Century"/>
          <w:sz w:val="28"/>
          <w:szCs w:val="28"/>
        </w:rPr>
        <w:t xml:space="preserve">234 </w:t>
      </w:r>
      <w:proofErr w:type="spellStart"/>
      <w:r w:rsidR="0041529B">
        <w:rPr>
          <w:rFonts w:ascii="Century" w:hAnsi="Century"/>
          <w:sz w:val="28"/>
          <w:szCs w:val="28"/>
        </w:rPr>
        <w:t>S.E.2d</w:t>
      </w:r>
      <w:proofErr w:type="spellEnd"/>
      <w:r w:rsidR="0041529B">
        <w:rPr>
          <w:rFonts w:ascii="Century" w:hAnsi="Century"/>
          <w:sz w:val="28"/>
          <w:szCs w:val="28"/>
        </w:rPr>
        <w:t xml:space="preserve"> 587</w:t>
      </w:r>
      <w:r w:rsidR="008C4DE7">
        <w:rPr>
          <w:rFonts w:ascii="Century" w:hAnsi="Century"/>
          <w:sz w:val="28"/>
          <w:szCs w:val="28"/>
        </w:rPr>
        <w:t xml:space="preserve"> (1977).</w:t>
      </w:r>
      <w:r w:rsidR="001830D2">
        <w:rPr>
          <w:rFonts w:ascii="Century" w:hAnsi="Century"/>
          <w:sz w:val="28"/>
          <w:szCs w:val="28"/>
        </w:rPr>
        <w:t xml:space="preserve"> </w:t>
      </w:r>
      <w:r w:rsidR="008C4DE7">
        <w:rPr>
          <w:rFonts w:ascii="Century" w:hAnsi="Century"/>
          <w:sz w:val="28"/>
          <w:szCs w:val="28"/>
        </w:rPr>
        <w:t>(T pp 30-33)</w:t>
      </w:r>
    </w:p>
    <w:p w14:paraId="16A908B7" w14:textId="0824C53A" w:rsidR="002C3392" w:rsidRDefault="00F95A5E" w:rsidP="00E021E0">
      <w:pPr>
        <w:spacing w:line="480" w:lineRule="auto"/>
        <w:ind w:firstLine="720"/>
        <w:jc w:val="both"/>
        <w:rPr>
          <w:rFonts w:ascii="Century" w:hAnsi="Century"/>
          <w:sz w:val="28"/>
          <w:szCs w:val="28"/>
        </w:rPr>
      </w:pPr>
      <w:r>
        <w:rPr>
          <w:rFonts w:ascii="Century" w:hAnsi="Century"/>
          <w:sz w:val="28"/>
          <w:szCs w:val="28"/>
        </w:rPr>
        <w:lastRenderedPageBreak/>
        <w:t xml:space="preserve">The trial court found that Mr. Bethea was competent to stand trial. </w:t>
      </w:r>
      <w:r w:rsidR="00F64FB2">
        <w:rPr>
          <w:rFonts w:ascii="Century" w:hAnsi="Century"/>
          <w:sz w:val="28"/>
          <w:szCs w:val="28"/>
        </w:rPr>
        <w:t>(T p 38)</w:t>
      </w:r>
      <w:r>
        <w:rPr>
          <w:rFonts w:ascii="Century" w:hAnsi="Century"/>
          <w:sz w:val="28"/>
          <w:szCs w:val="28"/>
        </w:rPr>
        <w:t xml:space="preserve"> The trial court did not issue a written </w:t>
      </w:r>
      <w:r w:rsidR="00B53ED7">
        <w:rPr>
          <w:rFonts w:ascii="Century" w:hAnsi="Century"/>
          <w:sz w:val="28"/>
          <w:szCs w:val="28"/>
        </w:rPr>
        <w:t>order but</w:t>
      </w:r>
      <w:r>
        <w:rPr>
          <w:rFonts w:ascii="Century" w:hAnsi="Century"/>
          <w:sz w:val="28"/>
          <w:szCs w:val="28"/>
        </w:rPr>
        <w:t xml:space="preserve"> stated on the record</w:t>
      </w:r>
      <w:r w:rsidR="005E3796">
        <w:rPr>
          <w:rFonts w:ascii="Century" w:hAnsi="Century"/>
          <w:sz w:val="28"/>
          <w:szCs w:val="28"/>
        </w:rPr>
        <w:t xml:space="preserve"> that </w:t>
      </w:r>
      <w:r w:rsidR="003266D1">
        <w:rPr>
          <w:rFonts w:ascii="Century" w:hAnsi="Century"/>
          <w:sz w:val="28"/>
          <w:szCs w:val="28"/>
        </w:rPr>
        <w:t>Mr. Bethea “</w:t>
      </w:r>
      <w:r w:rsidR="003266D1" w:rsidRPr="00AD4C50">
        <w:rPr>
          <w:rFonts w:ascii="Century" w:hAnsi="Century"/>
          <w:sz w:val="28"/>
          <w:szCs w:val="28"/>
        </w:rPr>
        <w:t xml:space="preserve">is capable of assisting in his defense to the extent that he can remember events before and after and can stand trial in accordance with the standards in the North Carolina Constitution and General Statute </w:t>
      </w:r>
      <w:proofErr w:type="spellStart"/>
      <w:r w:rsidR="003266D1" w:rsidRPr="00AD4C50">
        <w:rPr>
          <w:rFonts w:ascii="Century" w:hAnsi="Century"/>
          <w:sz w:val="28"/>
          <w:szCs w:val="28"/>
        </w:rPr>
        <w:t>15A</w:t>
      </w:r>
      <w:proofErr w:type="spellEnd"/>
      <w:r w:rsidR="003266D1" w:rsidRPr="00AD4C50">
        <w:rPr>
          <w:rFonts w:ascii="Century" w:hAnsi="Century"/>
          <w:sz w:val="28"/>
          <w:szCs w:val="28"/>
        </w:rPr>
        <w:t>-1001(a)</w:t>
      </w:r>
      <w:r w:rsidR="00D8219C">
        <w:rPr>
          <w:rFonts w:ascii="Century" w:hAnsi="Century"/>
          <w:sz w:val="28"/>
          <w:szCs w:val="28"/>
        </w:rPr>
        <w:t>,</w:t>
      </w:r>
      <w:r w:rsidR="003266D1" w:rsidRPr="00AD4C50">
        <w:rPr>
          <w:rFonts w:ascii="Century" w:hAnsi="Century"/>
          <w:sz w:val="28"/>
          <w:szCs w:val="28"/>
        </w:rPr>
        <w:t xml:space="preserve"> as amended</w:t>
      </w:r>
      <w:r w:rsidR="003266D1">
        <w:rPr>
          <w:rFonts w:ascii="Century" w:hAnsi="Century"/>
          <w:sz w:val="28"/>
          <w:szCs w:val="28"/>
        </w:rPr>
        <w:t>.” (</w:t>
      </w:r>
      <w:r w:rsidR="00E021E0">
        <w:rPr>
          <w:rFonts w:ascii="Century" w:hAnsi="Century"/>
          <w:i/>
          <w:iCs/>
          <w:sz w:val="28"/>
          <w:szCs w:val="28"/>
        </w:rPr>
        <w:t>Id</w:t>
      </w:r>
      <w:r w:rsidR="00E021E0">
        <w:rPr>
          <w:rFonts w:ascii="Century" w:hAnsi="Century"/>
          <w:sz w:val="28"/>
          <w:szCs w:val="28"/>
        </w:rPr>
        <w:t>.</w:t>
      </w:r>
      <w:r w:rsidR="003266D1">
        <w:rPr>
          <w:rFonts w:ascii="Century" w:hAnsi="Century"/>
          <w:sz w:val="28"/>
          <w:szCs w:val="28"/>
        </w:rPr>
        <w:t>)</w:t>
      </w:r>
      <w:r w:rsidR="00E021E0">
        <w:rPr>
          <w:rFonts w:ascii="Century" w:hAnsi="Century"/>
          <w:sz w:val="28"/>
          <w:szCs w:val="28"/>
        </w:rPr>
        <w:t xml:space="preserve"> </w:t>
      </w:r>
      <w:r w:rsidR="003E38FC">
        <w:rPr>
          <w:rFonts w:ascii="Century" w:hAnsi="Century"/>
          <w:sz w:val="28"/>
          <w:szCs w:val="28"/>
        </w:rPr>
        <w:t xml:space="preserve">The court referred to two cases, </w:t>
      </w:r>
      <w:r w:rsidR="003E38FC" w:rsidRPr="008C3296">
        <w:rPr>
          <w:rFonts w:ascii="Century" w:hAnsi="Century"/>
          <w:i/>
          <w:iCs/>
          <w:sz w:val="28"/>
          <w:szCs w:val="28"/>
        </w:rPr>
        <w:t>State v. Willard</w:t>
      </w:r>
      <w:r w:rsidR="003E38FC">
        <w:rPr>
          <w:rFonts w:ascii="Century" w:hAnsi="Century"/>
          <w:sz w:val="28"/>
          <w:szCs w:val="28"/>
        </w:rPr>
        <w:t xml:space="preserve">, and </w:t>
      </w:r>
      <w:r w:rsidR="003E38FC" w:rsidRPr="008C3296">
        <w:rPr>
          <w:rFonts w:ascii="Century" w:hAnsi="Century"/>
          <w:i/>
          <w:iCs/>
          <w:sz w:val="28"/>
          <w:szCs w:val="28"/>
        </w:rPr>
        <w:t>State v. Avery</w:t>
      </w:r>
      <w:r w:rsidR="003E38FC">
        <w:rPr>
          <w:rFonts w:ascii="Century" w:hAnsi="Century"/>
          <w:sz w:val="28"/>
          <w:szCs w:val="28"/>
        </w:rPr>
        <w:t xml:space="preserve">, </w:t>
      </w:r>
      <w:r w:rsidR="008C3296">
        <w:rPr>
          <w:rFonts w:ascii="Century" w:hAnsi="Century"/>
          <w:sz w:val="28"/>
          <w:szCs w:val="28"/>
        </w:rPr>
        <w:t xml:space="preserve">315 N.C. 1, 337 </w:t>
      </w:r>
      <w:proofErr w:type="spellStart"/>
      <w:r w:rsidR="008C3296">
        <w:rPr>
          <w:rFonts w:ascii="Century" w:hAnsi="Century"/>
          <w:sz w:val="28"/>
          <w:szCs w:val="28"/>
        </w:rPr>
        <w:t>S.E.2d</w:t>
      </w:r>
      <w:proofErr w:type="spellEnd"/>
      <w:r w:rsidR="008C3296">
        <w:rPr>
          <w:rFonts w:ascii="Century" w:hAnsi="Century"/>
          <w:sz w:val="28"/>
          <w:szCs w:val="28"/>
        </w:rPr>
        <w:t xml:space="preserve"> 786 (1985)</w:t>
      </w:r>
      <w:r w:rsidR="003E38FC">
        <w:rPr>
          <w:rFonts w:ascii="Century" w:hAnsi="Century"/>
          <w:sz w:val="28"/>
          <w:szCs w:val="28"/>
        </w:rPr>
        <w:t>.</w:t>
      </w:r>
      <w:r w:rsidR="00BA182B">
        <w:rPr>
          <w:rFonts w:ascii="Century" w:hAnsi="Century"/>
          <w:sz w:val="28"/>
          <w:szCs w:val="28"/>
        </w:rPr>
        <w:t xml:space="preserve"> </w:t>
      </w:r>
      <w:r w:rsidR="00EC677B">
        <w:rPr>
          <w:rFonts w:ascii="Century" w:hAnsi="Century"/>
          <w:sz w:val="28"/>
          <w:szCs w:val="28"/>
        </w:rPr>
        <w:t>(T pp 36-38)</w:t>
      </w:r>
    </w:p>
    <w:p w14:paraId="22FEE2A3" w14:textId="77777777" w:rsidR="005A567F" w:rsidRDefault="002C3392" w:rsidP="005A567F">
      <w:pPr>
        <w:spacing w:line="480" w:lineRule="auto"/>
        <w:ind w:firstLine="720"/>
        <w:jc w:val="both"/>
        <w:rPr>
          <w:rFonts w:ascii="Century" w:hAnsi="Century"/>
          <w:sz w:val="28"/>
          <w:szCs w:val="28"/>
        </w:rPr>
      </w:pPr>
      <w:r>
        <w:rPr>
          <w:rFonts w:ascii="Century" w:hAnsi="Century"/>
          <w:sz w:val="28"/>
          <w:szCs w:val="28"/>
        </w:rPr>
        <w:t xml:space="preserve">During the subsequent trial, the State presented </w:t>
      </w:r>
      <w:r w:rsidR="00826900">
        <w:rPr>
          <w:rFonts w:ascii="Century" w:hAnsi="Century"/>
          <w:sz w:val="28"/>
          <w:szCs w:val="28"/>
        </w:rPr>
        <w:t xml:space="preserve">nine </w:t>
      </w:r>
      <w:r>
        <w:rPr>
          <w:rFonts w:ascii="Century" w:hAnsi="Century"/>
          <w:sz w:val="28"/>
          <w:szCs w:val="28"/>
        </w:rPr>
        <w:t xml:space="preserve">witnesses in support of its case. </w:t>
      </w:r>
      <w:r w:rsidR="00314A89">
        <w:rPr>
          <w:rFonts w:ascii="Century" w:hAnsi="Century"/>
          <w:sz w:val="28"/>
          <w:szCs w:val="28"/>
        </w:rPr>
        <w:t xml:space="preserve">(T pp </w:t>
      </w:r>
      <w:r w:rsidR="00B80493">
        <w:rPr>
          <w:rFonts w:ascii="Century" w:hAnsi="Century"/>
          <w:sz w:val="28"/>
          <w:szCs w:val="28"/>
        </w:rPr>
        <w:t>360</w:t>
      </w:r>
      <w:r w:rsidR="00314A89">
        <w:rPr>
          <w:rFonts w:ascii="Century" w:hAnsi="Century"/>
          <w:sz w:val="28"/>
          <w:szCs w:val="28"/>
        </w:rPr>
        <w:t>-721)</w:t>
      </w:r>
      <w:r>
        <w:rPr>
          <w:rFonts w:ascii="Century" w:hAnsi="Century"/>
          <w:sz w:val="28"/>
          <w:szCs w:val="28"/>
        </w:rPr>
        <w:t xml:space="preserve"> Mr. Bethea’s counsel did not present any defense. </w:t>
      </w:r>
      <w:r w:rsidR="00AB6E8A">
        <w:rPr>
          <w:rFonts w:ascii="Century" w:hAnsi="Century"/>
          <w:sz w:val="28"/>
          <w:szCs w:val="28"/>
        </w:rPr>
        <w:t>(T p 733)</w:t>
      </w:r>
      <w:r>
        <w:rPr>
          <w:rFonts w:ascii="Century" w:hAnsi="Century"/>
          <w:sz w:val="28"/>
          <w:szCs w:val="28"/>
        </w:rPr>
        <w:t xml:space="preserve"> T</w:t>
      </w:r>
      <w:r w:rsidRPr="000C0E3B">
        <w:rPr>
          <w:rFonts w:ascii="Century" w:hAnsi="Century"/>
          <w:sz w:val="28"/>
          <w:szCs w:val="28"/>
        </w:rPr>
        <w:t xml:space="preserve">he jury found Mr. Bethea guilty of </w:t>
      </w:r>
      <w:r>
        <w:rPr>
          <w:rFonts w:ascii="Century" w:hAnsi="Century"/>
          <w:sz w:val="28"/>
          <w:szCs w:val="28"/>
        </w:rPr>
        <w:t xml:space="preserve">all </w:t>
      </w:r>
      <w:r w:rsidRPr="000C0E3B">
        <w:rPr>
          <w:rFonts w:ascii="Century" w:hAnsi="Century"/>
          <w:sz w:val="28"/>
          <w:szCs w:val="28"/>
        </w:rPr>
        <w:t>charges</w:t>
      </w:r>
      <w:r>
        <w:rPr>
          <w:rFonts w:ascii="Century" w:hAnsi="Century"/>
          <w:sz w:val="28"/>
          <w:szCs w:val="28"/>
        </w:rPr>
        <w:t xml:space="preserve"> except </w:t>
      </w:r>
      <w:r w:rsidRPr="000C0E3B">
        <w:rPr>
          <w:rFonts w:ascii="Century" w:hAnsi="Century"/>
          <w:sz w:val="28"/>
          <w:szCs w:val="28"/>
        </w:rPr>
        <w:t>discharging a weapon into occupied property.  (R pp 59-63; T pp 855-56)</w:t>
      </w:r>
    </w:p>
    <w:p w14:paraId="432BB945" w14:textId="47C6C422" w:rsidR="00844267" w:rsidRPr="00D8219C" w:rsidRDefault="00844267" w:rsidP="00D8219C">
      <w:pPr>
        <w:spacing w:line="480" w:lineRule="auto"/>
        <w:jc w:val="both"/>
        <w:rPr>
          <w:rFonts w:ascii="Century" w:hAnsi="Century"/>
          <w:sz w:val="28"/>
          <w:szCs w:val="28"/>
        </w:rPr>
      </w:pPr>
      <w:r w:rsidRPr="00844267">
        <w:rPr>
          <w:rFonts w:ascii="Century" w:hAnsi="Century"/>
          <w:b/>
          <w:bCs/>
          <w:sz w:val="28"/>
          <w:szCs w:val="28"/>
          <w:u w:val="single"/>
        </w:rPr>
        <w:t>Sentencing</w:t>
      </w:r>
    </w:p>
    <w:p w14:paraId="0777AF31" w14:textId="3E713AF2" w:rsidR="002C55E4" w:rsidRPr="00D8219C" w:rsidRDefault="00844267" w:rsidP="00D8219C">
      <w:pPr>
        <w:pStyle w:val="BodyTextIndent"/>
        <w:jc w:val="both"/>
        <w:rPr>
          <w:rFonts w:ascii="Century" w:hAnsi="Century"/>
          <w:color w:val="000000"/>
          <w:sz w:val="28"/>
          <w:szCs w:val="28"/>
        </w:rPr>
      </w:pPr>
      <w:r w:rsidRPr="00831DE2">
        <w:rPr>
          <w:rFonts w:ascii="Century" w:hAnsi="Century"/>
          <w:color w:val="000000"/>
          <w:sz w:val="28"/>
          <w:szCs w:val="28"/>
        </w:rPr>
        <w:t xml:space="preserve">What happened on 26 May 2018 was extremely out of character for Mr. Bethea. </w:t>
      </w:r>
      <w:r>
        <w:rPr>
          <w:rFonts w:ascii="Century" w:hAnsi="Century"/>
          <w:color w:val="000000"/>
          <w:sz w:val="28"/>
          <w:szCs w:val="28"/>
        </w:rPr>
        <w:t xml:space="preserve">During the sentencing proceeding, Mr. Bethea’s brother </w:t>
      </w:r>
      <w:proofErr w:type="spellStart"/>
      <w:r>
        <w:rPr>
          <w:rFonts w:ascii="Century" w:hAnsi="Century"/>
          <w:color w:val="000000"/>
          <w:sz w:val="28"/>
          <w:szCs w:val="28"/>
        </w:rPr>
        <w:t>Tadarius</w:t>
      </w:r>
      <w:proofErr w:type="spellEnd"/>
      <w:r>
        <w:rPr>
          <w:rFonts w:ascii="Century" w:hAnsi="Century"/>
          <w:color w:val="000000"/>
          <w:sz w:val="28"/>
          <w:szCs w:val="28"/>
        </w:rPr>
        <w:t xml:space="preserve">, a military police officer, told the Court that Mr. Bethea supported him and was happy about his career in law enforcement. </w:t>
      </w:r>
      <w:proofErr w:type="spellStart"/>
      <w:r>
        <w:rPr>
          <w:rFonts w:ascii="Century" w:hAnsi="Century"/>
          <w:color w:val="000000"/>
          <w:sz w:val="28"/>
          <w:szCs w:val="28"/>
        </w:rPr>
        <w:t>Tadarius</w:t>
      </w:r>
      <w:proofErr w:type="spellEnd"/>
      <w:r>
        <w:rPr>
          <w:rFonts w:ascii="Century" w:hAnsi="Century"/>
          <w:color w:val="000000"/>
          <w:sz w:val="28"/>
          <w:szCs w:val="28"/>
        </w:rPr>
        <w:t xml:space="preserve"> further stated that Mr. Bethea had been a role model for him </w:t>
      </w:r>
      <w:r>
        <w:rPr>
          <w:rFonts w:ascii="Century" w:hAnsi="Century"/>
          <w:color w:val="000000"/>
          <w:sz w:val="28"/>
          <w:szCs w:val="28"/>
        </w:rPr>
        <w:lastRenderedPageBreak/>
        <w:t xml:space="preserve">and that they had both hoped to work their way out of the bad neighborhood in which they were raised. (T pp 892-95) Wanda Reed, Mr. Bethea’s grandmother, raised Desmond and </w:t>
      </w:r>
      <w:proofErr w:type="spellStart"/>
      <w:r>
        <w:rPr>
          <w:rFonts w:ascii="Century" w:hAnsi="Century"/>
          <w:color w:val="000000"/>
          <w:sz w:val="28"/>
          <w:szCs w:val="28"/>
        </w:rPr>
        <w:t>Tadarius</w:t>
      </w:r>
      <w:proofErr w:type="spellEnd"/>
      <w:r>
        <w:rPr>
          <w:rFonts w:ascii="Century" w:hAnsi="Century"/>
          <w:color w:val="000000"/>
          <w:sz w:val="28"/>
          <w:szCs w:val="28"/>
        </w:rPr>
        <w:t>. She told the trial court that Mr. Bethea was a quiet, respectful, church-going child, looked up to by his peers. She presented the court with letters of reference from members of the community. Mr. Bethea repeatedly expressed his remorse about what occurred. (T pp 896-904)</w:t>
      </w:r>
      <w:r w:rsidR="005A33FA">
        <w:rPr>
          <w:rFonts w:ascii="Century" w:hAnsi="Century"/>
          <w:color w:val="000000"/>
          <w:sz w:val="28"/>
          <w:szCs w:val="28"/>
        </w:rPr>
        <w:t xml:space="preserve"> The trial court </w:t>
      </w:r>
      <w:r w:rsidR="005A33FA" w:rsidRPr="00653823">
        <w:rPr>
          <w:rFonts w:ascii="Century" w:hAnsi="Century"/>
          <w:sz w:val="28"/>
          <w:szCs w:val="28"/>
        </w:rPr>
        <w:t xml:space="preserve">sentenced </w:t>
      </w:r>
      <w:proofErr w:type="spellStart"/>
      <w:r w:rsidR="005A33FA">
        <w:rPr>
          <w:rFonts w:ascii="Century" w:hAnsi="Century"/>
          <w:sz w:val="28"/>
          <w:szCs w:val="28"/>
        </w:rPr>
        <w:t>Mr</w:t>
      </w:r>
      <w:proofErr w:type="spellEnd"/>
      <w:r w:rsidR="005A33FA">
        <w:rPr>
          <w:rFonts w:ascii="Century" w:hAnsi="Century"/>
          <w:sz w:val="28"/>
          <w:szCs w:val="28"/>
        </w:rPr>
        <w:t xml:space="preserve">, Bethea </w:t>
      </w:r>
      <w:r w:rsidR="005A33FA" w:rsidRPr="00CE1828">
        <w:rPr>
          <w:rFonts w:ascii="Century" w:hAnsi="Century"/>
          <w:sz w:val="28"/>
          <w:szCs w:val="28"/>
        </w:rPr>
        <w:t>to a total of 520</w:t>
      </w:r>
      <w:r w:rsidR="005A33FA">
        <w:rPr>
          <w:rFonts w:ascii="Century" w:hAnsi="Century"/>
          <w:sz w:val="28"/>
          <w:szCs w:val="28"/>
        </w:rPr>
        <w:t>–</w:t>
      </w:r>
      <w:r w:rsidR="005A33FA" w:rsidRPr="00CE1828">
        <w:rPr>
          <w:rFonts w:ascii="Century" w:hAnsi="Century"/>
          <w:sz w:val="28"/>
          <w:szCs w:val="28"/>
        </w:rPr>
        <w:t>672 months</w:t>
      </w:r>
      <w:r w:rsidR="005A33FA">
        <w:rPr>
          <w:rFonts w:ascii="Century" w:hAnsi="Century"/>
          <w:sz w:val="28"/>
          <w:szCs w:val="28"/>
        </w:rPr>
        <w:t xml:space="preserve"> </w:t>
      </w:r>
      <w:r w:rsidR="005A33FA" w:rsidRPr="00CE1828">
        <w:rPr>
          <w:rFonts w:ascii="Century" w:hAnsi="Century"/>
          <w:sz w:val="28"/>
          <w:szCs w:val="28"/>
        </w:rPr>
        <w:t>imprisonment. (R pp 66-76; T pp 908-09)</w:t>
      </w:r>
    </w:p>
    <w:p w14:paraId="2EB82264" w14:textId="42992044" w:rsidR="00A253C1" w:rsidRPr="006428F0" w:rsidRDefault="00E03B9C">
      <w:pPr>
        <w:pStyle w:val="BodyTextIndent"/>
        <w:ind w:firstLine="0"/>
        <w:jc w:val="center"/>
        <w:rPr>
          <w:rFonts w:ascii="Century" w:hAnsi="Century"/>
          <w:b/>
          <w:bCs/>
          <w:sz w:val="28"/>
          <w:szCs w:val="28"/>
          <w:u w:val="single"/>
        </w:rPr>
      </w:pPr>
      <w:r w:rsidRPr="006428F0">
        <w:rPr>
          <w:rFonts w:ascii="Century" w:hAnsi="Century"/>
          <w:b/>
          <w:bCs/>
          <w:sz w:val="28"/>
          <w:szCs w:val="28"/>
          <w:u w:val="single"/>
        </w:rPr>
        <w:t>ARGUMENT</w:t>
      </w:r>
    </w:p>
    <w:p w14:paraId="2EB82265" w14:textId="45BAE4E2" w:rsidR="00A253C1" w:rsidRPr="00457A84" w:rsidRDefault="00E03B9C">
      <w:pPr>
        <w:pStyle w:val="BodyTextIndent"/>
        <w:spacing w:line="240" w:lineRule="auto"/>
        <w:ind w:left="720" w:hanging="720"/>
        <w:jc w:val="both"/>
        <w:rPr>
          <w:rFonts w:ascii="Century" w:hAnsi="Century"/>
          <w:b/>
          <w:color w:val="000000"/>
          <w:sz w:val="28"/>
          <w:szCs w:val="28"/>
        </w:rPr>
      </w:pPr>
      <w:r w:rsidRPr="00457A84">
        <w:rPr>
          <w:rFonts w:ascii="Century" w:hAnsi="Century"/>
          <w:b/>
          <w:sz w:val="28"/>
          <w:szCs w:val="28"/>
        </w:rPr>
        <w:t>I.</w:t>
      </w:r>
      <w:r w:rsidRPr="00457A84">
        <w:rPr>
          <w:rFonts w:ascii="Century" w:hAnsi="Century"/>
          <w:b/>
          <w:color w:val="000000"/>
          <w:sz w:val="28"/>
          <w:szCs w:val="28"/>
        </w:rPr>
        <w:tab/>
      </w:r>
      <w:r w:rsidR="00807DC9" w:rsidRPr="00AF1F83">
        <w:rPr>
          <w:rFonts w:ascii="Century" w:hAnsi="Century"/>
          <w:b/>
          <w:color w:val="000000"/>
          <w:sz w:val="28"/>
          <w:szCs w:val="28"/>
        </w:rPr>
        <w:t xml:space="preserve">THE TRIAL COURT ABUSED ITS DISCRETION IN FINDING MR. BETHEA COMPETENT TO STAND TRIAL </w:t>
      </w:r>
      <w:r w:rsidR="00AF1F83" w:rsidRPr="00AF1F83">
        <w:rPr>
          <w:rFonts w:ascii="Century" w:hAnsi="Century"/>
          <w:b/>
          <w:color w:val="000000"/>
          <w:sz w:val="28"/>
          <w:szCs w:val="28"/>
        </w:rPr>
        <w:t xml:space="preserve">WHERE THE </w:t>
      </w:r>
      <w:r w:rsidR="008B264A">
        <w:rPr>
          <w:rFonts w:ascii="Century" w:hAnsi="Century"/>
          <w:b/>
          <w:color w:val="000000"/>
          <w:sz w:val="28"/>
          <w:szCs w:val="28"/>
        </w:rPr>
        <w:t xml:space="preserve">UNDISPUTED </w:t>
      </w:r>
      <w:r w:rsidR="00AF1F83" w:rsidRPr="00AF1F83">
        <w:rPr>
          <w:rFonts w:ascii="Century" w:hAnsi="Century"/>
          <w:b/>
          <w:color w:val="000000"/>
          <w:sz w:val="28"/>
          <w:szCs w:val="28"/>
        </w:rPr>
        <w:t xml:space="preserve">EVIDENCE </w:t>
      </w:r>
      <w:r w:rsidR="008B264A">
        <w:rPr>
          <w:rFonts w:ascii="Century" w:hAnsi="Century"/>
          <w:b/>
          <w:color w:val="000000"/>
          <w:sz w:val="28"/>
          <w:szCs w:val="28"/>
        </w:rPr>
        <w:t>SHOWED</w:t>
      </w:r>
      <w:r w:rsidR="00AF1F83" w:rsidRPr="00AF1F83">
        <w:rPr>
          <w:rFonts w:ascii="Century" w:hAnsi="Century"/>
          <w:b/>
          <w:color w:val="000000"/>
          <w:sz w:val="28"/>
          <w:szCs w:val="28"/>
        </w:rPr>
        <w:t xml:space="preserve"> HE WAS </w:t>
      </w:r>
      <w:r w:rsidR="00AF1F83">
        <w:rPr>
          <w:rFonts w:ascii="Century" w:hAnsi="Century"/>
          <w:b/>
          <w:color w:val="000000"/>
          <w:sz w:val="28"/>
          <w:szCs w:val="28"/>
        </w:rPr>
        <w:t>UNABLE TO ASSIST IN HIS DEFENSE</w:t>
      </w:r>
      <w:r w:rsidR="00AF1F83" w:rsidRPr="00AF1F83">
        <w:rPr>
          <w:rFonts w:ascii="Century" w:hAnsi="Century"/>
          <w:b/>
          <w:color w:val="000000"/>
          <w:sz w:val="28"/>
          <w:szCs w:val="28"/>
        </w:rPr>
        <w:t xml:space="preserve"> DUE TO A TOTAL LACK OF MEMORY ABOUT THE DAYS SURROUNDING THE INCIDENT</w:t>
      </w:r>
      <w:r w:rsidR="004F3EE9" w:rsidRPr="00AF1F83">
        <w:rPr>
          <w:rFonts w:ascii="Century" w:hAnsi="Century"/>
          <w:b/>
          <w:color w:val="000000"/>
          <w:sz w:val="28"/>
          <w:szCs w:val="28"/>
        </w:rPr>
        <w:t>.</w:t>
      </w:r>
    </w:p>
    <w:p w14:paraId="2EB82266" w14:textId="77777777" w:rsidR="00A253C1" w:rsidRPr="006428F0" w:rsidRDefault="00A253C1">
      <w:pPr>
        <w:pStyle w:val="BodyTextIndent"/>
        <w:spacing w:line="240" w:lineRule="auto"/>
        <w:ind w:left="720" w:firstLine="0"/>
        <w:jc w:val="both"/>
        <w:rPr>
          <w:rFonts w:ascii="Century" w:hAnsi="Century"/>
          <w:i/>
          <w:iCs/>
          <w:sz w:val="28"/>
          <w:szCs w:val="28"/>
          <w:highlight w:val="yellow"/>
        </w:rPr>
      </w:pPr>
    </w:p>
    <w:p w14:paraId="1A83FC63" w14:textId="7E635E5C" w:rsidR="00474586" w:rsidRPr="00E9162D" w:rsidRDefault="00E03B9C" w:rsidP="00E9162D">
      <w:pPr>
        <w:pStyle w:val="BodyTextIndent"/>
        <w:numPr>
          <w:ilvl w:val="0"/>
          <w:numId w:val="3"/>
        </w:numPr>
        <w:jc w:val="both"/>
        <w:rPr>
          <w:rFonts w:ascii="Century" w:hAnsi="Century"/>
          <w:b/>
          <w:bCs/>
          <w:sz w:val="28"/>
          <w:szCs w:val="28"/>
          <w:u w:val="single"/>
        </w:rPr>
      </w:pPr>
      <w:r w:rsidRPr="006428F0">
        <w:rPr>
          <w:rFonts w:ascii="Century" w:hAnsi="Century"/>
          <w:b/>
          <w:bCs/>
          <w:sz w:val="28"/>
          <w:szCs w:val="28"/>
          <w:u w:val="single"/>
        </w:rPr>
        <w:t>Standard of Review</w:t>
      </w:r>
      <w:r w:rsidR="00046E7F">
        <w:rPr>
          <w:rFonts w:ascii="Century" w:hAnsi="Century"/>
          <w:b/>
          <w:bCs/>
          <w:sz w:val="28"/>
          <w:szCs w:val="28"/>
          <w:u w:val="single"/>
        </w:rPr>
        <w:t xml:space="preserve"> </w:t>
      </w:r>
    </w:p>
    <w:p w14:paraId="3F7ED898" w14:textId="77777777" w:rsidR="005A567F" w:rsidRDefault="00D17FF4" w:rsidP="005A567F">
      <w:pPr>
        <w:pStyle w:val="BodyTextIndent"/>
        <w:jc w:val="both"/>
        <w:rPr>
          <w:rFonts w:ascii="Century" w:hAnsi="Century"/>
          <w:sz w:val="32"/>
          <w:szCs w:val="32"/>
          <w:u w:val="single"/>
        </w:rPr>
      </w:pPr>
      <w:r w:rsidRPr="00340492">
        <w:rPr>
          <w:rFonts w:ascii="Century" w:hAnsi="Century"/>
          <w:color w:val="000000"/>
          <w:sz w:val="28"/>
          <w:szCs w:val="28"/>
        </w:rPr>
        <w:t>“When the </w:t>
      </w:r>
      <w:r w:rsidRPr="00340492">
        <w:rPr>
          <w:rStyle w:val="sssh"/>
          <w:rFonts w:ascii="Century" w:hAnsi="Century"/>
          <w:color w:val="000000"/>
          <w:sz w:val="28"/>
          <w:szCs w:val="28"/>
          <w:bdr w:val="none" w:sz="0" w:space="0" w:color="auto" w:frame="1"/>
        </w:rPr>
        <w:t>trial</w:t>
      </w:r>
      <w:r w:rsidRPr="00340492">
        <w:rPr>
          <w:rFonts w:ascii="Century" w:hAnsi="Century"/>
          <w:color w:val="000000"/>
          <w:sz w:val="28"/>
          <w:szCs w:val="28"/>
        </w:rPr>
        <w:t> court, without a jury, determines a defendant</w:t>
      </w:r>
      <w:r w:rsidR="008B264A">
        <w:rPr>
          <w:rFonts w:ascii="Century" w:hAnsi="Century"/>
          <w:color w:val="000000"/>
          <w:sz w:val="28"/>
          <w:szCs w:val="28"/>
        </w:rPr>
        <w:t>’</w:t>
      </w:r>
      <w:r w:rsidRPr="00340492">
        <w:rPr>
          <w:rFonts w:ascii="Century" w:hAnsi="Century"/>
          <w:color w:val="000000"/>
          <w:sz w:val="28"/>
          <w:szCs w:val="28"/>
        </w:rPr>
        <w:t>s capacity to proceed to </w:t>
      </w:r>
      <w:r w:rsidRPr="00340492">
        <w:rPr>
          <w:rStyle w:val="sssh"/>
          <w:rFonts w:ascii="Century" w:hAnsi="Century"/>
          <w:color w:val="000000"/>
          <w:sz w:val="28"/>
          <w:szCs w:val="28"/>
          <w:bdr w:val="none" w:sz="0" w:space="0" w:color="auto" w:frame="1"/>
        </w:rPr>
        <w:t>trial</w:t>
      </w:r>
      <w:r w:rsidRPr="00340492">
        <w:rPr>
          <w:rFonts w:ascii="Century" w:hAnsi="Century"/>
          <w:color w:val="000000"/>
          <w:sz w:val="28"/>
          <w:szCs w:val="28"/>
        </w:rPr>
        <w:t>, it is the court</w:t>
      </w:r>
      <w:r w:rsidR="008B264A">
        <w:rPr>
          <w:rFonts w:ascii="Century" w:hAnsi="Century"/>
          <w:color w:val="000000"/>
          <w:sz w:val="28"/>
          <w:szCs w:val="28"/>
        </w:rPr>
        <w:t>’</w:t>
      </w:r>
      <w:r w:rsidRPr="00340492">
        <w:rPr>
          <w:rFonts w:ascii="Century" w:hAnsi="Century"/>
          <w:color w:val="000000"/>
          <w:sz w:val="28"/>
          <w:szCs w:val="28"/>
        </w:rPr>
        <w:t>s duty to resolve conflicts in the evidence.”</w:t>
      </w:r>
      <w:r w:rsidR="00BC04D4">
        <w:rPr>
          <w:rFonts w:ascii="Century" w:hAnsi="Century"/>
          <w:color w:val="000000"/>
          <w:sz w:val="28"/>
          <w:szCs w:val="28"/>
        </w:rPr>
        <w:t xml:space="preserve"> </w:t>
      </w:r>
      <w:r w:rsidR="00BC04D4">
        <w:rPr>
          <w:rFonts w:ascii="Century" w:hAnsi="Century"/>
          <w:i/>
          <w:iCs/>
          <w:color w:val="000000"/>
          <w:sz w:val="28"/>
          <w:szCs w:val="28"/>
        </w:rPr>
        <w:t xml:space="preserve">State v. </w:t>
      </w:r>
      <w:proofErr w:type="spellStart"/>
      <w:r w:rsidR="00BC04D4">
        <w:rPr>
          <w:rFonts w:ascii="Century" w:hAnsi="Century"/>
          <w:i/>
          <w:iCs/>
          <w:color w:val="000000"/>
          <w:sz w:val="28"/>
          <w:szCs w:val="28"/>
        </w:rPr>
        <w:t>Hepinstall</w:t>
      </w:r>
      <w:proofErr w:type="spellEnd"/>
      <w:r w:rsidR="00BC04D4">
        <w:rPr>
          <w:rFonts w:ascii="Century" w:hAnsi="Century"/>
          <w:color w:val="000000"/>
          <w:sz w:val="28"/>
          <w:szCs w:val="28"/>
        </w:rPr>
        <w:t xml:space="preserve">, </w:t>
      </w:r>
      <w:r w:rsidR="00BC04D4" w:rsidRPr="00A93D86">
        <w:rPr>
          <w:rFonts w:ascii="Century" w:hAnsi="Century"/>
          <w:sz w:val="28"/>
          <w:szCs w:val="28"/>
        </w:rPr>
        <w:t>309 N.C. 231, 23</w:t>
      </w:r>
      <w:r w:rsidR="00BE1C10">
        <w:rPr>
          <w:rFonts w:ascii="Century" w:hAnsi="Century"/>
          <w:sz w:val="28"/>
          <w:szCs w:val="28"/>
        </w:rPr>
        <w:t>4</w:t>
      </w:r>
      <w:r w:rsidR="00BC04D4">
        <w:rPr>
          <w:rFonts w:ascii="Century" w:hAnsi="Century"/>
          <w:sz w:val="28"/>
          <w:szCs w:val="28"/>
        </w:rPr>
        <w:t xml:space="preserve">, 306 </w:t>
      </w:r>
      <w:proofErr w:type="spellStart"/>
      <w:r w:rsidR="00BC04D4">
        <w:rPr>
          <w:rFonts w:ascii="Century" w:hAnsi="Century"/>
          <w:sz w:val="28"/>
          <w:szCs w:val="28"/>
        </w:rPr>
        <w:t>S.E.2d</w:t>
      </w:r>
      <w:proofErr w:type="spellEnd"/>
      <w:r w:rsidR="00BC04D4">
        <w:rPr>
          <w:rFonts w:ascii="Century" w:hAnsi="Century"/>
          <w:sz w:val="28"/>
          <w:szCs w:val="28"/>
        </w:rPr>
        <w:t xml:space="preserve"> 109, 11</w:t>
      </w:r>
      <w:r w:rsidR="00BE1C10">
        <w:rPr>
          <w:rFonts w:ascii="Century" w:hAnsi="Century"/>
          <w:sz w:val="28"/>
          <w:szCs w:val="28"/>
        </w:rPr>
        <w:t>1</w:t>
      </w:r>
      <w:r w:rsidR="00BC04D4" w:rsidRPr="00A93D86">
        <w:rPr>
          <w:rFonts w:ascii="Century" w:hAnsi="Century"/>
          <w:sz w:val="28"/>
          <w:szCs w:val="28"/>
        </w:rPr>
        <w:t xml:space="preserve"> (1983)</w:t>
      </w:r>
      <w:r w:rsidR="00BE1C10">
        <w:rPr>
          <w:rFonts w:ascii="Century" w:hAnsi="Century"/>
          <w:sz w:val="28"/>
          <w:szCs w:val="28"/>
        </w:rPr>
        <w:t>.</w:t>
      </w:r>
      <w:r w:rsidR="00DB441C">
        <w:rPr>
          <w:rFonts w:ascii="Century" w:hAnsi="Century"/>
          <w:sz w:val="32"/>
          <w:szCs w:val="32"/>
        </w:rPr>
        <w:t xml:space="preserve"> </w:t>
      </w:r>
      <w:r w:rsidR="00A71536">
        <w:rPr>
          <w:rFonts w:ascii="Century" w:hAnsi="Century"/>
          <w:sz w:val="28"/>
          <w:szCs w:val="28"/>
        </w:rPr>
        <w:t xml:space="preserve">“If the trial court’s findings of fact are supported by competent evidence, they are deemed conclusive on appeal. </w:t>
      </w:r>
      <w:r w:rsidR="00B10C9C">
        <w:rPr>
          <w:rFonts w:ascii="Century" w:hAnsi="Century"/>
          <w:sz w:val="28"/>
          <w:szCs w:val="28"/>
        </w:rPr>
        <w:t xml:space="preserve">Furthermore, the trial </w:t>
      </w:r>
      <w:r w:rsidR="00B10C9C">
        <w:rPr>
          <w:rFonts w:ascii="Century" w:hAnsi="Century"/>
          <w:sz w:val="28"/>
          <w:szCs w:val="28"/>
        </w:rPr>
        <w:lastRenderedPageBreak/>
        <w:t xml:space="preserve">court’s decision that defendant was competent to stand trial will not be overturned, absent </w:t>
      </w:r>
      <w:r w:rsidR="00DA60B3">
        <w:rPr>
          <w:rFonts w:ascii="Century" w:hAnsi="Century"/>
          <w:sz w:val="28"/>
          <w:szCs w:val="28"/>
        </w:rPr>
        <w:t xml:space="preserve">a showing that the trial judge abused his discretion.” </w:t>
      </w:r>
      <w:r w:rsidR="00DA60B3">
        <w:rPr>
          <w:rFonts w:ascii="Century" w:hAnsi="Century"/>
          <w:i/>
          <w:iCs/>
          <w:sz w:val="28"/>
          <w:szCs w:val="28"/>
        </w:rPr>
        <w:t>State v. McClain</w:t>
      </w:r>
      <w:r w:rsidR="00DA60B3">
        <w:rPr>
          <w:rFonts w:ascii="Century" w:hAnsi="Century"/>
          <w:sz w:val="28"/>
          <w:szCs w:val="28"/>
        </w:rPr>
        <w:t xml:space="preserve">, 169 N.C. App. </w:t>
      </w:r>
      <w:r w:rsidR="003D4B8C">
        <w:rPr>
          <w:rFonts w:ascii="Century" w:hAnsi="Century"/>
          <w:sz w:val="28"/>
          <w:szCs w:val="28"/>
        </w:rPr>
        <w:t xml:space="preserve">657, 663, 610 </w:t>
      </w:r>
      <w:proofErr w:type="spellStart"/>
      <w:r w:rsidR="003D4B8C">
        <w:rPr>
          <w:rFonts w:ascii="Century" w:hAnsi="Century"/>
          <w:sz w:val="28"/>
          <w:szCs w:val="28"/>
        </w:rPr>
        <w:t>S.E.2d</w:t>
      </w:r>
      <w:proofErr w:type="spellEnd"/>
      <w:r w:rsidR="003D4B8C">
        <w:rPr>
          <w:rFonts w:ascii="Century" w:hAnsi="Century"/>
          <w:sz w:val="28"/>
          <w:szCs w:val="28"/>
        </w:rPr>
        <w:t xml:space="preserve"> 783, </w:t>
      </w:r>
      <w:r w:rsidR="000163D8">
        <w:rPr>
          <w:rFonts w:ascii="Century" w:hAnsi="Century"/>
          <w:sz w:val="28"/>
          <w:szCs w:val="28"/>
        </w:rPr>
        <w:t>787</w:t>
      </w:r>
      <w:r w:rsidR="003D4B8C">
        <w:rPr>
          <w:rFonts w:ascii="Century" w:hAnsi="Century"/>
          <w:sz w:val="28"/>
          <w:szCs w:val="28"/>
        </w:rPr>
        <w:t xml:space="preserve"> (2005) (cleaned up).</w:t>
      </w:r>
      <w:r w:rsidR="006D188E">
        <w:rPr>
          <w:rFonts w:ascii="Century" w:hAnsi="Century"/>
          <w:sz w:val="28"/>
          <w:szCs w:val="28"/>
        </w:rPr>
        <w:t xml:space="preserve"> </w:t>
      </w:r>
    </w:p>
    <w:p w14:paraId="18319A51" w14:textId="2F4F6531" w:rsidR="005A567F" w:rsidRPr="005A567F" w:rsidRDefault="006D188E" w:rsidP="00826A5A">
      <w:pPr>
        <w:pStyle w:val="BodyTextIndent"/>
        <w:jc w:val="both"/>
        <w:rPr>
          <w:rFonts w:ascii="Century" w:hAnsi="Century"/>
          <w:sz w:val="32"/>
          <w:szCs w:val="32"/>
          <w:u w:val="single"/>
        </w:rPr>
      </w:pPr>
      <w:r>
        <w:rPr>
          <w:rFonts w:ascii="Century" w:hAnsi="Century"/>
          <w:sz w:val="28"/>
          <w:szCs w:val="28"/>
        </w:rPr>
        <w:t xml:space="preserve">“Abuse of discretion </w:t>
      </w:r>
      <w:r w:rsidR="0048224E">
        <w:rPr>
          <w:rFonts w:ascii="Century" w:hAnsi="Century"/>
          <w:sz w:val="28"/>
          <w:szCs w:val="28"/>
        </w:rPr>
        <w:t xml:space="preserve">results where the court’s ruling is manifestly unsupported by reason or is so arbitrary that it could not have been the result of a reasoned decision.” </w:t>
      </w:r>
      <w:r w:rsidR="00220F46">
        <w:rPr>
          <w:rFonts w:ascii="Century" w:hAnsi="Century"/>
          <w:i/>
          <w:iCs/>
          <w:sz w:val="28"/>
          <w:szCs w:val="28"/>
        </w:rPr>
        <w:t xml:space="preserve">State v. </w:t>
      </w:r>
      <w:proofErr w:type="spellStart"/>
      <w:r w:rsidR="00220F46">
        <w:rPr>
          <w:rFonts w:ascii="Century" w:hAnsi="Century"/>
          <w:i/>
          <w:iCs/>
          <w:sz w:val="28"/>
          <w:szCs w:val="28"/>
        </w:rPr>
        <w:t>Hennis</w:t>
      </w:r>
      <w:proofErr w:type="spellEnd"/>
      <w:r w:rsidR="00220F46">
        <w:rPr>
          <w:rFonts w:ascii="Century" w:hAnsi="Century"/>
          <w:sz w:val="28"/>
          <w:szCs w:val="28"/>
        </w:rPr>
        <w:t xml:space="preserve">, 323 N.C. 279, 285, </w:t>
      </w:r>
      <w:r w:rsidR="0076105D">
        <w:rPr>
          <w:rFonts w:ascii="Century" w:hAnsi="Century"/>
          <w:sz w:val="28"/>
          <w:szCs w:val="28"/>
        </w:rPr>
        <w:t>372</w:t>
      </w:r>
      <w:r w:rsidR="00220F46">
        <w:rPr>
          <w:rFonts w:ascii="Century" w:hAnsi="Century"/>
          <w:sz w:val="28"/>
          <w:szCs w:val="28"/>
        </w:rPr>
        <w:t xml:space="preserve"> </w:t>
      </w:r>
      <w:proofErr w:type="spellStart"/>
      <w:r w:rsidR="00220F46">
        <w:rPr>
          <w:rFonts w:ascii="Century" w:hAnsi="Century"/>
          <w:sz w:val="28"/>
          <w:szCs w:val="28"/>
        </w:rPr>
        <w:t>S.E.2d</w:t>
      </w:r>
      <w:proofErr w:type="spellEnd"/>
      <w:r w:rsidR="00220F46">
        <w:rPr>
          <w:rFonts w:ascii="Century" w:hAnsi="Century"/>
          <w:sz w:val="28"/>
          <w:szCs w:val="28"/>
        </w:rPr>
        <w:t xml:space="preserve"> </w:t>
      </w:r>
      <w:r w:rsidR="0076105D">
        <w:rPr>
          <w:rFonts w:ascii="Century" w:hAnsi="Century"/>
          <w:sz w:val="28"/>
          <w:szCs w:val="28"/>
        </w:rPr>
        <w:t>523</w:t>
      </w:r>
      <w:r w:rsidR="00220F46">
        <w:rPr>
          <w:rFonts w:ascii="Century" w:hAnsi="Century"/>
          <w:sz w:val="28"/>
          <w:szCs w:val="28"/>
        </w:rPr>
        <w:t xml:space="preserve">, </w:t>
      </w:r>
      <w:r w:rsidR="0076105D">
        <w:rPr>
          <w:rFonts w:ascii="Century" w:hAnsi="Century"/>
          <w:sz w:val="28"/>
          <w:szCs w:val="28"/>
        </w:rPr>
        <w:t>527</w:t>
      </w:r>
      <w:r w:rsidR="00220F46">
        <w:rPr>
          <w:rFonts w:ascii="Century" w:hAnsi="Century"/>
          <w:sz w:val="28"/>
          <w:szCs w:val="28"/>
        </w:rPr>
        <w:t xml:space="preserve"> (1988).</w:t>
      </w:r>
    </w:p>
    <w:p w14:paraId="2EB8226A" w14:textId="77777777" w:rsidR="00A253C1" w:rsidRPr="00804D96" w:rsidRDefault="00E03B9C">
      <w:pPr>
        <w:pStyle w:val="BodyTextIndent"/>
        <w:numPr>
          <w:ilvl w:val="0"/>
          <w:numId w:val="3"/>
        </w:numPr>
        <w:jc w:val="both"/>
        <w:rPr>
          <w:rFonts w:ascii="Century" w:hAnsi="Century"/>
          <w:b/>
          <w:bCs/>
          <w:sz w:val="28"/>
          <w:szCs w:val="28"/>
          <w:u w:val="single"/>
        </w:rPr>
      </w:pPr>
      <w:r w:rsidRPr="00804D96">
        <w:rPr>
          <w:rFonts w:ascii="Century" w:hAnsi="Century"/>
          <w:b/>
          <w:bCs/>
          <w:sz w:val="28"/>
          <w:szCs w:val="28"/>
          <w:u w:val="single"/>
        </w:rPr>
        <w:t>Legal Analysis</w:t>
      </w:r>
    </w:p>
    <w:p w14:paraId="2EB8226B" w14:textId="5C0E732F" w:rsidR="00A253C1" w:rsidRPr="00804D96" w:rsidRDefault="00046E7F">
      <w:pPr>
        <w:pStyle w:val="ListParagraph"/>
        <w:numPr>
          <w:ilvl w:val="0"/>
          <w:numId w:val="4"/>
        </w:numPr>
        <w:spacing w:line="240" w:lineRule="auto"/>
        <w:ind w:right="720"/>
        <w:jc w:val="both"/>
        <w:rPr>
          <w:rFonts w:ascii="Century" w:hAnsi="Century"/>
          <w:b/>
          <w:sz w:val="28"/>
          <w:szCs w:val="28"/>
        </w:rPr>
      </w:pPr>
      <w:r w:rsidRPr="00804D96">
        <w:rPr>
          <w:rFonts w:ascii="Century" w:hAnsi="Century"/>
          <w:b/>
          <w:sz w:val="28"/>
          <w:szCs w:val="28"/>
        </w:rPr>
        <w:t>Core Principles</w:t>
      </w:r>
    </w:p>
    <w:p w14:paraId="3165A8FE" w14:textId="77777777" w:rsidR="009F0B50" w:rsidRPr="00804D96" w:rsidRDefault="009F0B50" w:rsidP="00E60249">
      <w:pPr>
        <w:pStyle w:val="ListParagraph"/>
        <w:spacing w:line="240" w:lineRule="auto"/>
        <w:ind w:left="1800" w:right="720"/>
        <w:jc w:val="both"/>
        <w:rPr>
          <w:rFonts w:ascii="Century" w:hAnsi="Century"/>
          <w:b/>
          <w:sz w:val="28"/>
          <w:szCs w:val="28"/>
        </w:rPr>
      </w:pPr>
    </w:p>
    <w:p w14:paraId="70996990" w14:textId="2C0CA3FE" w:rsidR="00517A97" w:rsidRPr="00517A97" w:rsidRDefault="00517A97" w:rsidP="00517A97">
      <w:pPr>
        <w:spacing w:line="480" w:lineRule="auto"/>
        <w:ind w:firstLine="720"/>
        <w:jc w:val="both"/>
        <w:rPr>
          <w:rFonts w:ascii="Century" w:hAnsi="Century"/>
          <w:color w:val="212121"/>
          <w:sz w:val="28"/>
          <w:szCs w:val="28"/>
          <w:shd w:val="clear" w:color="auto" w:fill="FFFFFF"/>
        </w:rPr>
      </w:pPr>
      <w:r w:rsidRPr="00517A97">
        <w:rPr>
          <w:rFonts w:ascii="Century" w:hAnsi="Century"/>
          <w:sz w:val="28"/>
          <w:szCs w:val="28"/>
        </w:rPr>
        <w:t>At common law, it was recognized that, “</w:t>
      </w:r>
      <w:r w:rsidRPr="00517A97">
        <w:rPr>
          <w:rFonts w:ascii="Century" w:hAnsi="Century"/>
          <w:color w:val="212121"/>
          <w:sz w:val="28"/>
          <w:szCs w:val="28"/>
          <w:shd w:val="clear" w:color="auto" w:fill="FFFFFF"/>
        </w:rPr>
        <w:t>If a man in his sound</w:t>
      </w:r>
      <w:r>
        <w:rPr>
          <w:rFonts w:ascii="Century" w:hAnsi="Century"/>
          <w:color w:val="212121"/>
          <w:sz w:val="28"/>
          <w:szCs w:val="28"/>
          <w:shd w:val="clear" w:color="auto" w:fill="FFFFFF"/>
        </w:rPr>
        <w:t xml:space="preserve"> memory </w:t>
      </w:r>
      <w:r w:rsidRPr="00517A97">
        <w:rPr>
          <w:rFonts w:ascii="Century" w:hAnsi="Century"/>
          <w:color w:val="212121"/>
          <w:sz w:val="28"/>
          <w:szCs w:val="28"/>
          <w:shd w:val="clear" w:color="auto" w:fill="FFFFFF"/>
        </w:rPr>
        <w:t xml:space="preserve">commits a capital offence, and before arraignment for it, he becomes mad, he ought not to be arraigned for it; because he is not able to plead to it with that advice and caution that he ought. And if, after he has pleaded, the prisoner becomes mad, he shall not be tried; for how </w:t>
      </w:r>
      <w:proofErr w:type="gramStart"/>
      <w:r w:rsidRPr="00517A97">
        <w:rPr>
          <w:rFonts w:ascii="Century" w:hAnsi="Century"/>
          <w:color w:val="212121"/>
          <w:sz w:val="28"/>
          <w:szCs w:val="28"/>
          <w:shd w:val="clear" w:color="auto" w:fill="FFFFFF"/>
        </w:rPr>
        <w:t>can he</w:t>
      </w:r>
      <w:proofErr w:type="gramEnd"/>
      <w:r w:rsidRPr="00517A97">
        <w:rPr>
          <w:rFonts w:ascii="Century" w:hAnsi="Century"/>
          <w:color w:val="212121"/>
          <w:sz w:val="28"/>
          <w:szCs w:val="28"/>
          <w:shd w:val="clear" w:color="auto" w:fill="FFFFFF"/>
        </w:rPr>
        <w:t xml:space="preserve"> make his </w:t>
      </w:r>
      <w:proofErr w:type="spellStart"/>
      <w:r w:rsidRPr="00517A97">
        <w:rPr>
          <w:rFonts w:ascii="Century" w:hAnsi="Century"/>
          <w:color w:val="212121"/>
          <w:sz w:val="28"/>
          <w:szCs w:val="28"/>
          <w:shd w:val="clear" w:color="auto" w:fill="FFFFFF"/>
        </w:rPr>
        <w:t>defence</w:t>
      </w:r>
      <w:proofErr w:type="spellEnd"/>
      <w:r w:rsidRPr="00517A97">
        <w:rPr>
          <w:rFonts w:ascii="Century" w:hAnsi="Century"/>
          <w:color w:val="212121"/>
          <w:sz w:val="28"/>
          <w:szCs w:val="28"/>
          <w:shd w:val="clear" w:color="auto" w:fill="FFFFFF"/>
        </w:rPr>
        <w:t>?” 4 W. Blackstone, Commentaries *24</w:t>
      </w:r>
      <w:r w:rsidR="00156636">
        <w:rPr>
          <w:rFonts w:ascii="Century" w:hAnsi="Century"/>
          <w:color w:val="212121"/>
          <w:sz w:val="28"/>
          <w:szCs w:val="28"/>
          <w:shd w:val="clear" w:color="auto" w:fill="FFFFFF"/>
        </w:rPr>
        <w:t xml:space="preserve"> (1769)</w:t>
      </w:r>
      <w:r w:rsidRPr="00517A97">
        <w:rPr>
          <w:rFonts w:ascii="Century" w:hAnsi="Century"/>
          <w:color w:val="212121"/>
          <w:sz w:val="28"/>
          <w:szCs w:val="28"/>
          <w:shd w:val="clear" w:color="auto" w:fill="FFFFFF"/>
        </w:rPr>
        <w:t>.</w:t>
      </w:r>
    </w:p>
    <w:p w14:paraId="647FD312" w14:textId="46A669ED" w:rsidR="002E5591" w:rsidRDefault="00517A97" w:rsidP="00517A97">
      <w:pPr>
        <w:spacing w:line="480" w:lineRule="auto"/>
        <w:ind w:firstLine="720"/>
        <w:jc w:val="both"/>
        <w:rPr>
          <w:rFonts w:ascii="Century" w:hAnsi="Century"/>
          <w:sz w:val="28"/>
          <w:szCs w:val="28"/>
        </w:rPr>
      </w:pPr>
      <w:r>
        <w:rPr>
          <w:rFonts w:ascii="Century" w:hAnsi="Century"/>
          <w:sz w:val="28"/>
          <w:szCs w:val="28"/>
        </w:rPr>
        <w:t xml:space="preserve">Our current statute provides, </w:t>
      </w:r>
      <w:r w:rsidR="00263E65" w:rsidRPr="00804D96">
        <w:rPr>
          <w:rFonts w:ascii="Century" w:hAnsi="Century"/>
          <w:sz w:val="28"/>
          <w:szCs w:val="28"/>
        </w:rPr>
        <w:t xml:space="preserve">“No </w:t>
      </w:r>
      <w:r w:rsidR="001E6406" w:rsidRPr="00804D96">
        <w:rPr>
          <w:rFonts w:ascii="Century" w:hAnsi="Century"/>
          <w:sz w:val="28"/>
          <w:szCs w:val="28"/>
        </w:rPr>
        <w:t xml:space="preserve">person may be tried, convicted, sentenced, or punished for a crime when by reason of mental illness or defect he is unable to understand the nature and object of the proceedings </w:t>
      </w:r>
      <w:r w:rsidR="001E6406" w:rsidRPr="00804D96">
        <w:rPr>
          <w:rFonts w:ascii="Century" w:hAnsi="Century"/>
          <w:sz w:val="28"/>
          <w:szCs w:val="28"/>
        </w:rPr>
        <w:lastRenderedPageBreak/>
        <w:t>against him</w:t>
      </w:r>
      <w:r w:rsidR="00C81D98" w:rsidRPr="00804D96">
        <w:rPr>
          <w:rFonts w:ascii="Century" w:hAnsi="Century"/>
          <w:sz w:val="28"/>
          <w:szCs w:val="28"/>
        </w:rPr>
        <w:t xml:space="preserve">, to comprehend his own situation in reference to the proceedings, or to assist in his defense in a rational and reasonable manner.” </w:t>
      </w:r>
      <w:r w:rsidR="007F72EF" w:rsidRPr="00804D96">
        <w:rPr>
          <w:rFonts w:ascii="Century" w:hAnsi="Century"/>
          <w:sz w:val="28"/>
          <w:szCs w:val="28"/>
        </w:rPr>
        <w:t xml:space="preserve">N.C.G.S. § </w:t>
      </w:r>
      <w:proofErr w:type="spellStart"/>
      <w:r w:rsidR="007F72EF" w:rsidRPr="00804D96">
        <w:rPr>
          <w:rFonts w:ascii="Century" w:hAnsi="Century"/>
          <w:sz w:val="28"/>
          <w:szCs w:val="28"/>
        </w:rPr>
        <w:t>15A</w:t>
      </w:r>
      <w:proofErr w:type="spellEnd"/>
      <w:r w:rsidR="007F72EF" w:rsidRPr="00804D96">
        <w:rPr>
          <w:rFonts w:ascii="Century" w:hAnsi="Century"/>
          <w:sz w:val="28"/>
          <w:szCs w:val="28"/>
        </w:rPr>
        <w:t>-1001</w:t>
      </w:r>
      <w:r w:rsidR="00C81D98" w:rsidRPr="00804D96">
        <w:rPr>
          <w:rFonts w:ascii="Century" w:hAnsi="Century"/>
          <w:sz w:val="28"/>
          <w:szCs w:val="28"/>
        </w:rPr>
        <w:t>(a)</w:t>
      </w:r>
      <w:r w:rsidR="00705C11">
        <w:rPr>
          <w:rFonts w:ascii="Century" w:hAnsi="Century"/>
          <w:sz w:val="28"/>
          <w:szCs w:val="28"/>
        </w:rPr>
        <w:t xml:space="preserve">; </w:t>
      </w:r>
      <w:r w:rsidR="00705C11">
        <w:rPr>
          <w:rFonts w:ascii="Century" w:hAnsi="Century"/>
          <w:i/>
          <w:iCs/>
          <w:sz w:val="28"/>
          <w:szCs w:val="28"/>
        </w:rPr>
        <w:t xml:space="preserve">see also </w:t>
      </w:r>
      <w:proofErr w:type="spellStart"/>
      <w:r w:rsidR="00A778CB">
        <w:rPr>
          <w:rFonts w:ascii="Century" w:hAnsi="Century"/>
          <w:i/>
          <w:iCs/>
          <w:sz w:val="28"/>
          <w:szCs w:val="28"/>
        </w:rPr>
        <w:t>Drope</w:t>
      </w:r>
      <w:proofErr w:type="spellEnd"/>
      <w:r w:rsidR="00A778CB">
        <w:rPr>
          <w:rFonts w:ascii="Century" w:hAnsi="Century"/>
          <w:i/>
          <w:iCs/>
          <w:sz w:val="28"/>
          <w:szCs w:val="28"/>
        </w:rPr>
        <w:t xml:space="preserve"> v. Missouri</w:t>
      </w:r>
      <w:r w:rsidR="00A778CB">
        <w:rPr>
          <w:rFonts w:ascii="Century" w:hAnsi="Century"/>
          <w:sz w:val="28"/>
          <w:szCs w:val="28"/>
        </w:rPr>
        <w:t>, 420 U.S. 162, 171</w:t>
      </w:r>
      <w:r w:rsidR="00B91020">
        <w:rPr>
          <w:rFonts w:ascii="Century" w:hAnsi="Century"/>
          <w:sz w:val="28"/>
          <w:szCs w:val="28"/>
        </w:rPr>
        <w:t xml:space="preserve">, 95 S. Ct. </w:t>
      </w:r>
      <w:r w:rsidR="002C6228">
        <w:rPr>
          <w:rFonts w:ascii="Century" w:hAnsi="Century"/>
          <w:sz w:val="28"/>
          <w:szCs w:val="28"/>
        </w:rPr>
        <w:t>896, 903</w:t>
      </w:r>
      <w:r w:rsidR="00A778CB">
        <w:rPr>
          <w:rFonts w:ascii="Century" w:hAnsi="Century"/>
          <w:sz w:val="28"/>
          <w:szCs w:val="28"/>
        </w:rPr>
        <w:t xml:space="preserve"> (1975).</w:t>
      </w:r>
      <w:r w:rsidR="00DF4488">
        <w:rPr>
          <w:rFonts w:ascii="Century" w:hAnsi="Century"/>
          <w:sz w:val="28"/>
          <w:szCs w:val="28"/>
        </w:rPr>
        <w:t xml:space="preserve"> </w:t>
      </w:r>
      <w:r w:rsidR="00AF11A7">
        <w:rPr>
          <w:rFonts w:ascii="Century" w:hAnsi="Century"/>
          <w:sz w:val="28"/>
          <w:szCs w:val="28"/>
        </w:rPr>
        <w:t>“The stat</w:t>
      </w:r>
      <w:r w:rsidR="00613F27">
        <w:rPr>
          <w:rFonts w:ascii="Century" w:hAnsi="Century"/>
          <w:sz w:val="28"/>
          <w:szCs w:val="28"/>
        </w:rPr>
        <w:t xml:space="preserve">ute provides three separate tests in the disjunctive. If a defendant is deficient under any of these tests, he or she does not have the capacity to proceed.” </w:t>
      </w:r>
      <w:r w:rsidR="00613F27">
        <w:rPr>
          <w:rFonts w:ascii="Century" w:hAnsi="Century"/>
          <w:i/>
          <w:iCs/>
          <w:sz w:val="28"/>
          <w:szCs w:val="28"/>
        </w:rPr>
        <w:t xml:space="preserve">State v. </w:t>
      </w:r>
      <w:proofErr w:type="spellStart"/>
      <w:r w:rsidR="00613F27">
        <w:rPr>
          <w:rFonts w:ascii="Century" w:hAnsi="Century"/>
          <w:i/>
          <w:iCs/>
          <w:sz w:val="28"/>
          <w:szCs w:val="28"/>
        </w:rPr>
        <w:t>Shytle</w:t>
      </w:r>
      <w:proofErr w:type="spellEnd"/>
      <w:r w:rsidR="00613F27">
        <w:rPr>
          <w:rFonts w:ascii="Century" w:hAnsi="Century"/>
          <w:sz w:val="28"/>
          <w:szCs w:val="28"/>
        </w:rPr>
        <w:t xml:space="preserve">, 323 N.C. 684, 687, 374 </w:t>
      </w:r>
      <w:proofErr w:type="spellStart"/>
      <w:r w:rsidR="00613F27">
        <w:rPr>
          <w:rFonts w:ascii="Century" w:hAnsi="Century"/>
          <w:sz w:val="28"/>
          <w:szCs w:val="28"/>
        </w:rPr>
        <w:t>S.E.2d</w:t>
      </w:r>
      <w:proofErr w:type="spellEnd"/>
      <w:r w:rsidR="00613F27">
        <w:rPr>
          <w:rFonts w:ascii="Century" w:hAnsi="Century"/>
          <w:sz w:val="28"/>
          <w:szCs w:val="28"/>
        </w:rPr>
        <w:t xml:space="preserve"> 573, 575 (1989)</w:t>
      </w:r>
      <w:r w:rsidR="00672135">
        <w:rPr>
          <w:rFonts w:ascii="Century" w:hAnsi="Century"/>
          <w:sz w:val="28"/>
          <w:szCs w:val="28"/>
        </w:rPr>
        <w:t>.</w:t>
      </w:r>
    </w:p>
    <w:p w14:paraId="7462DDB2" w14:textId="4475ABDB" w:rsidR="00794727" w:rsidRDefault="00DF4488" w:rsidP="00955504">
      <w:pPr>
        <w:spacing w:line="480" w:lineRule="auto"/>
        <w:ind w:firstLine="720"/>
        <w:jc w:val="both"/>
        <w:rPr>
          <w:rFonts w:ascii="Century" w:hAnsi="Century"/>
          <w:sz w:val="28"/>
          <w:szCs w:val="28"/>
        </w:rPr>
      </w:pPr>
      <w:r>
        <w:rPr>
          <w:rFonts w:ascii="Century" w:hAnsi="Century"/>
          <w:sz w:val="28"/>
          <w:szCs w:val="28"/>
        </w:rPr>
        <w:t xml:space="preserve">Of </w:t>
      </w:r>
      <w:proofErr w:type="gramStart"/>
      <w:r>
        <w:rPr>
          <w:rFonts w:ascii="Century" w:hAnsi="Century"/>
          <w:sz w:val="28"/>
          <w:szCs w:val="28"/>
        </w:rPr>
        <w:t>particular relevance</w:t>
      </w:r>
      <w:proofErr w:type="gramEnd"/>
      <w:r>
        <w:rPr>
          <w:rFonts w:ascii="Century" w:hAnsi="Century"/>
          <w:sz w:val="28"/>
          <w:szCs w:val="28"/>
        </w:rPr>
        <w:t xml:space="preserve"> to this appeal is the requirement that </w:t>
      </w:r>
      <w:r w:rsidR="002E6AC6">
        <w:rPr>
          <w:rFonts w:ascii="Century" w:hAnsi="Century"/>
          <w:sz w:val="28"/>
          <w:szCs w:val="28"/>
        </w:rPr>
        <w:t xml:space="preserve">in order to be found competent, a defendant </w:t>
      </w:r>
      <w:r w:rsidR="00B97110">
        <w:rPr>
          <w:rFonts w:ascii="Century" w:hAnsi="Century"/>
          <w:sz w:val="28"/>
          <w:szCs w:val="28"/>
        </w:rPr>
        <w:t xml:space="preserve">must be able to “confer with his or her attorney so that the attorney may interpose any available </w:t>
      </w:r>
      <w:r w:rsidR="000F0093">
        <w:rPr>
          <w:rFonts w:ascii="Century" w:hAnsi="Century"/>
          <w:sz w:val="28"/>
          <w:szCs w:val="28"/>
        </w:rPr>
        <w:t>defenses.”</w:t>
      </w:r>
      <w:r w:rsidR="00F64361">
        <w:rPr>
          <w:rFonts w:ascii="Century" w:hAnsi="Century"/>
          <w:sz w:val="28"/>
          <w:szCs w:val="28"/>
        </w:rPr>
        <w:t xml:space="preserve"> </w:t>
      </w:r>
      <w:proofErr w:type="spellStart"/>
      <w:r w:rsidR="00E60249">
        <w:rPr>
          <w:rFonts w:ascii="Century" w:hAnsi="Century"/>
          <w:i/>
          <w:iCs/>
          <w:sz w:val="28"/>
          <w:szCs w:val="28"/>
        </w:rPr>
        <w:t>Shytle</w:t>
      </w:r>
      <w:proofErr w:type="spellEnd"/>
      <w:r w:rsidR="00E60249">
        <w:rPr>
          <w:rFonts w:ascii="Century" w:hAnsi="Century"/>
          <w:sz w:val="28"/>
          <w:szCs w:val="28"/>
        </w:rPr>
        <w:t xml:space="preserve">, 323 N.C. </w:t>
      </w:r>
      <w:r w:rsidR="00AF5E4A">
        <w:rPr>
          <w:rFonts w:ascii="Century" w:hAnsi="Century"/>
          <w:sz w:val="28"/>
          <w:szCs w:val="28"/>
        </w:rPr>
        <w:t>at</w:t>
      </w:r>
      <w:r w:rsidR="00E60249">
        <w:rPr>
          <w:rFonts w:ascii="Century" w:hAnsi="Century"/>
          <w:sz w:val="28"/>
          <w:szCs w:val="28"/>
        </w:rPr>
        <w:t xml:space="preserve"> </w:t>
      </w:r>
      <w:r w:rsidR="00676142">
        <w:rPr>
          <w:rFonts w:ascii="Century" w:hAnsi="Century"/>
          <w:sz w:val="28"/>
          <w:szCs w:val="28"/>
        </w:rPr>
        <w:t>689</w:t>
      </w:r>
      <w:r w:rsidR="00FE7EFF">
        <w:rPr>
          <w:rFonts w:ascii="Century" w:hAnsi="Century"/>
          <w:sz w:val="28"/>
          <w:szCs w:val="28"/>
        </w:rPr>
        <w:t xml:space="preserve">, 374 </w:t>
      </w:r>
      <w:proofErr w:type="spellStart"/>
      <w:r w:rsidR="00FE7EFF">
        <w:rPr>
          <w:rFonts w:ascii="Century" w:hAnsi="Century"/>
          <w:sz w:val="28"/>
          <w:szCs w:val="28"/>
        </w:rPr>
        <w:t>S.E.2d</w:t>
      </w:r>
      <w:proofErr w:type="spellEnd"/>
      <w:r w:rsidR="00FE7EFF">
        <w:rPr>
          <w:rFonts w:ascii="Century" w:hAnsi="Century"/>
          <w:sz w:val="28"/>
          <w:szCs w:val="28"/>
        </w:rPr>
        <w:t xml:space="preserve"> </w:t>
      </w:r>
      <w:r w:rsidR="00AF5E4A">
        <w:rPr>
          <w:rFonts w:ascii="Century" w:hAnsi="Century"/>
          <w:sz w:val="28"/>
          <w:szCs w:val="28"/>
        </w:rPr>
        <w:t>at</w:t>
      </w:r>
      <w:r w:rsidR="00FE7EFF">
        <w:rPr>
          <w:rFonts w:ascii="Century" w:hAnsi="Century"/>
          <w:sz w:val="28"/>
          <w:szCs w:val="28"/>
        </w:rPr>
        <w:t xml:space="preserve"> </w:t>
      </w:r>
      <w:r w:rsidR="00FA099C">
        <w:rPr>
          <w:rFonts w:ascii="Century" w:hAnsi="Century"/>
          <w:sz w:val="28"/>
          <w:szCs w:val="28"/>
        </w:rPr>
        <w:t>575</w:t>
      </w:r>
      <w:r w:rsidR="00E60249">
        <w:rPr>
          <w:rFonts w:ascii="Century" w:hAnsi="Century"/>
          <w:sz w:val="28"/>
          <w:szCs w:val="28"/>
        </w:rPr>
        <w:t xml:space="preserve">; </w:t>
      </w:r>
      <w:r w:rsidR="00E60249">
        <w:rPr>
          <w:rFonts w:ascii="Century" w:hAnsi="Century"/>
          <w:i/>
          <w:iCs/>
          <w:sz w:val="28"/>
          <w:szCs w:val="28"/>
        </w:rPr>
        <w:t xml:space="preserve">see also </w:t>
      </w:r>
      <w:r w:rsidR="00676142">
        <w:rPr>
          <w:rFonts w:ascii="Century" w:hAnsi="Century"/>
          <w:i/>
          <w:iCs/>
          <w:sz w:val="28"/>
          <w:szCs w:val="28"/>
        </w:rPr>
        <w:t xml:space="preserve">State v. </w:t>
      </w:r>
      <w:r w:rsidR="00A725BB">
        <w:rPr>
          <w:rFonts w:ascii="Century" w:hAnsi="Century"/>
          <w:i/>
          <w:iCs/>
          <w:sz w:val="28"/>
          <w:szCs w:val="28"/>
        </w:rPr>
        <w:t>Coley</w:t>
      </w:r>
      <w:r w:rsidR="00A725BB">
        <w:rPr>
          <w:rFonts w:ascii="Century" w:hAnsi="Century"/>
          <w:sz w:val="28"/>
          <w:szCs w:val="28"/>
        </w:rPr>
        <w:t xml:space="preserve">, 193 N.C. App. 458, </w:t>
      </w:r>
      <w:r w:rsidR="0064047F">
        <w:rPr>
          <w:rFonts w:ascii="Century" w:hAnsi="Century"/>
          <w:sz w:val="28"/>
          <w:szCs w:val="28"/>
        </w:rPr>
        <w:t xml:space="preserve">463, </w:t>
      </w:r>
      <w:r w:rsidR="00D44784">
        <w:rPr>
          <w:rFonts w:ascii="Century" w:hAnsi="Century"/>
          <w:sz w:val="28"/>
          <w:szCs w:val="28"/>
        </w:rPr>
        <w:t>668</w:t>
      </w:r>
      <w:r w:rsidR="00A725BB">
        <w:rPr>
          <w:rFonts w:ascii="Century" w:hAnsi="Century"/>
          <w:sz w:val="28"/>
          <w:szCs w:val="28"/>
        </w:rPr>
        <w:t xml:space="preserve"> </w:t>
      </w:r>
      <w:proofErr w:type="spellStart"/>
      <w:r w:rsidR="00A725BB">
        <w:rPr>
          <w:rFonts w:ascii="Century" w:hAnsi="Century"/>
          <w:sz w:val="28"/>
          <w:szCs w:val="28"/>
        </w:rPr>
        <w:t>S.E.2d</w:t>
      </w:r>
      <w:proofErr w:type="spellEnd"/>
      <w:r w:rsidR="00A725BB">
        <w:rPr>
          <w:rFonts w:ascii="Century" w:hAnsi="Century"/>
          <w:sz w:val="28"/>
          <w:szCs w:val="28"/>
        </w:rPr>
        <w:t xml:space="preserve"> </w:t>
      </w:r>
      <w:r w:rsidR="00D44784">
        <w:rPr>
          <w:rFonts w:ascii="Century" w:hAnsi="Century"/>
          <w:sz w:val="28"/>
          <w:szCs w:val="28"/>
        </w:rPr>
        <w:t>46</w:t>
      </w:r>
      <w:r w:rsidR="0064047F">
        <w:rPr>
          <w:rFonts w:ascii="Century" w:hAnsi="Century"/>
          <w:sz w:val="28"/>
          <w:szCs w:val="28"/>
        </w:rPr>
        <w:t>, 50</w:t>
      </w:r>
      <w:r w:rsidR="0054672C">
        <w:rPr>
          <w:rFonts w:ascii="Century" w:hAnsi="Century"/>
          <w:sz w:val="28"/>
          <w:szCs w:val="28"/>
        </w:rPr>
        <w:t xml:space="preserve"> (2008) (find</w:t>
      </w:r>
      <w:r w:rsidR="000E14FB">
        <w:rPr>
          <w:rFonts w:ascii="Century" w:hAnsi="Century"/>
          <w:sz w:val="28"/>
          <w:szCs w:val="28"/>
        </w:rPr>
        <w:t>ing</w:t>
      </w:r>
      <w:r w:rsidR="0054672C">
        <w:rPr>
          <w:rFonts w:ascii="Century" w:hAnsi="Century"/>
          <w:sz w:val="28"/>
          <w:szCs w:val="28"/>
        </w:rPr>
        <w:t xml:space="preserve"> a defendant competent under this standard where he had “a clear recollection of the events associated with his criminal acts</w:t>
      </w:r>
      <w:r w:rsidR="007860CE">
        <w:rPr>
          <w:rFonts w:ascii="Century" w:hAnsi="Century"/>
          <w:sz w:val="28"/>
          <w:szCs w:val="28"/>
        </w:rPr>
        <w:t>.</w:t>
      </w:r>
      <w:r w:rsidR="0054672C">
        <w:rPr>
          <w:rFonts w:ascii="Century" w:hAnsi="Century"/>
          <w:sz w:val="28"/>
          <w:szCs w:val="28"/>
        </w:rPr>
        <w:t>”)</w:t>
      </w:r>
      <w:r w:rsidR="007860CE">
        <w:rPr>
          <w:rFonts w:ascii="Century" w:hAnsi="Century"/>
          <w:sz w:val="28"/>
          <w:szCs w:val="28"/>
        </w:rPr>
        <w:t xml:space="preserve"> </w:t>
      </w:r>
    </w:p>
    <w:p w14:paraId="45660E14" w14:textId="3B1D9A6D" w:rsidR="00517A97" w:rsidRDefault="00517A97" w:rsidP="00517A97">
      <w:pPr>
        <w:spacing w:line="480" w:lineRule="auto"/>
        <w:ind w:firstLine="720"/>
        <w:rPr>
          <w:rFonts w:ascii="Century" w:hAnsi="Century"/>
          <w:color w:val="212121"/>
          <w:sz w:val="28"/>
          <w:szCs w:val="18"/>
          <w:shd w:val="clear" w:color="auto" w:fill="FFFFFF"/>
        </w:rPr>
      </w:pPr>
      <w:r w:rsidRPr="00517A97">
        <w:rPr>
          <w:rFonts w:ascii="Century" w:hAnsi="Century"/>
          <w:color w:val="212121"/>
          <w:sz w:val="28"/>
          <w:szCs w:val="18"/>
          <w:shd w:val="clear" w:color="auto" w:fill="FFFFFF"/>
        </w:rPr>
        <w:t xml:space="preserve">A defendant bears the burden of proving his incompetence by no more than a preponderance of the evidence. </w:t>
      </w:r>
      <w:r w:rsidRPr="00517A97">
        <w:rPr>
          <w:rFonts w:ascii="Century" w:hAnsi="Century"/>
          <w:i/>
          <w:iCs/>
          <w:color w:val="212121"/>
          <w:sz w:val="28"/>
          <w:szCs w:val="18"/>
          <w:shd w:val="clear" w:color="auto" w:fill="FFFFFF"/>
        </w:rPr>
        <w:t>Cooper v. Oklahoma</w:t>
      </w:r>
      <w:r w:rsidRPr="00517A97">
        <w:rPr>
          <w:rFonts w:ascii="Century" w:hAnsi="Century"/>
          <w:color w:val="212121"/>
          <w:sz w:val="28"/>
          <w:szCs w:val="18"/>
          <w:shd w:val="clear" w:color="auto" w:fill="FFFFFF"/>
        </w:rPr>
        <w:t>, 517 U.S. 348, 355, 116 S. Ct. 1373, 1377 (1996).</w:t>
      </w:r>
    </w:p>
    <w:p w14:paraId="0BC5C07D" w14:textId="77777777" w:rsidR="00826A5A" w:rsidRPr="00517A97" w:rsidRDefault="00826A5A" w:rsidP="00517A97">
      <w:pPr>
        <w:spacing w:line="480" w:lineRule="auto"/>
        <w:ind w:firstLine="720"/>
        <w:rPr>
          <w:rFonts w:ascii="Century" w:hAnsi="Century"/>
          <w:color w:val="212121"/>
          <w:sz w:val="28"/>
          <w:szCs w:val="18"/>
          <w:shd w:val="clear" w:color="auto" w:fill="FFFFFF"/>
        </w:rPr>
      </w:pPr>
    </w:p>
    <w:p w14:paraId="2EB82270" w14:textId="0DCA83E6" w:rsidR="00A253C1" w:rsidRPr="00030079" w:rsidRDefault="00881B70">
      <w:pPr>
        <w:pStyle w:val="ListParagraph"/>
        <w:numPr>
          <w:ilvl w:val="0"/>
          <w:numId w:val="4"/>
        </w:numPr>
        <w:spacing w:line="240" w:lineRule="auto"/>
        <w:ind w:right="720"/>
        <w:jc w:val="both"/>
        <w:rPr>
          <w:rFonts w:ascii="Century" w:hAnsi="Century"/>
          <w:b/>
          <w:sz w:val="28"/>
          <w:szCs w:val="28"/>
        </w:rPr>
      </w:pPr>
      <w:r w:rsidRPr="00030079">
        <w:rPr>
          <w:rFonts w:ascii="Century" w:hAnsi="Century"/>
          <w:b/>
          <w:sz w:val="28"/>
          <w:szCs w:val="28"/>
        </w:rPr>
        <w:t>The Trial Cour</w:t>
      </w:r>
      <w:r w:rsidR="00F91C5B" w:rsidRPr="00030079">
        <w:rPr>
          <w:rFonts w:ascii="Century" w:hAnsi="Century"/>
          <w:b/>
          <w:sz w:val="28"/>
          <w:szCs w:val="28"/>
        </w:rPr>
        <w:t xml:space="preserve">t’s Findings of Fact Were Not Supported by Competent Evidence, and Its </w:t>
      </w:r>
      <w:r w:rsidR="00F91C5B" w:rsidRPr="00030079">
        <w:rPr>
          <w:rFonts w:ascii="Century" w:hAnsi="Century"/>
          <w:b/>
          <w:sz w:val="28"/>
          <w:szCs w:val="28"/>
        </w:rPr>
        <w:lastRenderedPageBreak/>
        <w:t xml:space="preserve">Conclusions of Law </w:t>
      </w:r>
      <w:r w:rsidR="00BE0A98" w:rsidRPr="00030079">
        <w:rPr>
          <w:rFonts w:ascii="Century" w:hAnsi="Century"/>
          <w:b/>
          <w:sz w:val="28"/>
          <w:szCs w:val="28"/>
        </w:rPr>
        <w:t>Did Not Accurately Reflect Either the Law or the Evidence Presented</w:t>
      </w:r>
      <w:r w:rsidR="00476A4B" w:rsidRPr="00030079">
        <w:rPr>
          <w:rFonts w:ascii="Century" w:hAnsi="Century"/>
          <w:b/>
          <w:sz w:val="28"/>
          <w:szCs w:val="28"/>
        </w:rPr>
        <w:t>.</w:t>
      </w:r>
    </w:p>
    <w:p w14:paraId="2EB82271" w14:textId="77777777" w:rsidR="00A253C1" w:rsidRPr="00ED2212" w:rsidRDefault="00A253C1">
      <w:pPr>
        <w:pStyle w:val="ListParagraph"/>
        <w:spacing w:line="240" w:lineRule="auto"/>
        <w:ind w:left="1800"/>
        <w:rPr>
          <w:rFonts w:ascii="Century" w:hAnsi="Century"/>
          <w:b/>
          <w:sz w:val="28"/>
          <w:szCs w:val="28"/>
          <w:highlight w:val="yellow"/>
        </w:rPr>
      </w:pPr>
    </w:p>
    <w:p w14:paraId="506627DA" w14:textId="1F70651D" w:rsidR="00B8074C" w:rsidRPr="00B8074C" w:rsidRDefault="00B8074C" w:rsidP="00B8074C">
      <w:pPr>
        <w:spacing w:line="480" w:lineRule="auto"/>
        <w:jc w:val="both"/>
        <w:rPr>
          <w:rFonts w:ascii="Century" w:hAnsi="Century"/>
          <w:b/>
          <w:bCs/>
          <w:sz w:val="28"/>
          <w:szCs w:val="28"/>
          <w:u w:val="single"/>
        </w:rPr>
      </w:pPr>
      <w:r>
        <w:rPr>
          <w:rFonts w:ascii="Century" w:hAnsi="Century"/>
          <w:b/>
          <w:bCs/>
          <w:sz w:val="28"/>
          <w:szCs w:val="28"/>
          <w:u w:val="single"/>
        </w:rPr>
        <w:t>Findings of Fact</w:t>
      </w:r>
    </w:p>
    <w:p w14:paraId="4B89BED2" w14:textId="23B42117" w:rsidR="00DF5A3F" w:rsidRDefault="00DF5A3F" w:rsidP="002A3B01">
      <w:pPr>
        <w:spacing w:line="480" w:lineRule="auto"/>
        <w:ind w:firstLine="720"/>
        <w:jc w:val="both"/>
        <w:rPr>
          <w:rFonts w:ascii="Century" w:hAnsi="Century"/>
          <w:sz w:val="28"/>
          <w:szCs w:val="28"/>
        </w:rPr>
      </w:pPr>
      <w:r>
        <w:rPr>
          <w:rFonts w:ascii="Century" w:hAnsi="Century"/>
          <w:sz w:val="28"/>
          <w:szCs w:val="28"/>
        </w:rPr>
        <w:t>The court found that Mr. Bethea “</w:t>
      </w:r>
      <w:r w:rsidRPr="00AD4C50">
        <w:rPr>
          <w:rFonts w:ascii="Century" w:hAnsi="Century"/>
          <w:sz w:val="28"/>
          <w:szCs w:val="28"/>
        </w:rPr>
        <w:t xml:space="preserve">is capable of assisting in his defense to the extent that he can remember events before and after and can stand trial in accordance with the standards in the North Carolina Constitution and General Statute </w:t>
      </w:r>
      <w:proofErr w:type="spellStart"/>
      <w:r w:rsidRPr="00AD4C50">
        <w:rPr>
          <w:rFonts w:ascii="Century" w:hAnsi="Century"/>
          <w:sz w:val="28"/>
          <w:szCs w:val="28"/>
        </w:rPr>
        <w:t>15A</w:t>
      </w:r>
      <w:proofErr w:type="spellEnd"/>
      <w:r w:rsidRPr="00AD4C50">
        <w:rPr>
          <w:rFonts w:ascii="Century" w:hAnsi="Century"/>
          <w:sz w:val="28"/>
          <w:szCs w:val="28"/>
        </w:rPr>
        <w:t>-1001(a) as amended</w:t>
      </w:r>
      <w:r>
        <w:rPr>
          <w:rFonts w:ascii="Century" w:hAnsi="Century"/>
          <w:sz w:val="28"/>
          <w:szCs w:val="28"/>
        </w:rPr>
        <w:t xml:space="preserve">.” </w:t>
      </w:r>
      <w:r w:rsidR="0074576E">
        <w:rPr>
          <w:rFonts w:ascii="Century" w:hAnsi="Century"/>
          <w:sz w:val="28"/>
          <w:szCs w:val="28"/>
        </w:rPr>
        <w:t>(T p 38)</w:t>
      </w:r>
      <w:r>
        <w:rPr>
          <w:rFonts w:ascii="Century" w:hAnsi="Century"/>
          <w:sz w:val="28"/>
          <w:szCs w:val="28"/>
        </w:rPr>
        <w:t xml:space="preserve">. </w:t>
      </w:r>
      <w:r w:rsidR="00224C1C" w:rsidRPr="00493321">
        <w:rPr>
          <w:rFonts w:ascii="Century" w:hAnsi="Century"/>
          <w:sz w:val="28"/>
          <w:szCs w:val="28"/>
        </w:rPr>
        <w:t>The trial court’s finding</w:t>
      </w:r>
      <w:r w:rsidR="00493321" w:rsidRPr="00493321">
        <w:rPr>
          <w:rFonts w:ascii="Century" w:hAnsi="Century"/>
          <w:sz w:val="28"/>
          <w:szCs w:val="28"/>
        </w:rPr>
        <w:t xml:space="preserve"> of fact</w:t>
      </w:r>
      <w:r w:rsidR="00224C1C" w:rsidRPr="00493321">
        <w:rPr>
          <w:rFonts w:ascii="Century" w:hAnsi="Century"/>
          <w:sz w:val="28"/>
          <w:szCs w:val="28"/>
        </w:rPr>
        <w:t xml:space="preserve"> that </w:t>
      </w:r>
      <w:r w:rsidR="00493321" w:rsidRPr="00493321">
        <w:rPr>
          <w:rFonts w:ascii="Century" w:hAnsi="Century"/>
          <w:sz w:val="28"/>
          <w:szCs w:val="28"/>
        </w:rPr>
        <w:t>Mr. Bethea</w:t>
      </w:r>
      <w:r w:rsidR="00224C1C" w:rsidRPr="00493321">
        <w:rPr>
          <w:rFonts w:ascii="Century" w:hAnsi="Century"/>
          <w:sz w:val="28"/>
          <w:szCs w:val="28"/>
        </w:rPr>
        <w:t xml:space="preserve"> </w:t>
      </w:r>
      <w:r w:rsidR="00493321" w:rsidRPr="00493321">
        <w:rPr>
          <w:rFonts w:ascii="Century" w:hAnsi="Century"/>
          <w:sz w:val="28"/>
          <w:szCs w:val="28"/>
        </w:rPr>
        <w:t>“</w:t>
      </w:r>
      <w:r w:rsidR="00224C1C" w:rsidRPr="00493321">
        <w:rPr>
          <w:rFonts w:ascii="Century" w:hAnsi="Century"/>
          <w:sz w:val="28"/>
          <w:szCs w:val="28"/>
        </w:rPr>
        <w:t xml:space="preserve">can remember events before and after” </w:t>
      </w:r>
      <w:r w:rsidR="00493321" w:rsidRPr="00493321">
        <w:rPr>
          <w:rFonts w:ascii="Century" w:hAnsi="Century"/>
          <w:sz w:val="28"/>
          <w:szCs w:val="28"/>
        </w:rPr>
        <w:t xml:space="preserve">had no support in the evidence. </w:t>
      </w:r>
    </w:p>
    <w:p w14:paraId="2EFEA890" w14:textId="354F51F4" w:rsidR="00866F5A" w:rsidRDefault="00A646E8" w:rsidP="002A3B01">
      <w:pPr>
        <w:spacing w:line="480" w:lineRule="auto"/>
        <w:ind w:firstLine="720"/>
        <w:jc w:val="both"/>
        <w:rPr>
          <w:rFonts w:ascii="Century" w:hAnsi="Century"/>
          <w:sz w:val="28"/>
          <w:szCs w:val="28"/>
        </w:rPr>
      </w:pPr>
      <w:r>
        <w:rPr>
          <w:rFonts w:ascii="Century" w:hAnsi="Century"/>
          <w:sz w:val="28"/>
          <w:szCs w:val="28"/>
        </w:rPr>
        <w:t xml:space="preserve">Dr. </w:t>
      </w:r>
      <w:proofErr w:type="spellStart"/>
      <w:r>
        <w:rPr>
          <w:rFonts w:ascii="Century" w:hAnsi="Century"/>
          <w:sz w:val="28"/>
          <w:szCs w:val="28"/>
        </w:rPr>
        <w:t>Hilkey’s</w:t>
      </w:r>
      <w:proofErr w:type="spellEnd"/>
      <w:r>
        <w:rPr>
          <w:rFonts w:ascii="Century" w:hAnsi="Century"/>
          <w:sz w:val="28"/>
          <w:szCs w:val="28"/>
        </w:rPr>
        <w:t xml:space="preserve"> </w:t>
      </w:r>
      <w:r w:rsidR="00267EF7">
        <w:rPr>
          <w:rFonts w:ascii="Century" w:hAnsi="Century"/>
          <w:sz w:val="28"/>
          <w:szCs w:val="28"/>
        </w:rPr>
        <w:t xml:space="preserve">report </w:t>
      </w:r>
      <w:r w:rsidR="00DF5A3F">
        <w:rPr>
          <w:rFonts w:ascii="Century" w:hAnsi="Century"/>
          <w:sz w:val="28"/>
          <w:szCs w:val="28"/>
        </w:rPr>
        <w:t xml:space="preserve">shows </w:t>
      </w:r>
      <w:r w:rsidR="004730D9">
        <w:rPr>
          <w:rFonts w:ascii="Century" w:hAnsi="Century"/>
          <w:sz w:val="28"/>
          <w:szCs w:val="28"/>
        </w:rPr>
        <w:t xml:space="preserve">that Mr. Bethea </w:t>
      </w:r>
      <w:r w:rsidR="00C90915">
        <w:rPr>
          <w:rFonts w:ascii="Century" w:hAnsi="Century"/>
          <w:sz w:val="28"/>
          <w:szCs w:val="28"/>
        </w:rPr>
        <w:t>had no memories related to the incident</w:t>
      </w:r>
      <w:r w:rsidR="00CD1E9E">
        <w:rPr>
          <w:rFonts w:ascii="Century" w:hAnsi="Century"/>
          <w:sz w:val="28"/>
          <w:szCs w:val="28"/>
        </w:rPr>
        <w:t xml:space="preserve"> until he woke up in the hospital. </w:t>
      </w:r>
      <w:r w:rsidR="00826C7C">
        <w:rPr>
          <w:rFonts w:ascii="Century" w:hAnsi="Century"/>
          <w:sz w:val="28"/>
          <w:szCs w:val="28"/>
        </w:rPr>
        <w:t>(Doc. Ex. 3)</w:t>
      </w:r>
      <w:r w:rsidR="0049391B">
        <w:rPr>
          <w:rFonts w:ascii="Century" w:hAnsi="Century"/>
          <w:sz w:val="28"/>
          <w:szCs w:val="28"/>
        </w:rPr>
        <w:t xml:space="preserve"> Dr. </w:t>
      </w:r>
      <w:proofErr w:type="spellStart"/>
      <w:r w:rsidR="0049391B">
        <w:rPr>
          <w:rFonts w:ascii="Century" w:hAnsi="Century"/>
          <w:sz w:val="28"/>
          <w:szCs w:val="28"/>
        </w:rPr>
        <w:t>Hilkey’s</w:t>
      </w:r>
      <w:proofErr w:type="spellEnd"/>
      <w:r w:rsidR="0049391B">
        <w:rPr>
          <w:rFonts w:ascii="Century" w:hAnsi="Century"/>
          <w:sz w:val="28"/>
          <w:szCs w:val="28"/>
        </w:rPr>
        <w:t xml:space="preserve"> </w:t>
      </w:r>
      <w:r w:rsidR="004C21C4">
        <w:rPr>
          <w:rFonts w:ascii="Century" w:hAnsi="Century"/>
          <w:sz w:val="28"/>
          <w:szCs w:val="28"/>
        </w:rPr>
        <w:t>further testified</w:t>
      </w:r>
      <w:r w:rsidR="0049391B">
        <w:rPr>
          <w:rFonts w:ascii="Century" w:hAnsi="Century"/>
          <w:sz w:val="28"/>
          <w:szCs w:val="28"/>
        </w:rPr>
        <w:t xml:space="preserve"> that Mr. Bethea was intubated and unresponsive for an extended </w:t>
      </w:r>
      <w:proofErr w:type="gramStart"/>
      <w:r w:rsidR="0049391B">
        <w:rPr>
          <w:rFonts w:ascii="Century" w:hAnsi="Century"/>
          <w:sz w:val="28"/>
          <w:szCs w:val="28"/>
        </w:rPr>
        <w:t>period of time</w:t>
      </w:r>
      <w:proofErr w:type="gramEnd"/>
      <w:r w:rsidR="00E07837">
        <w:rPr>
          <w:rFonts w:ascii="Century" w:hAnsi="Century"/>
          <w:sz w:val="28"/>
          <w:szCs w:val="28"/>
        </w:rPr>
        <w:t xml:space="preserve"> during his hospitalization. (T p 12)</w:t>
      </w:r>
      <w:r w:rsidR="00DD57B8">
        <w:rPr>
          <w:rFonts w:ascii="Century" w:hAnsi="Century"/>
          <w:sz w:val="28"/>
          <w:szCs w:val="28"/>
        </w:rPr>
        <w:t xml:space="preserve"> Mr. Bethea could not remember anything about </w:t>
      </w:r>
      <w:r w:rsidR="00B912C5">
        <w:rPr>
          <w:rFonts w:ascii="Century" w:hAnsi="Century"/>
          <w:sz w:val="28"/>
          <w:szCs w:val="28"/>
        </w:rPr>
        <w:t xml:space="preserve">the day of the shooting, including the time </w:t>
      </w:r>
      <w:r w:rsidR="00C20EB0">
        <w:rPr>
          <w:rFonts w:ascii="Century" w:hAnsi="Century"/>
          <w:sz w:val="28"/>
          <w:szCs w:val="28"/>
        </w:rPr>
        <w:t>before</w:t>
      </w:r>
      <w:r w:rsidR="00B912C5">
        <w:rPr>
          <w:rFonts w:ascii="Century" w:hAnsi="Century"/>
          <w:sz w:val="28"/>
          <w:szCs w:val="28"/>
        </w:rPr>
        <w:t xml:space="preserve"> his injury. (T p 17)</w:t>
      </w:r>
      <w:r w:rsidR="002456AB">
        <w:rPr>
          <w:rFonts w:ascii="Century" w:hAnsi="Century"/>
          <w:sz w:val="28"/>
          <w:szCs w:val="28"/>
        </w:rPr>
        <w:t xml:space="preserve"> </w:t>
      </w:r>
      <w:r w:rsidR="00C40A4B">
        <w:rPr>
          <w:rFonts w:ascii="Century" w:hAnsi="Century"/>
          <w:sz w:val="28"/>
          <w:szCs w:val="28"/>
        </w:rPr>
        <w:t xml:space="preserve">In arguing to the court, trial counsel confirmed that Mr. </w:t>
      </w:r>
      <w:r w:rsidR="00AB21E0">
        <w:rPr>
          <w:rFonts w:ascii="Century" w:hAnsi="Century"/>
          <w:sz w:val="28"/>
          <w:szCs w:val="28"/>
        </w:rPr>
        <w:t>Bethea has no recollection of the shooting and “no memory. . . of anything that happened, you know, for several days before this incident</w:t>
      </w:r>
      <w:r w:rsidR="00F56C21">
        <w:rPr>
          <w:rFonts w:ascii="Century" w:hAnsi="Century"/>
          <w:sz w:val="28"/>
          <w:szCs w:val="28"/>
        </w:rPr>
        <w:t>,</w:t>
      </w:r>
      <w:r w:rsidR="00AB21E0">
        <w:rPr>
          <w:rFonts w:ascii="Century" w:hAnsi="Century"/>
          <w:sz w:val="28"/>
          <w:szCs w:val="28"/>
        </w:rPr>
        <w:t>”</w:t>
      </w:r>
      <w:r w:rsidR="00F56C21">
        <w:rPr>
          <w:rFonts w:ascii="Century" w:hAnsi="Century"/>
          <w:sz w:val="28"/>
          <w:szCs w:val="28"/>
        </w:rPr>
        <w:t xml:space="preserve"> and had therefore been unable to assist counsel in preparing for trial.</w:t>
      </w:r>
      <w:r w:rsidR="00AB21E0">
        <w:rPr>
          <w:rFonts w:ascii="Century" w:hAnsi="Century"/>
          <w:sz w:val="28"/>
          <w:szCs w:val="28"/>
        </w:rPr>
        <w:t xml:space="preserve"> </w:t>
      </w:r>
      <w:r w:rsidR="0005159D">
        <w:rPr>
          <w:rFonts w:ascii="Century" w:hAnsi="Century"/>
          <w:sz w:val="28"/>
          <w:szCs w:val="28"/>
        </w:rPr>
        <w:t>(T p</w:t>
      </w:r>
      <w:r w:rsidR="00F56C21">
        <w:rPr>
          <w:rFonts w:ascii="Century" w:hAnsi="Century"/>
          <w:sz w:val="28"/>
          <w:szCs w:val="28"/>
        </w:rPr>
        <w:t>p</w:t>
      </w:r>
      <w:r w:rsidR="0005159D">
        <w:rPr>
          <w:rFonts w:ascii="Century" w:hAnsi="Century"/>
          <w:sz w:val="28"/>
          <w:szCs w:val="28"/>
        </w:rPr>
        <w:t xml:space="preserve"> 29</w:t>
      </w:r>
      <w:r w:rsidR="00F56C21">
        <w:rPr>
          <w:rFonts w:ascii="Century" w:hAnsi="Century"/>
          <w:sz w:val="28"/>
          <w:szCs w:val="28"/>
        </w:rPr>
        <w:t>, 34-35</w:t>
      </w:r>
      <w:r w:rsidR="0005159D">
        <w:rPr>
          <w:rFonts w:ascii="Century" w:hAnsi="Century"/>
          <w:sz w:val="28"/>
          <w:szCs w:val="28"/>
        </w:rPr>
        <w:t>)</w:t>
      </w:r>
      <w:r w:rsidR="00FF68D0">
        <w:rPr>
          <w:rFonts w:ascii="Century" w:hAnsi="Century"/>
          <w:sz w:val="28"/>
          <w:szCs w:val="28"/>
        </w:rPr>
        <w:t xml:space="preserve"> All the evidence </w:t>
      </w:r>
      <w:r w:rsidR="00C20EB0">
        <w:rPr>
          <w:rFonts w:ascii="Century" w:hAnsi="Century"/>
          <w:sz w:val="28"/>
          <w:szCs w:val="28"/>
        </w:rPr>
        <w:t xml:space="preserve">demonstrated </w:t>
      </w:r>
      <w:r w:rsidR="00FF68D0">
        <w:rPr>
          <w:rFonts w:ascii="Century" w:hAnsi="Century"/>
          <w:sz w:val="28"/>
          <w:szCs w:val="28"/>
        </w:rPr>
        <w:t xml:space="preserve">that Mr. Bethea had no memory at all for several days before the incident, the </w:t>
      </w:r>
      <w:r w:rsidR="00FF68D0">
        <w:rPr>
          <w:rFonts w:ascii="Century" w:hAnsi="Century"/>
          <w:sz w:val="28"/>
          <w:szCs w:val="28"/>
        </w:rPr>
        <w:lastRenderedPageBreak/>
        <w:t xml:space="preserve">incident itself, and </w:t>
      </w:r>
      <w:r w:rsidR="00CE69B9">
        <w:rPr>
          <w:rFonts w:ascii="Century" w:hAnsi="Century"/>
          <w:sz w:val="28"/>
          <w:szCs w:val="28"/>
        </w:rPr>
        <w:t xml:space="preserve">a period of weeks after the incident. </w:t>
      </w:r>
      <w:r w:rsidR="002419B9">
        <w:rPr>
          <w:rFonts w:ascii="Century" w:hAnsi="Century"/>
          <w:sz w:val="28"/>
          <w:szCs w:val="28"/>
        </w:rPr>
        <w:t xml:space="preserve">There was no evidence from which the trial court could </w:t>
      </w:r>
      <w:r w:rsidR="00C20EB0">
        <w:rPr>
          <w:rFonts w:ascii="Century" w:hAnsi="Century"/>
          <w:sz w:val="28"/>
          <w:szCs w:val="28"/>
        </w:rPr>
        <w:t>find</w:t>
      </w:r>
      <w:r w:rsidR="002419B9">
        <w:rPr>
          <w:rFonts w:ascii="Century" w:hAnsi="Century"/>
          <w:sz w:val="28"/>
          <w:szCs w:val="28"/>
        </w:rPr>
        <w:t xml:space="preserve"> that Mr. Bethea was able to remember </w:t>
      </w:r>
      <w:proofErr w:type="gramStart"/>
      <w:r w:rsidR="000D636B">
        <w:rPr>
          <w:rFonts w:ascii="Century" w:hAnsi="Century"/>
          <w:sz w:val="28"/>
          <w:szCs w:val="28"/>
        </w:rPr>
        <w:t>a period of time</w:t>
      </w:r>
      <w:proofErr w:type="gramEnd"/>
      <w:r w:rsidR="000D636B">
        <w:rPr>
          <w:rFonts w:ascii="Century" w:hAnsi="Century"/>
          <w:sz w:val="28"/>
          <w:szCs w:val="28"/>
        </w:rPr>
        <w:t xml:space="preserve"> either before or after the incident that would have been relevant to </w:t>
      </w:r>
      <w:r w:rsidR="0000271F">
        <w:rPr>
          <w:rFonts w:ascii="Century" w:hAnsi="Century"/>
          <w:sz w:val="28"/>
          <w:szCs w:val="28"/>
        </w:rPr>
        <w:t>the offense.</w:t>
      </w:r>
    </w:p>
    <w:p w14:paraId="0EDFCBC4" w14:textId="5216B8FD" w:rsidR="0045468F" w:rsidRPr="009E35BD" w:rsidRDefault="0045468F" w:rsidP="002A3B01">
      <w:pPr>
        <w:spacing w:line="480" w:lineRule="auto"/>
        <w:ind w:firstLine="720"/>
        <w:jc w:val="both"/>
        <w:rPr>
          <w:rFonts w:ascii="Century" w:hAnsi="Century"/>
          <w:sz w:val="28"/>
          <w:szCs w:val="28"/>
        </w:rPr>
      </w:pPr>
      <w:r w:rsidRPr="00054DA9">
        <w:rPr>
          <w:rFonts w:ascii="Century" w:hAnsi="Century"/>
          <w:sz w:val="28"/>
          <w:szCs w:val="28"/>
        </w:rPr>
        <w:t xml:space="preserve">To the extent Mr. Bethea was able to remember events from his childhood or things that occurred </w:t>
      </w:r>
      <w:r w:rsidR="003616E5" w:rsidRPr="00054DA9">
        <w:rPr>
          <w:rFonts w:ascii="Century" w:hAnsi="Century"/>
          <w:sz w:val="28"/>
          <w:szCs w:val="28"/>
        </w:rPr>
        <w:t>months after his injury, those memories were of no relevance</w:t>
      </w:r>
      <w:r w:rsidR="009C6DB3" w:rsidRPr="00054DA9">
        <w:rPr>
          <w:rFonts w:ascii="Century" w:hAnsi="Century"/>
          <w:sz w:val="28"/>
          <w:szCs w:val="28"/>
        </w:rPr>
        <w:t xml:space="preserve"> to his ability to stand trial</w:t>
      </w:r>
      <w:r w:rsidR="0000271F" w:rsidRPr="00054DA9">
        <w:rPr>
          <w:rFonts w:ascii="Century" w:hAnsi="Century"/>
          <w:sz w:val="28"/>
          <w:szCs w:val="28"/>
        </w:rPr>
        <w:t xml:space="preserve">. </w:t>
      </w:r>
      <w:r w:rsidR="007F5406" w:rsidRPr="00054DA9">
        <w:rPr>
          <w:rFonts w:ascii="Century" w:hAnsi="Century"/>
          <w:sz w:val="28"/>
          <w:szCs w:val="28"/>
        </w:rPr>
        <w:t xml:space="preserve">For example, Mr. Bethea’s </w:t>
      </w:r>
      <w:r w:rsidR="005B1361" w:rsidRPr="00054DA9">
        <w:rPr>
          <w:rFonts w:ascii="Century" w:hAnsi="Century"/>
          <w:sz w:val="28"/>
          <w:szCs w:val="28"/>
        </w:rPr>
        <w:t xml:space="preserve">recollection of first meeting his father at age twelve would be of no use to </w:t>
      </w:r>
      <w:r w:rsidR="00466E86" w:rsidRPr="00054DA9">
        <w:rPr>
          <w:rFonts w:ascii="Century" w:hAnsi="Century"/>
          <w:sz w:val="28"/>
          <w:szCs w:val="28"/>
        </w:rPr>
        <w:t xml:space="preserve">counsel in developing an affirmative defense for trial. </w:t>
      </w:r>
      <w:r w:rsidR="0040335A" w:rsidRPr="00054DA9">
        <w:rPr>
          <w:rFonts w:ascii="Century" w:hAnsi="Century"/>
          <w:sz w:val="28"/>
          <w:szCs w:val="28"/>
        </w:rPr>
        <w:t>(</w:t>
      </w:r>
      <w:r w:rsidR="00466E86" w:rsidRPr="00054DA9">
        <w:rPr>
          <w:rFonts w:ascii="Century" w:hAnsi="Century"/>
          <w:i/>
          <w:iCs/>
          <w:sz w:val="28"/>
          <w:szCs w:val="28"/>
        </w:rPr>
        <w:t xml:space="preserve">See </w:t>
      </w:r>
      <w:r w:rsidR="00466E86" w:rsidRPr="00054DA9">
        <w:rPr>
          <w:rFonts w:ascii="Century" w:hAnsi="Century"/>
          <w:sz w:val="28"/>
          <w:szCs w:val="28"/>
        </w:rPr>
        <w:t>Doc. Ex. 2</w:t>
      </w:r>
      <w:r w:rsidR="0040335A" w:rsidRPr="00054DA9">
        <w:rPr>
          <w:rFonts w:ascii="Century" w:hAnsi="Century"/>
          <w:sz w:val="28"/>
          <w:szCs w:val="28"/>
        </w:rPr>
        <w:t>)</w:t>
      </w:r>
      <w:r w:rsidR="00070A88" w:rsidRPr="00054DA9">
        <w:rPr>
          <w:rFonts w:ascii="Century" w:hAnsi="Century"/>
          <w:sz w:val="28"/>
          <w:szCs w:val="28"/>
        </w:rPr>
        <w:t xml:space="preserve"> </w:t>
      </w:r>
      <w:r w:rsidR="00E24FCC" w:rsidRPr="00054DA9">
        <w:rPr>
          <w:rFonts w:ascii="Century" w:hAnsi="Century"/>
          <w:sz w:val="28"/>
          <w:szCs w:val="28"/>
        </w:rPr>
        <w:t xml:space="preserve">It is manifestly unsupported by reason to suggest that </w:t>
      </w:r>
      <w:r w:rsidR="002E009C" w:rsidRPr="00054DA9">
        <w:rPr>
          <w:rFonts w:ascii="Century" w:hAnsi="Century"/>
          <w:sz w:val="28"/>
          <w:szCs w:val="28"/>
        </w:rPr>
        <w:t xml:space="preserve">the retention of </w:t>
      </w:r>
      <w:r w:rsidR="00C77BBF">
        <w:rPr>
          <w:rFonts w:ascii="Century" w:hAnsi="Century"/>
          <w:sz w:val="28"/>
          <w:szCs w:val="28"/>
        </w:rPr>
        <w:t>irrelevant</w:t>
      </w:r>
      <w:r w:rsidR="006263A3" w:rsidRPr="00054DA9">
        <w:rPr>
          <w:rFonts w:ascii="Century" w:hAnsi="Century"/>
          <w:sz w:val="28"/>
          <w:szCs w:val="28"/>
        </w:rPr>
        <w:t xml:space="preserve"> memories </w:t>
      </w:r>
      <w:r w:rsidR="00054DA9" w:rsidRPr="00054DA9">
        <w:rPr>
          <w:rFonts w:ascii="Century" w:hAnsi="Century"/>
          <w:sz w:val="28"/>
          <w:szCs w:val="28"/>
        </w:rPr>
        <w:t>would make a defendant competent to stand trial for an incident he could not remember.</w:t>
      </w:r>
    </w:p>
    <w:p w14:paraId="1371CF7F" w14:textId="77777777" w:rsidR="006B685C" w:rsidRDefault="00815B1C" w:rsidP="006B685C">
      <w:pPr>
        <w:spacing w:line="480" w:lineRule="auto"/>
        <w:ind w:firstLine="720"/>
        <w:jc w:val="both"/>
        <w:rPr>
          <w:rFonts w:ascii="Century" w:hAnsi="Century"/>
          <w:sz w:val="28"/>
          <w:szCs w:val="28"/>
        </w:rPr>
      </w:pPr>
      <w:r>
        <w:rPr>
          <w:rFonts w:ascii="Century" w:hAnsi="Century"/>
          <w:sz w:val="28"/>
          <w:szCs w:val="28"/>
        </w:rPr>
        <w:t>Moreover</w:t>
      </w:r>
      <w:r w:rsidR="006D3266">
        <w:rPr>
          <w:rFonts w:ascii="Century" w:hAnsi="Century"/>
          <w:sz w:val="28"/>
          <w:szCs w:val="28"/>
        </w:rPr>
        <w:t xml:space="preserve">, </w:t>
      </w:r>
      <w:r w:rsidR="00734451">
        <w:rPr>
          <w:rFonts w:ascii="Century" w:hAnsi="Century"/>
          <w:sz w:val="28"/>
          <w:szCs w:val="28"/>
        </w:rPr>
        <w:t>the trial court failed to</w:t>
      </w:r>
      <w:r w:rsidR="001E503A">
        <w:rPr>
          <w:rFonts w:ascii="Century" w:hAnsi="Century"/>
          <w:sz w:val="28"/>
          <w:szCs w:val="28"/>
        </w:rPr>
        <w:t xml:space="preserve"> include several relevant facts in its limited findings, including that Mr. Bethea suffered a traumatic brain injury</w:t>
      </w:r>
      <w:r w:rsidR="004872BF">
        <w:rPr>
          <w:rFonts w:ascii="Century" w:hAnsi="Century"/>
          <w:sz w:val="28"/>
          <w:szCs w:val="28"/>
        </w:rPr>
        <w:t>, has thinking and reasoning abilities lower than 93% of his peers, experiences neurocognitive dysfunction, and shows no signs of malingering.</w:t>
      </w:r>
    </w:p>
    <w:p w14:paraId="4460995C" w14:textId="77777777" w:rsidR="00280C84" w:rsidRDefault="00280C84" w:rsidP="006B685C">
      <w:pPr>
        <w:spacing w:line="480" w:lineRule="auto"/>
        <w:ind w:firstLine="720"/>
        <w:jc w:val="both"/>
        <w:rPr>
          <w:rFonts w:ascii="Century" w:hAnsi="Century"/>
          <w:sz w:val="28"/>
          <w:szCs w:val="28"/>
        </w:rPr>
      </w:pPr>
    </w:p>
    <w:p w14:paraId="1F167AE8" w14:textId="7A1F078E" w:rsidR="00B8074C" w:rsidRPr="006B685C" w:rsidRDefault="00B8074C" w:rsidP="006B685C">
      <w:pPr>
        <w:spacing w:line="480" w:lineRule="auto"/>
        <w:jc w:val="both"/>
        <w:rPr>
          <w:rFonts w:ascii="Century" w:hAnsi="Century"/>
          <w:sz w:val="28"/>
          <w:szCs w:val="28"/>
        </w:rPr>
      </w:pPr>
      <w:r>
        <w:rPr>
          <w:rFonts w:ascii="Century" w:hAnsi="Century"/>
          <w:b/>
          <w:bCs/>
          <w:sz w:val="28"/>
          <w:szCs w:val="28"/>
          <w:u w:val="single"/>
        </w:rPr>
        <w:t>Conclusions of Law</w:t>
      </w:r>
    </w:p>
    <w:p w14:paraId="23A8D20F" w14:textId="70706202" w:rsidR="0002081E" w:rsidRPr="00844267" w:rsidRDefault="0002081E" w:rsidP="00B8074C">
      <w:pPr>
        <w:spacing w:line="480" w:lineRule="auto"/>
        <w:ind w:firstLine="720"/>
        <w:jc w:val="both"/>
        <w:rPr>
          <w:rFonts w:ascii="Century" w:hAnsi="Century"/>
          <w:sz w:val="28"/>
          <w:szCs w:val="28"/>
        </w:rPr>
      </w:pPr>
      <w:r>
        <w:rPr>
          <w:rFonts w:ascii="Century" w:hAnsi="Century"/>
          <w:sz w:val="28"/>
          <w:szCs w:val="28"/>
        </w:rPr>
        <w:lastRenderedPageBreak/>
        <w:t xml:space="preserve">The trial court’s conclusions of law are not supported by competent evidence and reflect an incorrect application of the law in two ways. First, the trial court found Mr. Bethea “capable of assisting in his defense to the extent that he can remember events before and after [the shooting].” (T p 38) Because all the evidence was that Mr. Bethea had no memory of the relevant time periods before and after the shooting, it was an abuse of discretion to find him competent on this basis. Second, the trial court appears to have misinterpreted the cases it cited to mean that memory loss is </w:t>
      </w:r>
      <w:r>
        <w:rPr>
          <w:rFonts w:ascii="Century" w:hAnsi="Century"/>
          <w:i/>
          <w:iCs/>
          <w:sz w:val="28"/>
          <w:szCs w:val="28"/>
        </w:rPr>
        <w:t xml:space="preserve">per se </w:t>
      </w:r>
      <w:r>
        <w:rPr>
          <w:rFonts w:ascii="Century" w:hAnsi="Century"/>
          <w:sz w:val="28"/>
          <w:szCs w:val="28"/>
        </w:rPr>
        <w:t xml:space="preserve">insufficient to establish incompetence. To the contrary, these cases demonstrate that memory loss may not automatically establish </w:t>
      </w:r>
      <w:r w:rsidR="00C95C48">
        <w:rPr>
          <w:rFonts w:ascii="Century" w:hAnsi="Century"/>
          <w:sz w:val="28"/>
          <w:szCs w:val="28"/>
        </w:rPr>
        <w:t>incompetence but</w:t>
      </w:r>
      <w:r>
        <w:rPr>
          <w:rFonts w:ascii="Century" w:hAnsi="Century"/>
          <w:sz w:val="28"/>
          <w:szCs w:val="28"/>
        </w:rPr>
        <w:t xml:space="preserve"> must be considered as part of the totality of the circumstances in the court’s analysis.</w:t>
      </w:r>
    </w:p>
    <w:p w14:paraId="1E8F5115" w14:textId="052D3950" w:rsidR="0002081E" w:rsidRDefault="0002081E" w:rsidP="0002081E">
      <w:pPr>
        <w:spacing w:line="480" w:lineRule="auto"/>
        <w:ind w:firstLine="720"/>
        <w:jc w:val="both"/>
        <w:rPr>
          <w:rFonts w:ascii="Century" w:hAnsi="Century"/>
          <w:sz w:val="28"/>
          <w:szCs w:val="28"/>
        </w:rPr>
      </w:pPr>
      <w:r>
        <w:rPr>
          <w:rFonts w:ascii="Century" w:hAnsi="Century"/>
          <w:sz w:val="28"/>
          <w:szCs w:val="28"/>
        </w:rPr>
        <w:t xml:space="preserve">In </w:t>
      </w:r>
      <w:r w:rsidRPr="00103ADA">
        <w:rPr>
          <w:rFonts w:ascii="Century" w:hAnsi="Century"/>
          <w:i/>
          <w:iCs/>
          <w:sz w:val="28"/>
          <w:szCs w:val="28"/>
        </w:rPr>
        <w:t>State v.</w:t>
      </w:r>
      <w:r>
        <w:rPr>
          <w:rFonts w:ascii="Century" w:hAnsi="Century"/>
          <w:sz w:val="28"/>
          <w:szCs w:val="28"/>
        </w:rPr>
        <w:t xml:space="preserve"> </w:t>
      </w:r>
      <w:r>
        <w:rPr>
          <w:rFonts w:ascii="Century" w:hAnsi="Century"/>
          <w:i/>
          <w:iCs/>
          <w:sz w:val="28"/>
          <w:szCs w:val="28"/>
        </w:rPr>
        <w:t>Willard</w:t>
      </w:r>
      <w:r>
        <w:rPr>
          <w:rFonts w:ascii="Century" w:hAnsi="Century"/>
          <w:sz w:val="28"/>
          <w:szCs w:val="28"/>
        </w:rPr>
        <w:t xml:space="preserve">, </w:t>
      </w:r>
      <w:r w:rsidR="00003E9C">
        <w:rPr>
          <w:rFonts w:ascii="Century" w:hAnsi="Century"/>
          <w:sz w:val="28"/>
          <w:szCs w:val="28"/>
        </w:rPr>
        <w:t>292 N.C.</w:t>
      </w:r>
      <w:r w:rsidR="00E6558B">
        <w:rPr>
          <w:rFonts w:ascii="Century" w:hAnsi="Century"/>
          <w:sz w:val="28"/>
          <w:szCs w:val="28"/>
        </w:rPr>
        <w:t xml:space="preserve"> 567, 234 </w:t>
      </w:r>
      <w:proofErr w:type="spellStart"/>
      <w:r w:rsidR="00E6558B">
        <w:rPr>
          <w:rFonts w:ascii="Century" w:hAnsi="Century"/>
          <w:sz w:val="28"/>
          <w:szCs w:val="28"/>
        </w:rPr>
        <w:t>S.E.2d</w:t>
      </w:r>
      <w:proofErr w:type="spellEnd"/>
      <w:r w:rsidR="00E6558B">
        <w:rPr>
          <w:rFonts w:ascii="Century" w:hAnsi="Century"/>
          <w:sz w:val="28"/>
          <w:szCs w:val="28"/>
        </w:rPr>
        <w:t xml:space="preserve"> 587 (1977)</w:t>
      </w:r>
      <w:r>
        <w:rPr>
          <w:rFonts w:ascii="Century" w:hAnsi="Century"/>
          <w:sz w:val="28"/>
          <w:szCs w:val="28"/>
        </w:rPr>
        <w:t xml:space="preserve">, the defendant presented evidence that on the day of the crime, he consumed a fifth of liquor and some beer, and was suffering from alcohol pathological intoxication. As a result, the defendant had no memory of the offense. </w:t>
      </w:r>
      <w:r w:rsidR="00BB0826" w:rsidRPr="00BB0826">
        <w:rPr>
          <w:rFonts w:ascii="Century" w:hAnsi="Century"/>
          <w:i/>
          <w:iCs/>
          <w:sz w:val="28"/>
          <w:szCs w:val="28"/>
        </w:rPr>
        <w:t>Id</w:t>
      </w:r>
      <w:r w:rsidR="00BB0826">
        <w:rPr>
          <w:rFonts w:ascii="Century" w:hAnsi="Century"/>
          <w:sz w:val="28"/>
          <w:szCs w:val="28"/>
        </w:rPr>
        <w:t xml:space="preserve">. at ** 5-6. </w:t>
      </w:r>
      <w:r w:rsidRPr="00BB0826">
        <w:rPr>
          <w:rFonts w:ascii="Century" w:hAnsi="Century"/>
          <w:sz w:val="28"/>
          <w:szCs w:val="28"/>
        </w:rPr>
        <w:t>The</w:t>
      </w:r>
      <w:r>
        <w:rPr>
          <w:rFonts w:ascii="Century" w:hAnsi="Century"/>
          <w:sz w:val="28"/>
          <w:szCs w:val="28"/>
        </w:rPr>
        <w:t xml:space="preserve"> State presented evidence to the contrary, including evidence of malingering. </w:t>
      </w:r>
      <w:r>
        <w:rPr>
          <w:rFonts w:ascii="Century" w:hAnsi="Century"/>
          <w:i/>
          <w:iCs/>
          <w:sz w:val="28"/>
          <w:szCs w:val="28"/>
        </w:rPr>
        <w:t>Id</w:t>
      </w:r>
      <w:r>
        <w:rPr>
          <w:rFonts w:ascii="Century" w:hAnsi="Century"/>
          <w:sz w:val="28"/>
          <w:szCs w:val="28"/>
        </w:rPr>
        <w:t xml:space="preserve">. at ** 7-9. There are several significant differences between </w:t>
      </w:r>
      <w:r>
        <w:rPr>
          <w:rFonts w:ascii="Century" w:hAnsi="Century"/>
          <w:i/>
          <w:iCs/>
          <w:sz w:val="28"/>
          <w:szCs w:val="28"/>
        </w:rPr>
        <w:t xml:space="preserve">Willard </w:t>
      </w:r>
      <w:r>
        <w:rPr>
          <w:rFonts w:ascii="Century" w:hAnsi="Century"/>
          <w:sz w:val="28"/>
          <w:szCs w:val="28"/>
        </w:rPr>
        <w:t xml:space="preserve">and the present case: (1) the </w:t>
      </w:r>
      <w:r>
        <w:rPr>
          <w:rFonts w:ascii="Century" w:hAnsi="Century"/>
          <w:sz w:val="28"/>
          <w:szCs w:val="28"/>
        </w:rPr>
        <w:lastRenderedPageBreak/>
        <w:t xml:space="preserve">defendant in </w:t>
      </w:r>
      <w:r w:rsidRPr="00103ADA">
        <w:rPr>
          <w:rFonts w:ascii="Century" w:hAnsi="Century"/>
          <w:i/>
          <w:iCs/>
          <w:sz w:val="28"/>
          <w:szCs w:val="28"/>
        </w:rPr>
        <w:t>Willard</w:t>
      </w:r>
      <w:r>
        <w:rPr>
          <w:rFonts w:ascii="Century" w:hAnsi="Century"/>
          <w:sz w:val="28"/>
          <w:szCs w:val="28"/>
        </w:rPr>
        <w:t xml:space="preserve"> was able to remember how much he drank immediately before he blacked out, while Mr. Bethea has no memories for several days before the incident, (2) the memory loss of the defendant in </w:t>
      </w:r>
      <w:r w:rsidRPr="00103ADA">
        <w:rPr>
          <w:rFonts w:ascii="Century" w:hAnsi="Century"/>
          <w:i/>
          <w:iCs/>
          <w:sz w:val="28"/>
          <w:szCs w:val="28"/>
        </w:rPr>
        <w:t>Willard</w:t>
      </w:r>
      <w:r>
        <w:rPr>
          <w:rFonts w:ascii="Century" w:hAnsi="Century"/>
          <w:sz w:val="28"/>
          <w:szCs w:val="28"/>
        </w:rPr>
        <w:t xml:space="preserve"> was due to voluntary alcohol consumption, while Mr. Bethea’s was caused by a traumatic brain injury, and (3) there was evidence that the defendant in </w:t>
      </w:r>
      <w:r w:rsidRPr="00103ADA">
        <w:rPr>
          <w:rFonts w:ascii="Century" w:hAnsi="Century"/>
          <w:i/>
          <w:iCs/>
          <w:sz w:val="28"/>
          <w:szCs w:val="28"/>
        </w:rPr>
        <w:t>Willard</w:t>
      </w:r>
      <w:r>
        <w:rPr>
          <w:rFonts w:ascii="Century" w:hAnsi="Century"/>
          <w:sz w:val="28"/>
          <w:szCs w:val="28"/>
        </w:rPr>
        <w:t xml:space="preserve"> fabricated his symptoms, but no evidence that Mr. Bethea malingered. </w:t>
      </w:r>
    </w:p>
    <w:p w14:paraId="7B265EFA" w14:textId="2029D230" w:rsidR="0002081E" w:rsidRDefault="000021FC" w:rsidP="0002081E">
      <w:pPr>
        <w:spacing w:line="480" w:lineRule="auto"/>
        <w:ind w:firstLine="720"/>
        <w:jc w:val="both"/>
        <w:rPr>
          <w:rFonts w:ascii="Century" w:hAnsi="Century"/>
          <w:sz w:val="28"/>
          <w:szCs w:val="28"/>
        </w:rPr>
      </w:pPr>
      <w:r>
        <w:rPr>
          <w:rFonts w:ascii="Century" w:hAnsi="Century"/>
          <w:sz w:val="28"/>
          <w:szCs w:val="28"/>
        </w:rPr>
        <w:t xml:space="preserve">The trial court has misinterpreted </w:t>
      </w:r>
      <w:r>
        <w:rPr>
          <w:rFonts w:ascii="Century" w:hAnsi="Century"/>
          <w:i/>
          <w:iCs/>
          <w:sz w:val="28"/>
          <w:szCs w:val="28"/>
        </w:rPr>
        <w:t xml:space="preserve">Willard </w:t>
      </w:r>
      <w:r>
        <w:rPr>
          <w:rFonts w:ascii="Century" w:hAnsi="Century"/>
          <w:sz w:val="28"/>
          <w:szCs w:val="28"/>
        </w:rPr>
        <w:t>in several ways</w:t>
      </w:r>
      <w:r w:rsidR="0002081E">
        <w:rPr>
          <w:rFonts w:ascii="Century" w:hAnsi="Century"/>
          <w:sz w:val="28"/>
          <w:szCs w:val="28"/>
        </w:rPr>
        <w:t xml:space="preserve">. First, a finding that amnesia does not render a defendant incompetent </w:t>
      </w:r>
      <w:r w:rsidR="0002081E">
        <w:rPr>
          <w:rFonts w:ascii="Century" w:hAnsi="Century"/>
          <w:i/>
          <w:iCs/>
          <w:sz w:val="28"/>
          <w:szCs w:val="28"/>
        </w:rPr>
        <w:t>per se</w:t>
      </w:r>
      <w:r w:rsidR="0002081E">
        <w:rPr>
          <w:rFonts w:ascii="Century" w:hAnsi="Century"/>
          <w:sz w:val="28"/>
          <w:szCs w:val="28"/>
        </w:rPr>
        <w:t xml:space="preserve"> is not a holding that memory loss can never be the foundation for a finding of incompetency. The trial court appears to have believed that </w:t>
      </w:r>
      <w:r w:rsidR="0002081E" w:rsidRPr="002519D5">
        <w:rPr>
          <w:rFonts w:ascii="Century" w:hAnsi="Century"/>
          <w:i/>
          <w:iCs/>
          <w:sz w:val="28"/>
          <w:szCs w:val="28"/>
        </w:rPr>
        <w:t>Willard</w:t>
      </w:r>
      <w:r w:rsidR="0002081E">
        <w:rPr>
          <w:rFonts w:ascii="Century" w:hAnsi="Century"/>
          <w:i/>
          <w:iCs/>
          <w:sz w:val="28"/>
          <w:szCs w:val="28"/>
        </w:rPr>
        <w:t xml:space="preserve"> </w:t>
      </w:r>
      <w:r w:rsidR="0002081E">
        <w:rPr>
          <w:rFonts w:ascii="Century" w:hAnsi="Century"/>
          <w:sz w:val="28"/>
          <w:szCs w:val="28"/>
        </w:rPr>
        <w:t xml:space="preserve">closed the question and failed to </w:t>
      </w:r>
      <w:r w:rsidR="0002081E" w:rsidRPr="002519D5">
        <w:rPr>
          <w:rFonts w:ascii="Century" w:hAnsi="Century"/>
          <w:sz w:val="28"/>
          <w:szCs w:val="28"/>
        </w:rPr>
        <w:t>analyze the</w:t>
      </w:r>
      <w:r w:rsidR="0002081E">
        <w:rPr>
          <w:rFonts w:ascii="Century" w:hAnsi="Century"/>
          <w:sz w:val="28"/>
          <w:szCs w:val="28"/>
        </w:rPr>
        <w:t xml:space="preserve"> facts of Mr. Bethea’s individual case. Second, the </w:t>
      </w:r>
      <w:r w:rsidR="0002081E">
        <w:rPr>
          <w:rFonts w:ascii="Century" w:hAnsi="Century"/>
          <w:i/>
          <w:iCs/>
          <w:sz w:val="28"/>
          <w:szCs w:val="28"/>
        </w:rPr>
        <w:t xml:space="preserve">Willard </w:t>
      </w:r>
      <w:r w:rsidR="0002081E">
        <w:rPr>
          <w:rFonts w:ascii="Century" w:hAnsi="Century"/>
          <w:sz w:val="28"/>
          <w:szCs w:val="28"/>
        </w:rPr>
        <w:t xml:space="preserve">court specifically referred to “partial amnesia.” </w:t>
      </w:r>
      <w:r w:rsidR="00B133D5">
        <w:rPr>
          <w:rFonts w:ascii="Century" w:hAnsi="Century"/>
          <w:sz w:val="28"/>
          <w:szCs w:val="28"/>
        </w:rPr>
        <w:t xml:space="preserve">292 N.C. at </w:t>
      </w:r>
      <w:r w:rsidR="00C92DD6">
        <w:rPr>
          <w:rFonts w:ascii="Century" w:hAnsi="Century"/>
          <w:sz w:val="28"/>
          <w:szCs w:val="28"/>
        </w:rPr>
        <w:t>577</w:t>
      </w:r>
      <w:r w:rsidR="00B133D5">
        <w:rPr>
          <w:rFonts w:ascii="Century" w:hAnsi="Century"/>
          <w:sz w:val="28"/>
          <w:szCs w:val="28"/>
        </w:rPr>
        <w:t xml:space="preserve">, 234 </w:t>
      </w:r>
      <w:proofErr w:type="spellStart"/>
      <w:r w:rsidR="00B133D5">
        <w:rPr>
          <w:rFonts w:ascii="Century" w:hAnsi="Century"/>
          <w:sz w:val="28"/>
          <w:szCs w:val="28"/>
        </w:rPr>
        <w:t>S.E.2d</w:t>
      </w:r>
      <w:proofErr w:type="spellEnd"/>
      <w:r w:rsidR="00B133D5">
        <w:rPr>
          <w:rFonts w:ascii="Century" w:hAnsi="Century"/>
          <w:sz w:val="28"/>
          <w:szCs w:val="28"/>
        </w:rPr>
        <w:t xml:space="preserve"> at </w:t>
      </w:r>
      <w:r w:rsidR="00D24E38">
        <w:rPr>
          <w:rFonts w:ascii="Century" w:hAnsi="Century"/>
          <w:sz w:val="28"/>
          <w:szCs w:val="28"/>
        </w:rPr>
        <w:t>593</w:t>
      </w:r>
      <w:r w:rsidR="0002081E">
        <w:rPr>
          <w:rFonts w:ascii="Century" w:hAnsi="Century"/>
          <w:sz w:val="28"/>
          <w:szCs w:val="28"/>
        </w:rPr>
        <w:t xml:space="preserve">. The defendant in that case claimed only that he could not remember the five or six hours during which the crime took place. That is a far cry from the total amnesia Mr. Bethea experienced for the days and weeks surrounding this incident. Critically, the defendant in </w:t>
      </w:r>
      <w:r w:rsidR="0002081E" w:rsidRPr="00103ADA">
        <w:rPr>
          <w:rFonts w:ascii="Century" w:hAnsi="Century"/>
          <w:i/>
          <w:iCs/>
          <w:sz w:val="28"/>
          <w:szCs w:val="28"/>
        </w:rPr>
        <w:t>Willard</w:t>
      </w:r>
      <w:r w:rsidR="0002081E">
        <w:rPr>
          <w:rFonts w:ascii="Century" w:hAnsi="Century"/>
          <w:sz w:val="28"/>
          <w:szCs w:val="28"/>
        </w:rPr>
        <w:t xml:space="preserve"> was able to recall how much he drank prior to the assault, providing some explanation for his behavior. He was, </w:t>
      </w:r>
      <w:r w:rsidR="0002081E">
        <w:rPr>
          <w:rFonts w:ascii="Century" w:hAnsi="Century"/>
          <w:sz w:val="28"/>
          <w:szCs w:val="28"/>
        </w:rPr>
        <w:lastRenderedPageBreak/>
        <w:t xml:space="preserve">therefore, similarly situated to defendants raising various affirmative defenses. Mr. Bethea, however, was incapable of raising any affirmative defense. He could not argue insanity or voluntary intoxication or any of the defenses suggested by the </w:t>
      </w:r>
      <w:r w:rsidR="0002081E">
        <w:rPr>
          <w:rFonts w:ascii="Century" w:hAnsi="Century"/>
          <w:i/>
          <w:iCs/>
          <w:sz w:val="28"/>
          <w:szCs w:val="28"/>
        </w:rPr>
        <w:t xml:space="preserve">Willard </w:t>
      </w:r>
      <w:r w:rsidR="0002081E">
        <w:rPr>
          <w:rFonts w:ascii="Century" w:hAnsi="Century"/>
          <w:sz w:val="28"/>
          <w:szCs w:val="28"/>
        </w:rPr>
        <w:t xml:space="preserve">court because he simply had no idea what happened. His defense was not merely </w:t>
      </w:r>
      <w:r w:rsidR="0002081E" w:rsidRPr="00752E60">
        <w:rPr>
          <w:rFonts w:ascii="Century" w:hAnsi="Century"/>
          <w:sz w:val="28"/>
          <w:szCs w:val="28"/>
        </w:rPr>
        <w:t>limited; it was impossible. (</w:t>
      </w:r>
      <w:r w:rsidR="0002081E" w:rsidRPr="00752E60">
        <w:rPr>
          <w:rFonts w:ascii="Century" w:hAnsi="Century"/>
          <w:i/>
          <w:iCs/>
          <w:sz w:val="28"/>
          <w:szCs w:val="28"/>
        </w:rPr>
        <w:t xml:space="preserve">See </w:t>
      </w:r>
      <w:r w:rsidR="0002081E" w:rsidRPr="00752E60">
        <w:rPr>
          <w:rFonts w:ascii="Century" w:hAnsi="Century"/>
          <w:sz w:val="28"/>
          <w:szCs w:val="28"/>
        </w:rPr>
        <w:t xml:space="preserve">T p 18, Dr. </w:t>
      </w:r>
      <w:proofErr w:type="spellStart"/>
      <w:r w:rsidR="0002081E" w:rsidRPr="00752E60">
        <w:rPr>
          <w:rFonts w:ascii="Century" w:hAnsi="Century"/>
          <w:sz w:val="28"/>
          <w:szCs w:val="28"/>
        </w:rPr>
        <w:t>Hilkey</w:t>
      </w:r>
      <w:proofErr w:type="spellEnd"/>
      <w:r w:rsidR="0002081E" w:rsidRPr="00752E60">
        <w:rPr>
          <w:rFonts w:ascii="Century" w:hAnsi="Century"/>
          <w:sz w:val="28"/>
          <w:szCs w:val="28"/>
        </w:rPr>
        <w:t xml:space="preserve"> testified that it would be “substantially impossible” for Mr. Bethea to meaningfully assist counsel under these circumstances.)</w:t>
      </w:r>
    </w:p>
    <w:p w14:paraId="0A16A08C" w14:textId="6BDD8B3C" w:rsidR="0002081E" w:rsidRDefault="0002081E" w:rsidP="0002081E">
      <w:pPr>
        <w:spacing w:line="480" w:lineRule="auto"/>
        <w:ind w:firstLine="720"/>
        <w:jc w:val="both"/>
        <w:rPr>
          <w:rFonts w:ascii="Century" w:hAnsi="Century"/>
          <w:sz w:val="28"/>
          <w:szCs w:val="28"/>
        </w:rPr>
      </w:pPr>
      <w:r>
        <w:rPr>
          <w:rFonts w:ascii="Century" w:hAnsi="Century"/>
          <w:sz w:val="28"/>
          <w:szCs w:val="28"/>
        </w:rPr>
        <w:t xml:space="preserve">The trial court also relied on </w:t>
      </w:r>
      <w:r w:rsidRPr="003966F0">
        <w:rPr>
          <w:rFonts w:ascii="Century" w:hAnsi="Century"/>
          <w:i/>
          <w:iCs/>
          <w:sz w:val="28"/>
          <w:szCs w:val="28"/>
        </w:rPr>
        <w:t>State v. Avery</w:t>
      </w:r>
      <w:r w:rsidRPr="003966F0">
        <w:rPr>
          <w:rFonts w:ascii="Century" w:hAnsi="Century"/>
          <w:sz w:val="28"/>
          <w:szCs w:val="28"/>
        </w:rPr>
        <w:t>, 315 N.C. 1,</w:t>
      </w:r>
      <w:r>
        <w:rPr>
          <w:rFonts w:ascii="Century" w:hAnsi="Century"/>
          <w:sz w:val="28"/>
          <w:szCs w:val="28"/>
        </w:rPr>
        <w:t xml:space="preserve"> 337 </w:t>
      </w:r>
      <w:proofErr w:type="spellStart"/>
      <w:r>
        <w:rPr>
          <w:rFonts w:ascii="Century" w:hAnsi="Century"/>
          <w:sz w:val="28"/>
          <w:szCs w:val="28"/>
        </w:rPr>
        <w:t>S.E.2d</w:t>
      </w:r>
      <w:proofErr w:type="spellEnd"/>
      <w:r>
        <w:rPr>
          <w:rFonts w:ascii="Century" w:hAnsi="Century"/>
          <w:sz w:val="28"/>
          <w:szCs w:val="28"/>
        </w:rPr>
        <w:t xml:space="preserve"> 786</w:t>
      </w:r>
      <w:r w:rsidRPr="003966F0">
        <w:rPr>
          <w:rFonts w:ascii="Century" w:hAnsi="Century"/>
          <w:sz w:val="28"/>
          <w:szCs w:val="28"/>
        </w:rPr>
        <w:t xml:space="preserve"> (1985)</w:t>
      </w:r>
      <w:r>
        <w:rPr>
          <w:rFonts w:ascii="Century" w:hAnsi="Century"/>
          <w:sz w:val="28"/>
          <w:szCs w:val="28"/>
        </w:rPr>
        <w:t xml:space="preserve">. In </w:t>
      </w:r>
      <w:r>
        <w:rPr>
          <w:rFonts w:ascii="Century" w:hAnsi="Century"/>
          <w:i/>
          <w:iCs/>
          <w:sz w:val="28"/>
          <w:szCs w:val="28"/>
        </w:rPr>
        <w:t>Avery</w:t>
      </w:r>
      <w:r>
        <w:rPr>
          <w:rFonts w:ascii="Century" w:hAnsi="Century"/>
          <w:sz w:val="28"/>
          <w:szCs w:val="28"/>
        </w:rPr>
        <w:t xml:space="preserve">, </w:t>
      </w:r>
      <w:r w:rsidRPr="003966F0">
        <w:rPr>
          <w:rFonts w:ascii="Century" w:hAnsi="Century"/>
          <w:sz w:val="28"/>
          <w:szCs w:val="28"/>
        </w:rPr>
        <w:t xml:space="preserve">the defendant shot himself in the head after fleeing the scene of the crime. A portion of his frontal lobe was removed as a result. At a competency hearing, the defense presented expert testimony that </w:t>
      </w:r>
      <w:r>
        <w:rPr>
          <w:rFonts w:ascii="Century" w:hAnsi="Century"/>
          <w:sz w:val="28"/>
          <w:szCs w:val="28"/>
        </w:rPr>
        <w:t>the defendant’s</w:t>
      </w:r>
      <w:r w:rsidRPr="003966F0">
        <w:rPr>
          <w:rFonts w:ascii="Century" w:hAnsi="Century"/>
          <w:sz w:val="28"/>
          <w:szCs w:val="28"/>
        </w:rPr>
        <w:t xml:space="preserve"> </w:t>
      </w:r>
      <w:r>
        <w:rPr>
          <w:rFonts w:ascii="Century" w:hAnsi="Century"/>
          <w:sz w:val="28"/>
          <w:szCs w:val="28"/>
        </w:rPr>
        <w:t>“memory impairment resulted from either organic brain damage or psychological repression</w:t>
      </w:r>
      <w:r w:rsidRPr="003966F0">
        <w:rPr>
          <w:rFonts w:ascii="Century" w:hAnsi="Century"/>
          <w:sz w:val="28"/>
          <w:szCs w:val="28"/>
        </w:rPr>
        <w:t xml:space="preserve">.” </w:t>
      </w:r>
      <w:r w:rsidRPr="003966F0">
        <w:rPr>
          <w:rFonts w:ascii="Century" w:hAnsi="Century"/>
          <w:i/>
          <w:iCs/>
          <w:sz w:val="28"/>
          <w:szCs w:val="28"/>
        </w:rPr>
        <w:t>Id</w:t>
      </w:r>
      <w:r w:rsidRPr="003966F0">
        <w:rPr>
          <w:rFonts w:ascii="Century" w:hAnsi="Century"/>
          <w:sz w:val="28"/>
          <w:szCs w:val="28"/>
        </w:rPr>
        <w:t>. at 10</w:t>
      </w:r>
      <w:r>
        <w:rPr>
          <w:rFonts w:ascii="Century" w:hAnsi="Century"/>
          <w:sz w:val="28"/>
          <w:szCs w:val="28"/>
        </w:rPr>
        <w:t xml:space="preserve">, 337 </w:t>
      </w:r>
      <w:proofErr w:type="spellStart"/>
      <w:r>
        <w:rPr>
          <w:rFonts w:ascii="Century" w:hAnsi="Century"/>
          <w:sz w:val="28"/>
          <w:szCs w:val="28"/>
        </w:rPr>
        <w:t>S.E.2d</w:t>
      </w:r>
      <w:proofErr w:type="spellEnd"/>
      <w:r>
        <w:rPr>
          <w:rFonts w:ascii="Century" w:hAnsi="Century"/>
          <w:sz w:val="28"/>
          <w:szCs w:val="28"/>
        </w:rPr>
        <w:t xml:space="preserve"> at 791</w:t>
      </w:r>
      <w:r w:rsidRPr="003966F0">
        <w:rPr>
          <w:rFonts w:ascii="Century" w:hAnsi="Century"/>
          <w:sz w:val="28"/>
          <w:szCs w:val="28"/>
        </w:rPr>
        <w:t xml:space="preserve">. The expert for the State testified that the portion of the brain </w:t>
      </w:r>
      <w:r>
        <w:rPr>
          <w:rFonts w:ascii="Century" w:hAnsi="Century"/>
          <w:sz w:val="28"/>
          <w:szCs w:val="28"/>
        </w:rPr>
        <w:t>the defendant</w:t>
      </w:r>
      <w:r w:rsidRPr="003966F0">
        <w:rPr>
          <w:rFonts w:ascii="Century" w:hAnsi="Century"/>
          <w:sz w:val="28"/>
          <w:szCs w:val="28"/>
        </w:rPr>
        <w:t xml:space="preserve"> injured is not responsible for memory</w:t>
      </w:r>
      <w:r>
        <w:rPr>
          <w:rFonts w:ascii="Century" w:hAnsi="Century"/>
          <w:sz w:val="28"/>
          <w:szCs w:val="28"/>
        </w:rPr>
        <w:t xml:space="preserve">, and so any memory </w:t>
      </w:r>
      <w:r w:rsidR="0095758B">
        <w:rPr>
          <w:rFonts w:ascii="Century" w:hAnsi="Century"/>
          <w:sz w:val="28"/>
          <w:szCs w:val="28"/>
        </w:rPr>
        <w:t>loss</w:t>
      </w:r>
      <w:r>
        <w:rPr>
          <w:rFonts w:ascii="Century" w:hAnsi="Century"/>
          <w:sz w:val="28"/>
          <w:szCs w:val="28"/>
        </w:rPr>
        <w:t xml:space="preserve"> he experienced was because he had “chosen not to remember the events of the allegations.” </w:t>
      </w:r>
      <w:r w:rsidR="00CA7E70">
        <w:rPr>
          <w:rFonts w:ascii="Century" w:hAnsi="Century"/>
          <w:i/>
          <w:iCs/>
          <w:sz w:val="28"/>
          <w:szCs w:val="28"/>
        </w:rPr>
        <w:t>Id</w:t>
      </w:r>
      <w:r w:rsidR="00CA7E70">
        <w:rPr>
          <w:rFonts w:ascii="Century" w:hAnsi="Century"/>
          <w:sz w:val="28"/>
          <w:szCs w:val="28"/>
        </w:rPr>
        <w:t>.</w:t>
      </w:r>
      <w:r>
        <w:rPr>
          <w:rFonts w:ascii="Century" w:hAnsi="Century"/>
          <w:sz w:val="28"/>
          <w:szCs w:val="28"/>
        </w:rPr>
        <w:t xml:space="preserve"> Furthermore, the State’s expert found that the defendant “had a good memory of events before the week of the offenses </w:t>
      </w:r>
      <w:r>
        <w:rPr>
          <w:rFonts w:ascii="Century" w:hAnsi="Century"/>
          <w:sz w:val="28"/>
          <w:szCs w:val="28"/>
        </w:rPr>
        <w:lastRenderedPageBreak/>
        <w:t xml:space="preserve">and immediately after the offenses.” </w:t>
      </w:r>
      <w:r>
        <w:rPr>
          <w:rFonts w:ascii="Century" w:hAnsi="Century"/>
          <w:i/>
          <w:iCs/>
          <w:sz w:val="28"/>
          <w:szCs w:val="28"/>
        </w:rPr>
        <w:t>Id</w:t>
      </w:r>
      <w:r>
        <w:rPr>
          <w:rFonts w:ascii="Century" w:hAnsi="Century"/>
          <w:sz w:val="28"/>
          <w:szCs w:val="28"/>
        </w:rPr>
        <w:t xml:space="preserve">. In this case, in sharp contrast, the undisputed evidence was that Mr. Bethea’s memory impairment was not voluntary, was the result of global trauma to his brain, and encompassed a much broader swath of time. </w:t>
      </w:r>
    </w:p>
    <w:p w14:paraId="2119DAED" w14:textId="18E1C980" w:rsidR="0002081E" w:rsidRPr="00057410" w:rsidRDefault="0002081E" w:rsidP="0002081E">
      <w:pPr>
        <w:spacing w:line="480" w:lineRule="auto"/>
        <w:ind w:firstLine="720"/>
        <w:jc w:val="both"/>
        <w:rPr>
          <w:rFonts w:ascii="Century" w:hAnsi="Century"/>
          <w:sz w:val="28"/>
          <w:szCs w:val="28"/>
        </w:rPr>
      </w:pPr>
      <w:r>
        <w:rPr>
          <w:rFonts w:ascii="Century" w:hAnsi="Century"/>
          <w:sz w:val="28"/>
          <w:szCs w:val="28"/>
        </w:rPr>
        <w:t xml:space="preserve">As it did with </w:t>
      </w:r>
      <w:r>
        <w:rPr>
          <w:rFonts w:ascii="Century" w:hAnsi="Century"/>
          <w:i/>
          <w:iCs/>
          <w:sz w:val="28"/>
          <w:szCs w:val="28"/>
        </w:rPr>
        <w:t>Willard</w:t>
      </w:r>
      <w:r>
        <w:rPr>
          <w:rFonts w:ascii="Century" w:hAnsi="Century"/>
          <w:sz w:val="28"/>
          <w:szCs w:val="28"/>
        </w:rPr>
        <w:t xml:space="preserve">, the trial court seemed to misinterpret </w:t>
      </w:r>
      <w:r>
        <w:rPr>
          <w:rFonts w:ascii="Century" w:hAnsi="Century"/>
          <w:i/>
          <w:iCs/>
          <w:sz w:val="28"/>
          <w:szCs w:val="28"/>
        </w:rPr>
        <w:t xml:space="preserve">Avery </w:t>
      </w:r>
      <w:r>
        <w:rPr>
          <w:rFonts w:ascii="Century" w:hAnsi="Century"/>
          <w:sz w:val="28"/>
          <w:szCs w:val="28"/>
        </w:rPr>
        <w:t xml:space="preserve">to mean that no defendant can ever be found incompetent due in part or in whole to memory loss. What </w:t>
      </w:r>
      <w:r>
        <w:rPr>
          <w:rFonts w:ascii="Century" w:hAnsi="Century"/>
          <w:i/>
          <w:iCs/>
          <w:sz w:val="28"/>
          <w:szCs w:val="28"/>
        </w:rPr>
        <w:t xml:space="preserve">Avery </w:t>
      </w:r>
      <w:r>
        <w:rPr>
          <w:rFonts w:ascii="Century" w:hAnsi="Century"/>
          <w:sz w:val="28"/>
          <w:szCs w:val="28"/>
        </w:rPr>
        <w:t xml:space="preserve">in fact demonstrates is that even after </w:t>
      </w:r>
      <w:r>
        <w:rPr>
          <w:rFonts w:ascii="Century" w:hAnsi="Century"/>
          <w:i/>
          <w:iCs/>
          <w:sz w:val="28"/>
          <w:szCs w:val="28"/>
        </w:rPr>
        <w:t>Willard</w:t>
      </w:r>
      <w:r>
        <w:rPr>
          <w:rFonts w:ascii="Century" w:hAnsi="Century"/>
          <w:sz w:val="28"/>
          <w:szCs w:val="28"/>
        </w:rPr>
        <w:t xml:space="preserve">, courts should consider the individual facts of each case in reviewing competency determinations. </w:t>
      </w:r>
      <w:r w:rsidRPr="009B029E">
        <w:rPr>
          <w:rFonts w:ascii="Century" w:hAnsi="Century"/>
          <w:i/>
          <w:iCs/>
          <w:sz w:val="28"/>
          <w:szCs w:val="28"/>
        </w:rPr>
        <w:t>See</w:t>
      </w:r>
      <w:r w:rsidR="00890ABE" w:rsidRPr="009B029E">
        <w:rPr>
          <w:rFonts w:ascii="Century" w:hAnsi="Century"/>
          <w:sz w:val="28"/>
          <w:szCs w:val="28"/>
        </w:rPr>
        <w:t xml:space="preserve"> </w:t>
      </w:r>
      <w:r w:rsidR="00890ABE" w:rsidRPr="009B029E">
        <w:rPr>
          <w:rFonts w:ascii="Century" w:hAnsi="Century"/>
          <w:i/>
          <w:iCs/>
          <w:sz w:val="28"/>
          <w:szCs w:val="28"/>
        </w:rPr>
        <w:t>also</w:t>
      </w:r>
      <w:r w:rsidRPr="009B029E">
        <w:rPr>
          <w:rFonts w:ascii="Century" w:hAnsi="Century"/>
          <w:sz w:val="28"/>
          <w:szCs w:val="28"/>
        </w:rPr>
        <w:t xml:space="preserve"> </w:t>
      </w:r>
      <w:proofErr w:type="spellStart"/>
      <w:r w:rsidRPr="009B029E">
        <w:rPr>
          <w:rFonts w:ascii="Century" w:hAnsi="Century"/>
          <w:i/>
          <w:iCs/>
          <w:sz w:val="28"/>
          <w:szCs w:val="28"/>
        </w:rPr>
        <w:t>Shytle</w:t>
      </w:r>
      <w:proofErr w:type="spellEnd"/>
      <w:r w:rsidR="0007470C" w:rsidRPr="009B029E">
        <w:rPr>
          <w:rFonts w:ascii="Century" w:hAnsi="Century"/>
          <w:sz w:val="28"/>
          <w:szCs w:val="28"/>
        </w:rPr>
        <w:t xml:space="preserve">, </w:t>
      </w:r>
      <w:r w:rsidR="009B2722" w:rsidRPr="009B029E">
        <w:rPr>
          <w:rFonts w:ascii="Century" w:hAnsi="Century"/>
          <w:sz w:val="28"/>
          <w:szCs w:val="28"/>
        </w:rPr>
        <w:t>323 N.C. at ** 5-6</w:t>
      </w:r>
      <w:r w:rsidR="000C05BE" w:rsidRPr="009B029E">
        <w:rPr>
          <w:rFonts w:ascii="Century" w:hAnsi="Century"/>
          <w:sz w:val="28"/>
          <w:szCs w:val="28"/>
        </w:rPr>
        <w:t>, 687-</w:t>
      </w:r>
      <w:r w:rsidR="00B86161" w:rsidRPr="009B029E">
        <w:rPr>
          <w:rFonts w:ascii="Century" w:hAnsi="Century"/>
          <w:sz w:val="28"/>
          <w:szCs w:val="28"/>
        </w:rPr>
        <w:t xml:space="preserve">89, 374 S.E. </w:t>
      </w:r>
      <w:proofErr w:type="spellStart"/>
      <w:r w:rsidR="00B86161" w:rsidRPr="009B029E">
        <w:rPr>
          <w:rFonts w:ascii="Century" w:hAnsi="Century"/>
          <w:sz w:val="28"/>
          <w:szCs w:val="28"/>
        </w:rPr>
        <w:t>2d</w:t>
      </w:r>
      <w:proofErr w:type="spellEnd"/>
      <w:r w:rsidR="00B86161" w:rsidRPr="009B029E">
        <w:rPr>
          <w:rFonts w:ascii="Century" w:hAnsi="Century"/>
          <w:sz w:val="28"/>
          <w:szCs w:val="28"/>
        </w:rPr>
        <w:t xml:space="preserve"> at </w:t>
      </w:r>
      <w:r w:rsidR="009B029E" w:rsidRPr="009B029E">
        <w:rPr>
          <w:rFonts w:ascii="Century" w:hAnsi="Century"/>
          <w:sz w:val="28"/>
          <w:szCs w:val="28"/>
        </w:rPr>
        <w:t>575-76.</w:t>
      </w:r>
      <w:r w:rsidRPr="009B029E">
        <w:rPr>
          <w:rFonts w:ascii="Century" w:hAnsi="Century"/>
          <w:sz w:val="28"/>
          <w:szCs w:val="28"/>
        </w:rPr>
        <w:t xml:space="preserve"> (</w:t>
      </w:r>
      <w:proofErr w:type="gramStart"/>
      <w:r w:rsidRPr="009B029E">
        <w:rPr>
          <w:rFonts w:ascii="Century" w:hAnsi="Century"/>
          <w:sz w:val="28"/>
          <w:szCs w:val="28"/>
        </w:rPr>
        <w:t>considering</w:t>
      </w:r>
      <w:proofErr w:type="gramEnd"/>
      <w:r>
        <w:rPr>
          <w:rFonts w:ascii="Century" w:hAnsi="Century"/>
          <w:sz w:val="28"/>
          <w:szCs w:val="28"/>
        </w:rPr>
        <w:t xml:space="preserve"> brain injury in evaluating defendant’s competence, but finding defendant competent where she had no memory loss and an IQ in the normal range).</w:t>
      </w:r>
    </w:p>
    <w:p w14:paraId="1F9F8042" w14:textId="77777777" w:rsidR="006B685C" w:rsidRDefault="0002081E" w:rsidP="006B685C">
      <w:pPr>
        <w:spacing w:line="480" w:lineRule="auto"/>
        <w:ind w:firstLine="720"/>
        <w:jc w:val="both"/>
        <w:rPr>
          <w:rFonts w:ascii="Century" w:hAnsi="Century"/>
          <w:sz w:val="28"/>
          <w:szCs w:val="28"/>
        </w:rPr>
      </w:pPr>
      <w:r>
        <w:rPr>
          <w:rFonts w:ascii="Century" w:hAnsi="Century"/>
          <w:sz w:val="28"/>
          <w:szCs w:val="28"/>
        </w:rPr>
        <w:t xml:space="preserve">Here, Mr. Bethea indisputably had a total memory loss for the days preceding the shooting incident and of the incident itself due to his brain injury. Unlike the defendants in </w:t>
      </w:r>
      <w:r w:rsidRPr="00103ADA">
        <w:rPr>
          <w:rFonts w:ascii="Century" w:hAnsi="Century"/>
          <w:i/>
          <w:iCs/>
          <w:sz w:val="28"/>
          <w:szCs w:val="28"/>
        </w:rPr>
        <w:t>Willard</w:t>
      </w:r>
      <w:r>
        <w:rPr>
          <w:rFonts w:ascii="Century" w:hAnsi="Century"/>
          <w:sz w:val="28"/>
          <w:szCs w:val="28"/>
        </w:rPr>
        <w:t xml:space="preserve"> and </w:t>
      </w:r>
      <w:r w:rsidRPr="00103ADA">
        <w:rPr>
          <w:rFonts w:ascii="Century" w:hAnsi="Century"/>
          <w:i/>
          <w:iCs/>
          <w:sz w:val="28"/>
          <w:szCs w:val="28"/>
        </w:rPr>
        <w:t>Avery</w:t>
      </w:r>
      <w:r>
        <w:rPr>
          <w:rFonts w:ascii="Century" w:hAnsi="Century"/>
          <w:sz w:val="28"/>
          <w:szCs w:val="28"/>
        </w:rPr>
        <w:t>, he was completely unable to “</w:t>
      </w:r>
      <w:r w:rsidRPr="00804D96">
        <w:rPr>
          <w:rFonts w:ascii="Century" w:hAnsi="Century"/>
          <w:sz w:val="28"/>
          <w:szCs w:val="28"/>
        </w:rPr>
        <w:t>assist in his defense in a rational and reasonable manner</w:t>
      </w:r>
      <w:r>
        <w:rPr>
          <w:rFonts w:ascii="Century" w:hAnsi="Century"/>
          <w:sz w:val="28"/>
          <w:szCs w:val="28"/>
        </w:rPr>
        <w:t xml:space="preserve">.” See </w:t>
      </w:r>
      <w:proofErr w:type="spellStart"/>
      <w:r>
        <w:rPr>
          <w:rFonts w:ascii="Century" w:hAnsi="Century"/>
          <w:i/>
          <w:iCs/>
          <w:sz w:val="28"/>
          <w:szCs w:val="28"/>
        </w:rPr>
        <w:t>Shytle</w:t>
      </w:r>
      <w:proofErr w:type="spellEnd"/>
      <w:r>
        <w:rPr>
          <w:rFonts w:ascii="Century" w:hAnsi="Century"/>
          <w:sz w:val="28"/>
          <w:szCs w:val="28"/>
        </w:rPr>
        <w:t xml:space="preserve">, 323 N.C. at 687, 374 </w:t>
      </w:r>
      <w:proofErr w:type="spellStart"/>
      <w:r>
        <w:rPr>
          <w:rFonts w:ascii="Century" w:hAnsi="Century"/>
          <w:sz w:val="28"/>
          <w:szCs w:val="28"/>
        </w:rPr>
        <w:t>S.E.2d</w:t>
      </w:r>
      <w:proofErr w:type="spellEnd"/>
      <w:r>
        <w:rPr>
          <w:rFonts w:ascii="Century" w:hAnsi="Century"/>
          <w:sz w:val="28"/>
          <w:szCs w:val="28"/>
        </w:rPr>
        <w:t xml:space="preserve"> at 575 (“If a defendant is deficient under any of these tests, he or she does not have the capacity to proceed.”) </w:t>
      </w:r>
      <w:r>
        <w:rPr>
          <w:rFonts w:ascii="Century" w:hAnsi="Century"/>
          <w:sz w:val="28"/>
          <w:szCs w:val="28"/>
        </w:rPr>
        <w:lastRenderedPageBreak/>
        <w:t>The trial court therefore abused its discretion in finding Mr. Bethea competent to stand trial.</w:t>
      </w:r>
    </w:p>
    <w:p w14:paraId="5AB9994C" w14:textId="7D399A51" w:rsidR="00084A9E" w:rsidRPr="006B685C" w:rsidRDefault="00084A9E" w:rsidP="006B685C">
      <w:pPr>
        <w:pStyle w:val="ListParagraph"/>
        <w:numPr>
          <w:ilvl w:val="0"/>
          <w:numId w:val="4"/>
        </w:numPr>
        <w:spacing w:line="240" w:lineRule="auto"/>
        <w:jc w:val="both"/>
        <w:rPr>
          <w:rFonts w:ascii="Century" w:hAnsi="Century"/>
          <w:b/>
          <w:sz w:val="28"/>
          <w:szCs w:val="28"/>
        </w:rPr>
      </w:pPr>
      <w:r w:rsidRPr="006B685C">
        <w:rPr>
          <w:rFonts w:ascii="Century" w:hAnsi="Century"/>
          <w:b/>
          <w:sz w:val="28"/>
          <w:szCs w:val="28"/>
        </w:rPr>
        <w:t>Mr. Bethea Was Incompetent to Stand Trial Because He Had No Recollection of the Events Before, During, or After the Incident, and Was Unable to Assist Counsel in Preparing His Defense.</w:t>
      </w:r>
    </w:p>
    <w:p w14:paraId="1D3AD2AD" w14:textId="77777777" w:rsidR="00084A9E" w:rsidRPr="00ED2212" w:rsidRDefault="00084A9E" w:rsidP="00084A9E">
      <w:pPr>
        <w:pStyle w:val="ListParagraph"/>
        <w:spacing w:line="240" w:lineRule="auto"/>
        <w:ind w:left="1800"/>
        <w:rPr>
          <w:rFonts w:ascii="Century" w:hAnsi="Century"/>
          <w:b/>
          <w:sz w:val="28"/>
          <w:szCs w:val="28"/>
          <w:highlight w:val="yellow"/>
        </w:rPr>
      </w:pPr>
    </w:p>
    <w:p w14:paraId="74B0F70F" w14:textId="77777777" w:rsidR="00084A9E" w:rsidRDefault="00084A9E" w:rsidP="00084A9E">
      <w:pPr>
        <w:spacing w:line="480" w:lineRule="auto"/>
        <w:ind w:firstLine="720"/>
        <w:jc w:val="both"/>
        <w:rPr>
          <w:rFonts w:ascii="Century" w:hAnsi="Century"/>
          <w:sz w:val="28"/>
          <w:szCs w:val="28"/>
        </w:rPr>
      </w:pPr>
      <w:r>
        <w:rPr>
          <w:rFonts w:ascii="Century" w:hAnsi="Century"/>
          <w:sz w:val="28"/>
          <w:szCs w:val="28"/>
        </w:rPr>
        <w:t xml:space="preserve">“The conviction of an accused person while he is legally incompetent to proceed to trial violates due process.” </w:t>
      </w:r>
      <w:r>
        <w:rPr>
          <w:rFonts w:ascii="Century" w:hAnsi="Century"/>
          <w:i/>
          <w:iCs/>
          <w:sz w:val="28"/>
          <w:szCs w:val="28"/>
        </w:rPr>
        <w:t>State v. Allen</w:t>
      </w:r>
      <w:r>
        <w:rPr>
          <w:rFonts w:ascii="Century" w:hAnsi="Century"/>
          <w:sz w:val="28"/>
          <w:szCs w:val="28"/>
        </w:rPr>
        <w:t xml:space="preserve">, 269 N.C. App. 24, 26, 837 </w:t>
      </w:r>
      <w:proofErr w:type="spellStart"/>
      <w:r>
        <w:rPr>
          <w:rFonts w:ascii="Century" w:hAnsi="Century"/>
          <w:sz w:val="28"/>
          <w:szCs w:val="28"/>
        </w:rPr>
        <w:t>S.E.2d</w:t>
      </w:r>
      <w:proofErr w:type="spellEnd"/>
      <w:r>
        <w:rPr>
          <w:rFonts w:ascii="Century" w:hAnsi="Century"/>
          <w:sz w:val="28"/>
          <w:szCs w:val="28"/>
        </w:rPr>
        <w:t xml:space="preserve"> 196, 198 (2019) (cleaned up). </w:t>
      </w:r>
      <w:r w:rsidRPr="001011CC">
        <w:rPr>
          <w:rFonts w:ascii="Century" w:hAnsi="Century"/>
          <w:sz w:val="28"/>
          <w:szCs w:val="28"/>
        </w:rPr>
        <w:t xml:space="preserve">The standard for competency has its roots in </w:t>
      </w:r>
      <w:r w:rsidRPr="001011CC">
        <w:rPr>
          <w:rFonts w:ascii="Century" w:hAnsi="Century"/>
          <w:i/>
          <w:iCs/>
          <w:sz w:val="28"/>
          <w:szCs w:val="28"/>
        </w:rPr>
        <w:t>Dusky v. United States</w:t>
      </w:r>
      <w:r w:rsidRPr="001011CC">
        <w:rPr>
          <w:rFonts w:ascii="Century" w:hAnsi="Century"/>
          <w:sz w:val="28"/>
          <w:szCs w:val="28"/>
        </w:rPr>
        <w:t>, 362 U.S. 402</w:t>
      </w:r>
      <w:r>
        <w:rPr>
          <w:rFonts w:ascii="Century" w:hAnsi="Century"/>
          <w:sz w:val="28"/>
          <w:szCs w:val="28"/>
        </w:rPr>
        <w:t>,</w:t>
      </w:r>
      <w:r w:rsidRPr="001011CC">
        <w:rPr>
          <w:rFonts w:ascii="Century" w:hAnsi="Century"/>
          <w:sz w:val="28"/>
          <w:szCs w:val="28"/>
        </w:rPr>
        <w:t xml:space="preserve"> </w:t>
      </w:r>
      <w:r>
        <w:rPr>
          <w:rFonts w:ascii="Century" w:hAnsi="Century"/>
          <w:sz w:val="28"/>
          <w:szCs w:val="28"/>
        </w:rPr>
        <w:t xml:space="preserve">402, 80 S. Ct. 788, 788 </w:t>
      </w:r>
      <w:r w:rsidRPr="001011CC">
        <w:rPr>
          <w:rFonts w:ascii="Century" w:hAnsi="Century"/>
          <w:sz w:val="28"/>
          <w:szCs w:val="28"/>
        </w:rPr>
        <w:t>(1960)</w:t>
      </w:r>
      <w:r>
        <w:rPr>
          <w:rFonts w:ascii="Century" w:hAnsi="Century"/>
          <w:sz w:val="28"/>
          <w:szCs w:val="28"/>
        </w:rPr>
        <w:t xml:space="preserve"> (the question is whether the defendant “has sufficient present ability to consult with his lawyer with a reasonable degree of rational understanding – – and whether he has a rational as well as factual understanding of the proceedings against him”).</w:t>
      </w:r>
      <w:r w:rsidRPr="001011CC">
        <w:rPr>
          <w:rFonts w:ascii="Century" w:hAnsi="Century"/>
          <w:sz w:val="28"/>
          <w:szCs w:val="28"/>
        </w:rPr>
        <w:t xml:space="preserve"> </w:t>
      </w:r>
      <w:r>
        <w:rPr>
          <w:rFonts w:ascii="Century" w:hAnsi="Century"/>
          <w:sz w:val="28"/>
          <w:szCs w:val="28"/>
        </w:rPr>
        <w:t>T</w:t>
      </w:r>
      <w:r w:rsidRPr="001011CC">
        <w:rPr>
          <w:rFonts w:ascii="Century" w:hAnsi="Century"/>
          <w:sz w:val="28"/>
          <w:szCs w:val="28"/>
        </w:rPr>
        <w:t xml:space="preserve">he </w:t>
      </w:r>
      <w:r w:rsidRPr="001011CC">
        <w:rPr>
          <w:rFonts w:ascii="Century" w:hAnsi="Century"/>
          <w:i/>
          <w:iCs/>
          <w:sz w:val="28"/>
          <w:szCs w:val="28"/>
        </w:rPr>
        <w:t>Dusky</w:t>
      </w:r>
      <w:r w:rsidRPr="001011CC">
        <w:rPr>
          <w:rFonts w:ascii="Century" w:hAnsi="Century"/>
          <w:sz w:val="28"/>
          <w:szCs w:val="28"/>
        </w:rPr>
        <w:t xml:space="preserve"> court observed that competency </w:t>
      </w:r>
      <w:r>
        <w:rPr>
          <w:rFonts w:ascii="Century" w:hAnsi="Century"/>
          <w:sz w:val="28"/>
          <w:szCs w:val="28"/>
        </w:rPr>
        <w:t>requires</w:t>
      </w:r>
      <w:r w:rsidRPr="001011CC">
        <w:rPr>
          <w:rFonts w:ascii="Century" w:hAnsi="Century"/>
          <w:sz w:val="28"/>
          <w:szCs w:val="28"/>
        </w:rPr>
        <w:t xml:space="preserve"> </w:t>
      </w:r>
      <w:r w:rsidRPr="00DC4957">
        <w:rPr>
          <w:rFonts w:ascii="Century" w:hAnsi="Century"/>
          <w:sz w:val="28"/>
          <w:szCs w:val="28"/>
        </w:rPr>
        <w:t>more</w:t>
      </w:r>
      <w:r w:rsidRPr="001011CC">
        <w:rPr>
          <w:rFonts w:ascii="Century" w:hAnsi="Century"/>
          <w:sz w:val="28"/>
          <w:szCs w:val="28"/>
        </w:rPr>
        <w:t xml:space="preserve"> than a showing that the defendant “[is] oriented to time and place and [has] some recollection of events.” </w:t>
      </w:r>
      <w:r w:rsidRPr="001011CC">
        <w:rPr>
          <w:rFonts w:ascii="Century" w:hAnsi="Century"/>
          <w:i/>
          <w:iCs/>
          <w:sz w:val="28"/>
          <w:szCs w:val="28"/>
        </w:rPr>
        <w:t>Id</w:t>
      </w:r>
      <w:r w:rsidRPr="001011CC">
        <w:rPr>
          <w:rFonts w:ascii="Century" w:hAnsi="Century"/>
          <w:sz w:val="28"/>
          <w:szCs w:val="28"/>
        </w:rPr>
        <w:t xml:space="preserve">. at 402. </w:t>
      </w:r>
      <w:r>
        <w:rPr>
          <w:rFonts w:ascii="Century" w:hAnsi="Century"/>
          <w:sz w:val="28"/>
          <w:szCs w:val="28"/>
        </w:rPr>
        <w:t>Because</w:t>
      </w:r>
      <w:r w:rsidRPr="001011CC">
        <w:rPr>
          <w:rFonts w:ascii="Century" w:hAnsi="Century"/>
          <w:sz w:val="28"/>
          <w:szCs w:val="28"/>
        </w:rPr>
        <w:t xml:space="preserve"> </w:t>
      </w:r>
      <w:r>
        <w:rPr>
          <w:rFonts w:ascii="Century" w:hAnsi="Century"/>
          <w:sz w:val="28"/>
          <w:szCs w:val="28"/>
        </w:rPr>
        <w:t xml:space="preserve">all the evidence was that </w:t>
      </w:r>
      <w:r w:rsidRPr="001011CC">
        <w:rPr>
          <w:rFonts w:ascii="Century" w:hAnsi="Century"/>
          <w:sz w:val="28"/>
          <w:szCs w:val="28"/>
        </w:rPr>
        <w:t xml:space="preserve">Mr. Bethea has no recollection of the events surrounding </w:t>
      </w:r>
      <w:r>
        <w:rPr>
          <w:rFonts w:ascii="Century" w:hAnsi="Century"/>
          <w:sz w:val="28"/>
          <w:szCs w:val="28"/>
        </w:rPr>
        <w:t>26 May 2018</w:t>
      </w:r>
      <w:r w:rsidRPr="001011CC">
        <w:rPr>
          <w:rFonts w:ascii="Century" w:hAnsi="Century"/>
          <w:sz w:val="28"/>
          <w:szCs w:val="28"/>
        </w:rPr>
        <w:t xml:space="preserve">, he is incompetent under </w:t>
      </w:r>
      <w:r w:rsidRPr="001011CC">
        <w:rPr>
          <w:rFonts w:ascii="Century" w:hAnsi="Century"/>
          <w:i/>
          <w:iCs/>
          <w:sz w:val="28"/>
          <w:szCs w:val="28"/>
        </w:rPr>
        <w:t>Dusky</w:t>
      </w:r>
      <w:r w:rsidRPr="001011CC">
        <w:rPr>
          <w:rFonts w:ascii="Century" w:hAnsi="Century"/>
          <w:sz w:val="28"/>
          <w:szCs w:val="28"/>
        </w:rPr>
        <w:t xml:space="preserve">.  </w:t>
      </w:r>
    </w:p>
    <w:p w14:paraId="4402EDD7" w14:textId="77777777" w:rsidR="00084A9E" w:rsidRDefault="00084A9E" w:rsidP="00084A9E">
      <w:pPr>
        <w:spacing w:line="480" w:lineRule="auto"/>
        <w:ind w:firstLine="720"/>
        <w:jc w:val="both"/>
        <w:rPr>
          <w:rFonts w:ascii="Century" w:hAnsi="Century"/>
          <w:sz w:val="28"/>
          <w:szCs w:val="28"/>
        </w:rPr>
      </w:pPr>
      <w:r>
        <w:rPr>
          <w:rFonts w:ascii="Century" w:hAnsi="Century"/>
          <w:sz w:val="28"/>
          <w:szCs w:val="28"/>
        </w:rPr>
        <w:t xml:space="preserve">Our courts will find defendants with “nonsensical and bizarre” beliefs to be competent so long as they have some memory of what </w:t>
      </w:r>
      <w:r>
        <w:rPr>
          <w:rFonts w:ascii="Century" w:hAnsi="Century"/>
          <w:sz w:val="28"/>
          <w:szCs w:val="28"/>
        </w:rPr>
        <w:lastRenderedPageBreak/>
        <w:t xml:space="preserve">occurred. </w:t>
      </w:r>
      <w:r>
        <w:rPr>
          <w:rFonts w:ascii="Century" w:hAnsi="Century"/>
          <w:i/>
          <w:iCs/>
          <w:sz w:val="28"/>
          <w:szCs w:val="28"/>
        </w:rPr>
        <w:t>See e.g.</w:t>
      </w:r>
      <w:r>
        <w:rPr>
          <w:rFonts w:ascii="Century" w:hAnsi="Century"/>
          <w:sz w:val="28"/>
          <w:szCs w:val="28"/>
        </w:rPr>
        <w:t xml:space="preserve">, </w:t>
      </w:r>
      <w:proofErr w:type="spellStart"/>
      <w:r>
        <w:rPr>
          <w:rFonts w:ascii="Century" w:hAnsi="Century"/>
          <w:i/>
          <w:iCs/>
          <w:sz w:val="28"/>
          <w:szCs w:val="28"/>
        </w:rPr>
        <w:t>Hepinstall</w:t>
      </w:r>
      <w:proofErr w:type="spellEnd"/>
      <w:r>
        <w:rPr>
          <w:rFonts w:ascii="Century" w:hAnsi="Century"/>
          <w:sz w:val="28"/>
          <w:szCs w:val="28"/>
        </w:rPr>
        <w:t xml:space="preserve">, 309 N.C. at 236, 306 </w:t>
      </w:r>
      <w:proofErr w:type="spellStart"/>
      <w:r>
        <w:rPr>
          <w:rFonts w:ascii="Century" w:hAnsi="Century"/>
          <w:sz w:val="28"/>
          <w:szCs w:val="28"/>
        </w:rPr>
        <w:t>S.E.2d</w:t>
      </w:r>
      <w:proofErr w:type="spellEnd"/>
      <w:r>
        <w:rPr>
          <w:rFonts w:ascii="Century" w:hAnsi="Century"/>
          <w:sz w:val="28"/>
          <w:szCs w:val="28"/>
        </w:rPr>
        <w:t xml:space="preserve"> at 112 (finding defendant with religious delusions to be competent because he “was able to recall with great detail” the events for which he was on trial, and to “respond meaningfully to questions put to him” on direct and cross-examination about those events). </w:t>
      </w:r>
    </w:p>
    <w:p w14:paraId="3F6B2074" w14:textId="77777777" w:rsidR="00084A9E" w:rsidRDefault="00084A9E" w:rsidP="00084A9E">
      <w:pPr>
        <w:spacing w:line="480" w:lineRule="auto"/>
        <w:ind w:firstLine="720"/>
        <w:jc w:val="both"/>
        <w:rPr>
          <w:rFonts w:ascii="Century" w:hAnsi="Century"/>
          <w:sz w:val="28"/>
          <w:szCs w:val="28"/>
        </w:rPr>
      </w:pPr>
      <w:r>
        <w:rPr>
          <w:rFonts w:ascii="Century" w:hAnsi="Century"/>
          <w:sz w:val="28"/>
          <w:szCs w:val="28"/>
        </w:rPr>
        <w:t>In contrast, Mr. Bethea cannot remember the incident – or several days prior to the incident – at all. (T p 29) He is wholly unable to answer questions about what happened, and therefore incapable of assisting with his defense. (</w:t>
      </w:r>
      <w:r>
        <w:rPr>
          <w:rFonts w:ascii="Century" w:hAnsi="Century"/>
          <w:i/>
          <w:iCs/>
          <w:sz w:val="28"/>
          <w:szCs w:val="28"/>
        </w:rPr>
        <w:t>Id</w:t>
      </w:r>
      <w:r>
        <w:rPr>
          <w:rFonts w:ascii="Century" w:hAnsi="Century"/>
          <w:sz w:val="28"/>
          <w:szCs w:val="28"/>
        </w:rPr>
        <w:t xml:space="preserve">.) In </w:t>
      </w:r>
      <w:r>
        <w:rPr>
          <w:rFonts w:ascii="Century" w:hAnsi="Century"/>
          <w:i/>
          <w:iCs/>
          <w:sz w:val="28"/>
          <w:szCs w:val="28"/>
        </w:rPr>
        <w:t>Ryan v. Gonzales</w:t>
      </w:r>
      <w:r>
        <w:rPr>
          <w:rFonts w:ascii="Century" w:hAnsi="Century"/>
          <w:sz w:val="28"/>
          <w:szCs w:val="28"/>
        </w:rPr>
        <w:t xml:space="preserve">, 568 U.S. 57, 65-66, 133 S. Ct. </w:t>
      </w:r>
      <w:r w:rsidRPr="00202D32">
        <w:rPr>
          <w:rFonts w:ascii="Century" w:hAnsi="Century"/>
          <w:sz w:val="28"/>
          <w:szCs w:val="28"/>
        </w:rPr>
        <w:t>696 (2013) the U.S. Supreme Court observed that a defendant who was “unable to assist counsel in identifying witnesses and deciding on a trial strategy” would be incompetent.</w:t>
      </w:r>
      <w:r>
        <w:rPr>
          <w:rFonts w:ascii="Century" w:hAnsi="Century"/>
          <w:sz w:val="28"/>
          <w:szCs w:val="28"/>
        </w:rPr>
        <w:t xml:space="preserve"> Mr. Bethea is just such a defendant. He can neither tell counsel whether a diminished capacity or voluntary intoxication defense is warranted, nor can he direct counsel to people he saw or places he went in the hours before the shooting, so that those witnesses might supply the missing information. Mr. Bethea is unable to assist in his defense in any way. </w:t>
      </w:r>
    </w:p>
    <w:p w14:paraId="0BC8E9B2" w14:textId="538C9EEC" w:rsidR="00084A9E" w:rsidRDefault="00084A9E" w:rsidP="00084A9E">
      <w:pPr>
        <w:spacing w:line="480" w:lineRule="auto"/>
        <w:ind w:firstLine="720"/>
        <w:jc w:val="both"/>
        <w:rPr>
          <w:rFonts w:ascii="Century" w:hAnsi="Century"/>
          <w:sz w:val="28"/>
          <w:szCs w:val="28"/>
        </w:rPr>
      </w:pPr>
      <w:r w:rsidRPr="00CB74B1">
        <w:rPr>
          <w:rFonts w:ascii="Century" w:hAnsi="Century"/>
          <w:sz w:val="28"/>
          <w:szCs w:val="28"/>
        </w:rPr>
        <w:t>Most commonly, this Court considers cases where the defendant’s expert testifie</w:t>
      </w:r>
      <w:r>
        <w:rPr>
          <w:rFonts w:ascii="Century" w:hAnsi="Century"/>
          <w:sz w:val="28"/>
          <w:szCs w:val="28"/>
        </w:rPr>
        <w:t>s</w:t>
      </w:r>
      <w:r w:rsidRPr="00CB74B1">
        <w:rPr>
          <w:rFonts w:ascii="Century" w:hAnsi="Century"/>
          <w:sz w:val="28"/>
          <w:szCs w:val="28"/>
        </w:rPr>
        <w:t xml:space="preserve"> that he was incompetent while the State’s expert testifie</w:t>
      </w:r>
      <w:r>
        <w:rPr>
          <w:rFonts w:ascii="Century" w:hAnsi="Century"/>
          <w:sz w:val="28"/>
          <w:szCs w:val="28"/>
        </w:rPr>
        <w:t>s</w:t>
      </w:r>
      <w:r w:rsidRPr="00CB74B1">
        <w:rPr>
          <w:rFonts w:ascii="Century" w:hAnsi="Century"/>
          <w:sz w:val="28"/>
          <w:szCs w:val="28"/>
        </w:rPr>
        <w:t xml:space="preserve"> </w:t>
      </w:r>
      <w:r w:rsidRPr="00CB74B1">
        <w:rPr>
          <w:rFonts w:ascii="Century" w:hAnsi="Century"/>
          <w:sz w:val="28"/>
          <w:szCs w:val="28"/>
        </w:rPr>
        <w:lastRenderedPageBreak/>
        <w:t xml:space="preserve">that he was. </w:t>
      </w:r>
      <w:r w:rsidRPr="00CB74B1">
        <w:rPr>
          <w:rFonts w:ascii="Century" w:hAnsi="Century"/>
          <w:i/>
          <w:iCs/>
          <w:sz w:val="28"/>
          <w:szCs w:val="28"/>
        </w:rPr>
        <w:t>See e.g.</w:t>
      </w:r>
      <w:r w:rsidRPr="00CB74B1">
        <w:rPr>
          <w:rFonts w:ascii="Century" w:hAnsi="Century"/>
          <w:sz w:val="28"/>
          <w:szCs w:val="28"/>
        </w:rPr>
        <w:t xml:space="preserve">, </w:t>
      </w:r>
      <w:r w:rsidRPr="00CB74B1">
        <w:rPr>
          <w:rFonts w:ascii="Century" w:hAnsi="Century"/>
          <w:i/>
          <w:iCs/>
          <w:sz w:val="28"/>
          <w:szCs w:val="28"/>
        </w:rPr>
        <w:t>State v. McClain</w:t>
      </w:r>
      <w:r w:rsidRPr="00CB74B1">
        <w:rPr>
          <w:rFonts w:ascii="Century" w:hAnsi="Century"/>
          <w:sz w:val="28"/>
          <w:szCs w:val="28"/>
        </w:rPr>
        <w:t xml:space="preserve">, 169 N.C. App. </w:t>
      </w:r>
      <w:r>
        <w:rPr>
          <w:rFonts w:ascii="Century" w:hAnsi="Century"/>
          <w:sz w:val="28"/>
          <w:szCs w:val="28"/>
        </w:rPr>
        <w:t>at</w:t>
      </w:r>
      <w:r w:rsidRPr="00CB74B1">
        <w:rPr>
          <w:rFonts w:ascii="Century" w:hAnsi="Century"/>
          <w:sz w:val="28"/>
          <w:szCs w:val="28"/>
        </w:rPr>
        <w:t xml:space="preserve"> 663-64, 610 </w:t>
      </w:r>
      <w:proofErr w:type="spellStart"/>
      <w:r w:rsidRPr="00CB74B1">
        <w:rPr>
          <w:rFonts w:ascii="Century" w:hAnsi="Century"/>
          <w:sz w:val="28"/>
          <w:szCs w:val="28"/>
        </w:rPr>
        <w:t>S.E.2d</w:t>
      </w:r>
      <w:proofErr w:type="spellEnd"/>
      <w:r w:rsidRPr="00CB74B1">
        <w:rPr>
          <w:rFonts w:ascii="Century" w:hAnsi="Century"/>
          <w:sz w:val="28"/>
          <w:szCs w:val="28"/>
        </w:rPr>
        <w:t xml:space="preserve"> </w:t>
      </w:r>
      <w:r>
        <w:rPr>
          <w:rFonts w:ascii="Century" w:hAnsi="Century"/>
          <w:sz w:val="28"/>
          <w:szCs w:val="28"/>
        </w:rPr>
        <w:t>at</w:t>
      </w:r>
      <w:r w:rsidRPr="00CB74B1">
        <w:rPr>
          <w:rFonts w:ascii="Century" w:hAnsi="Century"/>
          <w:sz w:val="28"/>
          <w:szCs w:val="28"/>
        </w:rPr>
        <w:t xml:space="preserve"> 788</w:t>
      </w:r>
      <w:r>
        <w:rPr>
          <w:rFonts w:ascii="Century" w:hAnsi="Century"/>
          <w:sz w:val="28"/>
          <w:szCs w:val="28"/>
        </w:rPr>
        <w:t xml:space="preserve">. Here, the State presented no evidence whatsoever. </w:t>
      </w:r>
      <w:r w:rsidR="00C86C28">
        <w:rPr>
          <w:rFonts w:ascii="Century" w:hAnsi="Century"/>
          <w:sz w:val="28"/>
          <w:szCs w:val="28"/>
        </w:rPr>
        <w:t xml:space="preserve">The testimony of Dr. </w:t>
      </w:r>
      <w:proofErr w:type="spellStart"/>
      <w:r w:rsidR="00C86C28">
        <w:rPr>
          <w:rFonts w:ascii="Century" w:hAnsi="Century"/>
          <w:sz w:val="28"/>
          <w:szCs w:val="28"/>
        </w:rPr>
        <w:t>Hilkey</w:t>
      </w:r>
      <w:proofErr w:type="spellEnd"/>
      <w:r w:rsidR="00C86C28">
        <w:rPr>
          <w:rFonts w:ascii="Century" w:hAnsi="Century"/>
          <w:sz w:val="28"/>
          <w:szCs w:val="28"/>
        </w:rPr>
        <w:t>, the only evidence presented, proved Mr. Bethea’s incompetence by a preponderance of the evidence.</w:t>
      </w:r>
    </w:p>
    <w:p w14:paraId="2EB82274" w14:textId="6AD81F23" w:rsidR="00A253C1" w:rsidRPr="006B685C" w:rsidRDefault="00084A9E" w:rsidP="006B685C">
      <w:pPr>
        <w:spacing w:line="480" w:lineRule="auto"/>
        <w:ind w:firstLine="720"/>
        <w:jc w:val="both"/>
        <w:rPr>
          <w:rFonts w:ascii="Century" w:hAnsi="Century"/>
          <w:sz w:val="28"/>
          <w:szCs w:val="28"/>
        </w:rPr>
      </w:pPr>
      <w:r>
        <w:rPr>
          <w:rFonts w:ascii="Century" w:hAnsi="Century"/>
          <w:sz w:val="28"/>
          <w:szCs w:val="28"/>
        </w:rPr>
        <w:t xml:space="preserve">This is not a case where the defendant </w:t>
      </w:r>
      <w:proofErr w:type="gramStart"/>
      <w:r>
        <w:rPr>
          <w:rFonts w:ascii="Century" w:hAnsi="Century"/>
          <w:sz w:val="28"/>
          <w:szCs w:val="28"/>
        </w:rPr>
        <w:t>is capable of assisting</w:t>
      </w:r>
      <w:proofErr w:type="gramEnd"/>
      <w:r>
        <w:rPr>
          <w:rFonts w:ascii="Century" w:hAnsi="Century"/>
          <w:sz w:val="28"/>
          <w:szCs w:val="28"/>
        </w:rPr>
        <w:t xml:space="preserve"> counsel but declines to do so. </w:t>
      </w:r>
      <w:r>
        <w:rPr>
          <w:rFonts w:ascii="Century" w:hAnsi="Century"/>
          <w:i/>
          <w:iCs/>
          <w:sz w:val="28"/>
          <w:szCs w:val="28"/>
        </w:rPr>
        <w:t>See e.g.</w:t>
      </w:r>
      <w:r>
        <w:rPr>
          <w:rFonts w:ascii="Century" w:hAnsi="Century"/>
          <w:sz w:val="28"/>
          <w:szCs w:val="28"/>
        </w:rPr>
        <w:t xml:space="preserve">, </w:t>
      </w:r>
      <w:r>
        <w:rPr>
          <w:rFonts w:ascii="Century" w:hAnsi="Century"/>
          <w:i/>
          <w:iCs/>
          <w:sz w:val="28"/>
          <w:szCs w:val="28"/>
        </w:rPr>
        <w:t>State v. Pratt</w:t>
      </w:r>
      <w:r>
        <w:rPr>
          <w:rFonts w:ascii="Century" w:hAnsi="Century"/>
          <w:sz w:val="28"/>
          <w:szCs w:val="28"/>
        </w:rPr>
        <w:t xml:space="preserve">, 152 N.C. App. 694, 697, 568 </w:t>
      </w:r>
      <w:proofErr w:type="spellStart"/>
      <w:r>
        <w:rPr>
          <w:rFonts w:ascii="Century" w:hAnsi="Century"/>
          <w:sz w:val="28"/>
          <w:szCs w:val="28"/>
        </w:rPr>
        <w:t>S.E.2d</w:t>
      </w:r>
      <w:proofErr w:type="spellEnd"/>
      <w:r>
        <w:rPr>
          <w:rFonts w:ascii="Century" w:hAnsi="Century"/>
          <w:sz w:val="28"/>
          <w:szCs w:val="28"/>
        </w:rPr>
        <w:t xml:space="preserve"> 276, 278-79 (2002) (a defendant is not incompetent if his mental illness simply makes him “reluctant” to identify witnesses). Nor is it a case where there is evidence of malingering or a deliberate attempt to delay one’s prosecution. </w:t>
      </w:r>
      <w:r>
        <w:rPr>
          <w:rFonts w:ascii="Century" w:hAnsi="Century"/>
          <w:i/>
          <w:iCs/>
          <w:sz w:val="28"/>
          <w:szCs w:val="28"/>
        </w:rPr>
        <w:t>See e.g.</w:t>
      </w:r>
      <w:r>
        <w:rPr>
          <w:rFonts w:ascii="Century" w:hAnsi="Century"/>
          <w:sz w:val="28"/>
          <w:szCs w:val="28"/>
        </w:rPr>
        <w:t xml:space="preserve">, </w:t>
      </w:r>
      <w:r>
        <w:rPr>
          <w:rFonts w:ascii="Century" w:hAnsi="Century"/>
          <w:i/>
          <w:iCs/>
          <w:sz w:val="28"/>
          <w:szCs w:val="28"/>
        </w:rPr>
        <w:t>State v. Chukwu</w:t>
      </w:r>
      <w:r>
        <w:rPr>
          <w:rFonts w:ascii="Century" w:hAnsi="Century"/>
          <w:sz w:val="28"/>
          <w:szCs w:val="28"/>
        </w:rPr>
        <w:t xml:space="preserve">, 230 N.C. App. 553, 570, 749 </w:t>
      </w:r>
      <w:proofErr w:type="spellStart"/>
      <w:r>
        <w:rPr>
          <w:rFonts w:ascii="Century" w:hAnsi="Century"/>
          <w:sz w:val="28"/>
          <w:szCs w:val="28"/>
        </w:rPr>
        <w:t>S.E.2d</w:t>
      </w:r>
      <w:proofErr w:type="spellEnd"/>
      <w:r>
        <w:rPr>
          <w:rFonts w:ascii="Century" w:hAnsi="Century"/>
          <w:sz w:val="28"/>
          <w:szCs w:val="28"/>
        </w:rPr>
        <w:t xml:space="preserve"> 910, 921-22 (2013). Instead, the uncontroverted evidence was that Mr. Bethea was incapable of assisting in his defense because of a brain injury resulting in the complete loss of all memories around the time of the incident. The trial court therefore erred in finding Mr. Bethea competent to stand trial.</w:t>
      </w:r>
    </w:p>
    <w:p w14:paraId="6AC1C714" w14:textId="20D8D23A" w:rsidR="00517A97" w:rsidRPr="006B685C" w:rsidRDefault="00B50796" w:rsidP="006B685C">
      <w:pPr>
        <w:pStyle w:val="BodyTextIndent"/>
        <w:jc w:val="both"/>
        <w:rPr>
          <w:rFonts w:ascii="Century" w:hAnsi="Century"/>
          <w:sz w:val="28"/>
          <w:szCs w:val="28"/>
        </w:rPr>
      </w:pPr>
      <w:r w:rsidRPr="00B50796">
        <w:rPr>
          <w:rFonts w:ascii="Century" w:hAnsi="Century"/>
          <w:color w:val="000000"/>
          <w:sz w:val="28"/>
          <w:szCs w:val="28"/>
        </w:rPr>
        <w:t>Because Mr. Bethea was tried and convicted while incompetent, he was deprived of his fundamental rights to due process and to a fair trial under the Sixth and Fourteenth Amendments to the United States Constitution. His convictions must therefore be vacated</w:t>
      </w:r>
      <w:r w:rsidR="00517A97">
        <w:rPr>
          <w:rFonts w:ascii="Century" w:hAnsi="Century"/>
          <w:color w:val="000000"/>
          <w:sz w:val="28"/>
          <w:szCs w:val="28"/>
        </w:rPr>
        <w:t>.</w:t>
      </w:r>
    </w:p>
    <w:p w14:paraId="2EB82278" w14:textId="599E8241" w:rsidR="00A253C1" w:rsidRPr="00ED2212" w:rsidRDefault="00E03B9C">
      <w:pPr>
        <w:pStyle w:val="BodyTextIndent"/>
        <w:ind w:firstLine="0"/>
        <w:jc w:val="center"/>
        <w:rPr>
          <w:rFonts w:ascii="Century" w:hAnsi="Century"/>
          <w:b/>
          <w:sz w:val="28"/>
          <w:szCs w:val="28"/>
          <w:u w:val="single"/>
        </w:rPr>
      </w:pPr>
      <w:r w:rsidRPr="00ED2212">
        <w:rPr>
          <w:rFonts w:ascii="Century" w:hAnsi="Century"/>
          <w:b/>
          <w:sz w:val="28"/>
          <w:szCs w:val="28"/>
          <w:u w:val="single"/>
        </w:rPr>
        <w:lastRenderedPageBreak/>
        <w:t>CONCLUSION</w:t>
      </w:r>
    </w:p>
    <w:p w14:paraId="0E1A8C21" w14:textId="77777777" w:rsidR="006B685C" w:rsidRDefault="00E03B9C" w:rsidP="006B685C">
      <w:pPr>
        <w:pStyle w:val="BodyTextIndent"/>
        <w:jc w:val="both"/>
        <w:rPr>
          <w:rFonts w:ascii="Century" w:hAnsi="Century"/>
          <w:sz w:val="28"/>
          <w:szCs w:val="28"/>
        </w:rPr>
      </w:pPr>
      <w:r w:rsidRPr="00ED2212">
        <w:rPr>
          <w:rFonts w:ascii="Century" w:hAnsi="Century"/>
          <w:sz w:val="28"/>
          <w:szCs w:val="28"/>
        </w:rPr>
        <w:t xml:space="preserve">For the </w:t>
      </w:r>
      <w:r w:rsidRPr="00F76721">
        <w:rPr>
          <w:rFonts w:ascii="Century" w:hAnsi="Century"/>
          <w:sz w:val="28"/>
          <w:szCs w:val="28"/>
        </w:rPr>
        <w:t xml:space="preserve">foregoing reasons and authorities, </w:t>
      </w:r>
      <w:r w:rsidR="005D17F1" w:rsidRPr="00F76721">
        <w:rPr>
          <w:rFonts w:ascii="Century" w:hAnsi="Century"/>
          <w:sz w:val="28"/>
          <w:szCs w:val="28"/>
        </w:rPr>
        <w:t>Mr. Bethea</w:t>
      </w:r>
      <w:r w:rsidR="00653823" w:rsidRPr="00F76721">
        <w:rPr>
          <w:rFonts w:ascii="Century" w:hAnsi="Century"/>
          <w:sz w:val="28"/>
          <w:szCs w:val="28"/>
        </w:rPr>
        <w:t xml:space="preserve"> </w:t>
      </w:r>
      <w:r w:rsidRPr="00F76721">
        <w:rPr>
          <w:rFonts w:ascii="Century" w:hAnsi="Century"/>
          <w:sz w:val="28"/>
          <w:szCs w:val="28"/>
        </w:rPr>
        <w:t xml:space="preserve">respectfully requests that </w:t>
      </w:r>
      <w:r w:rsidR="005D17F1" w:rsidRPr="00F76721">
        <w:rPr>
          <w:rFonts w:ascii="Century" w:hAnsi="Century"/>
          <w:sz w:val="28"/>
          <w:szCs w:val="28"/>
        </w:rPr>
        <w:t>his</w:t>
      </w:r>
      <w:r w:rsidR="00653823" w:rsidRPr="00F76721">
        <w:rPr>
          <w:rFonts w:ascii="Century" w:hAnsi="Century"/>
          <w:sz w:val="28"/>
          <w:szCs w:val="28"/>
        </w:rPr>
        <w:t xml:space="preserve"> </w:t>
      </w:r>
      <w:r w:rsidRPr="00F76721">
        <w:rPr>
          <w:rFonts w:ascii="Century" w:hAnsi="Century"/>
          <w:sz w:val="28"/>
          <w:szCs w:val="28"/>
        </w:rPr>
        <w:t>conviction</w:t>
      </w:r>
      <w:r w:rsidR="005D17F1" w:rsidRPr="00F76721">
        <w:rPr>
          <w:rFonts w:ascii="Century" w:hAnsi="Century"/>
          <w:sz w:val="28"/>
          <w:szCs w:val="28"/>
        </w:rPr>
        <w:t>s</w:t>
      </w:r>
      <w:r w:rsidRPr="00F76721">
        <w:rPr>
          <w:rFonts w:ascii="Century" w:hAnsi="Century"/>
          <w:sz w:val="28"/>
          <w:szCs w:val="28"/>
        </w:rPr>
        <w:t xml:space="preserve"> be </w:t>
      </w:r>
      <w:r w:rsidR="00517A97" w:rsidRPr="00F76721">
        <w:rPr>
          <w:rFonts w:ascii="Century" w:hAnsi="Century"/>
          <w:sz w:val="28"/>
          <w:szCs w:val="28"/>
        </w:rPr>
        <w:t>vacated</w:t>
      </w:r>
      <w:r w:rsidR="00F76721" w:rsidRPr="00F76721">
        <w:rPr>
          <w:rFonts w:ascii="Century" w:hAnsi="Century"/>
          <w:sz w:val="28"/>
          <w:szCs w:val="28"/>
        </w:rPr>
        <w:t>. In the alternative, if this Court conclude</w:t>
      </w:r>
      <w:r w:rsidR="00CE3400">
        <w:rPr>
          <w:rFonts w:ascii="Century" w:hAnsi="Century"/>
          <w:sz w:val="28"/>
          <w:szCs w:val="28"/>
        </w:rPr>
        <w:t>s</w:t>
      </w:r>
      <w:r w:rsidR="00F76721" w:rsidRPr="00F76721">
        <w:rPr>
          <w:rFonts w:ascii="Century" w:hAnsi="Century"/>
          <w:sz w:val="28"/>
          <w:szCs w:val="28"/>
        </w:rPr>
        <w:t xml:space="preserve"> that the trial court’s findings were insufficient to enable meaningful appellate review, the appropriate remedy is to reverse and remand for a new competency hearing.</w:t>
      </w:r>
    </w:p>
    <w:p w14:paraId="474FB9DB" w14:textId="77777777" w:rsidR="006B685C" w:rsidRDefault="006B685C" w:rsidP="006B685C">
      <w:pPr>
        <w:pStyle w:val="BodyTextIndent"/>
        <w:jc w:val="both"/>
        <w:rPr>
          <w:rFonts w:ascii="Century" w:hAnsi="Century"/>
          <w:sz w:val="28"/>
          <w:szCs w:val="28"/>
        </w:rPr>
      </w:pPr>
    </w:p>
    <w:p w14:paraId="2EB8227C" w14:textId="313AD199" w:rsidR="00A253C1" w:rsidRPr="00ED2212" w:rsidRDefault="00E03B9C" w:rsidP="006B685C">
      <w:pPr>
        <w:pStyle w:val="BodyTextIndent"/>
        <w:jc w:val="both"/>
        <w:rPr>
          <w:rFonts w:ascii="Century" w:hAnsi="Century"/>
          <w:sz w:val="28"/>
          <w:szCs w:val="28"/>
        </w:rPr>
      </w:pPr>
      <w:r w:rsidRPr="00ED2212">
        <w:rPr>
          <w:rFonts w:ascii="Century" w:hAnsi="Century"/>
          <w:sz w:val="28"/>
          <w:szCs w:val="28"/>
        </w:rPr>
        <w:t xml:space="preserve">Respectfully submitted, </w:t>
      </w:r>
      <w:r w:rsidRPr="00EF2A38">
        <w:rPr>
          <w:rFonts w:ascii="Century" w:hAnsi="Century"/>
          <w:sz w:val="28"/>
          <w:szCs w:val="28"/>
        </w:rPr>
        <w:t>this</w:t>
      </w:r>
      <w:r w:rsidR="00EF2A38">
        <w:rPr>
          <w:rFonts w:ascii="Century" w:hAnsi="Century"/>
          <w:sz w:val="28"/>
          <w:szCs w:val="28"/>
        </w:rPr>
        <w:t>,</w:t>
      </w:r>
      <w:r w:rsidRPr="00EF2A38">
        <w:rPr>
          <w:rFonts w:ascii="Century" w:hAnsi="Century"/>
          <w:sz w:val="28"/>
          <w:szCs w:val="28"/>
        </w:rPr>
        <w:t xml:space="preserve"> the </w:t>
      </w:r>
      <w:r w:rsidR="00EF2A38" w:rsidRPr="00EF2A38">
        <w:rPr>
          <w:rFonts w:ascii="Century" w:hAnsi="Century"/>
          <w:sz w:val="28"/>
          <w:szCs w:val="28"/>
        </w:rPr>
        <w:t>26</w:t>
      </w:r>
      <w:r w:rsidRPr="00EF2A38">
        <w:rPr>
          <w:rFonts w:ascii="Century" w:hAnsi="Century"/>
          <w:sz w:val="28"/>
          <w:szCs w:val="28"/>
          <w:vertAlign w:val="superscript"/>
        </w:rPr>
        <w:t>th</w:t>
      </w:r>
      <w:r w:rsidR="001B443A" w:rsidRPr="00EF2A38">
        <w:rPr>
          <w:rFonts w:ascii="Century" w:hAnsi="Century"/>
          <w:sz w:val="28"/>
          <w:szCs w:val="28"/>
        </w:rPr>
        <w:t xml:space="preserve"> day </w:t>
      </w:r>
      <w:r w:rsidR="00EF2A38" w:rsidRPr="00EF2A38">
        <w:rPr>
          <w:rFonts w:ascii="Century" w:hAnsi="Century"/>
          <w:sz w:val="28"/>
          <w:szCs w:val="28"/>
        </w:rPr>
        <w:t>May 2023</w:t>
      </w:r>
      <w:r w:rsidRPr="00EF2A38">
        <w:rPr>
          <w:rFonts w:ascii="Century" w:hAnsi="Century"/>
          <w:sz w:val="28"/>
          <w:szCs w:val="28"/>
        </w:rPr>
        <w:t>.</w:t>
      </w:r>
    </w:p>
    <w:p w14:paraId="2EB8227F" w14:textId="77777777" w:rsidR="00A253C1" w:rsidRPr="00ED2212" w:rsidRDefault="00E03B9C">
      <w:pPr>
        <w:overflowPunct w:val="0"/>
        <w:autoSpaceDE w:val="0"/>
        <w:autoSpaceDN w:val="0"/>
        <w:adjustRightInd w:val="0"/>
        <w:ind w:left="2880" w:firstLine="540"/>
        <w:jc w:val="both"/>
        <w:rPr>
          <w:rFonts w:ascii="Century" w:hAnsi="Century"/>
          <w:sz w:val="28"/>
          <w:szCs w:val="28"/>
          <w:u w:val="single"/>
        </w:rPr>
      </w:pPr>
      <w:r w:rsidRPr="00ED2212">
        <w:rPr>
          <w:rFonts w:ascii="Century" w:hAnsi="Century"/>
          <w:sz w:val="28"/>
          <w:szCs w:val="28"/>
          <w:u w:val="single"/>
        </w:rPr>
        <w:t>By Electronic Submission:</w:t>
      </w:r>
    </w:p>
    <w:p w14:paraId="2EB82280" w14:textId="77777777" w:rsidR="00A253C1" w:rsidRPr="00ED2212" w:rsidRDefault="00E03B9C">
      <w:pPr>
        <w:tabs>
          <w:tab w:val="left" w:pos="3420"/>
        </w:tabs>
        <w:overflowPunct w:val="0"/>
        <w:autoSpaceDE w:val="0"/>
        <w:autoSpaceDN w:val="0"/>
        <w:adjustRightInd w:val="0"/>
        <w:ind w:firstLine="540"/>
        <w:jc w:val="both"/>
        <w:rPr>
          <w:rFonts w:ascii="Century" w:hAnsi="Century"/>
          <w:sz w:val="28"/>
          <w:szCs w:val="28"/>
        </w:rPr>
      </w:pPr>
      <w:r w:rsidRPr="00ED2212">
        <w:rPr>
          <w:rFonts w:ascii="Century" w:hAnsi="Century"/>
          <w:sz w:val="28"/>
          <w:szCs w:val="28"/>
        </w:rPr>
        <w:tab/>
        <w:t>Sarah Holladay</w:t>
      </w:r>
    </w:p>
    <w:p w14:paraId="2EB82281" w14:textId="77777777" w:rsidR="00A253C1" w:rsidRPr="00ED2212" w:rsidRDefault="00E03B9C">
      <w:pPr>
        <w:tabs>
          <w:tab w:val="left" w:pos="3420"/>
        </w:tabs>
        <w:overflowPunct w:val="0"/>
        <w:autoSpaceDE w:val="0"/>
        <w:autoSpaceDN w:val="0"/>
        <w:adjustRightInd w:val="0"/>
        <w:ind w:firstLine="540"/>
        <w:jc w:val="both"/>
        <w:rPr>
          <w:rFonts w:ascii="Century" w:hAnsi="Century"/>
          <w:sz w:val="28"/>
          <w:szCs w:val="28"/>
        </w:rPr>
      </w:pPr>
      <w:r w:rsidRPr="00ED2212">
        <w:rPr>
          <w:rFonts w:ascii="Century" w:hAnsi="Century"/>
          <w:sz w:val="28"/>
          <w:szCs w:val="28"/>
        </w:rPr>
        <w:tab/>
        <w:t>North Carolina State Bar Number 33987</w:t>
      </w:r>
    </w:p>
    <w:p w14:paraId="2EB82283" w14:textId="67ADD87B" w:rsidR="00A253C1" w:rsidRPr="00ED2212" w:rsidRDefault="00E03B9C" w:rsidP="00ED2212">
      <w:pPr>
        <w:tabs>
          <w:tab w:val="left" w:pos="3420"/>
        </w:tabs>
        <w:overflowPunct w:val="0"/>
        <w:autoSpaceDE w:val="0"/>
        <w:autoSpaceDN w:val="0"/>
        <w:adjustRightInd w:val="0"/>
        <w:ind w:firstLine="540"/>
        <w:jc w:val="both"/>
        <w:rPr>
          <w:rFonts w:ascii="Century" w:hAnsi="Century"/>
          <w:sz w:val="28"/>
          <w:szCs w:val="28"/>
        </w:rPr>
      </w:pPr>
      <w:r w:rsidRPr="00ED2212">
        <w:rPr>
          <w:rFonts w:ascii="Century" w:hAnsi="Century"/>
          <w:sz w:val="28"/>
          <w:szCs w:val="28"/>
        </w:rPr>
        <w:tab/>
      </w:r>
      <w:r w:rsidR="00ED2212" w:rsidRPr="00ED2212">
        <w:rPr>
          <w:rFonts w:ascii="Century" w:hAnsi="Century"/>
          <w:sz w:val="28"/>
          <w:szCs w:val="28"/>
        </w:rPr>
        <w:t>P.O. Box 52427</w:t>
      </w:r>
    </w:p>
    <w:p w14:paraId="1356E431" w14:textId="719E50A6" w:rsidR="00ED2212" w:rsidRPr="00ED2212" w:rsidRDefault="00ED2212" w:rsidP="00ED2212">
      <w:pPr>
        <w:tabs>
          <w:tab w:val="left" w:pos="3420"/>
        </w:tabs>
        <w:overflowPunct w:val="0"/>
        <w:autoSpaceDE w:val="0"/>
        <w:autoSpaceDN w:val="0"/>
        <w:adjustRightInd w:val="0"/>
        <w:ind w:firstLine="540"/>
        <w:jc w:val="both"/>
        <w:rPr>
          <w:rFonts w:ascii="Century" w:hAnsi="Century"/>
          <w:sz w:val="28"/>
          <w:szCs w:val="28"/>
        </w:rPr>
      </w:pPr>
      <w:r w:rsidRPr="00ED2212">
        <w:rPr>
          <w:rFonts w:ascii="Century" w:hAnsi="Century"/>
          <w:sz w:val="28"/>
          <w:szCs w:val="28"/>
        </w:rPr>
        <w:tab/>
        <w:t>Durham, NC 27717</w:t>
      </w:r>
    </w:p>
    <w:p w14:paraId="2EB82284" w14:textId="7F18EECC" w:rsidR="00A253C1" w:rsidRPr="00ED2212" w:rsidRDefault="00E03B9C">
      <w:pPr>
        <w:tabs>
          <w:tab w:val="left" w:pos="3420"/>
        </w:tabs>
        <w:overflowPunct w:val="0"/>
        <w:autoSpaceDE w:val="0"/>
        <w:autoSpaceDN w:val="0"/>
        <w:adjustRightInd w:val="0"/>
        <w:ind w:firstLine="540"/>
        <w:jc w:val="both"/>
        <w:rPr>
          <w:rFonts w:ascii="Century" w:hAnsi="Century"/>
          <w:sz w:val="28"/>
          <w:szCs w:val="28"/>
        </w:rPr>
      </w:pPr>
      <w:r w:rsidRPr="00ED2212">
        <w:rPr>
          <w:rFonts w:ascii="Century" w:hAnsi="Century"/>
          <w:sz w:val="28"/>
          <w:szCs w:val="28"/>
        </w:rPr>
        <w:tab/>
      </w:r>
      <w:r w:rsidR="00ED2212" w:rsidRPr="00ED2212">
        <w:rPr>
          <w:rFonts w:ascii="Century" w:hAnsi="Century"/>
          <w:sz w:val="28"/>
          <w:szCs w:val="28"/>
        </w:rPr>
        <w:t>(919) 695-3127</w:t>
      </w:r>
    </w:p>
    <w:p w14:paraId="2EB82285" w14:textId="50A5BCBB" w:rsidR="00A253C1" w:rsidRPr="00ED2212" w:rsidRDefault="00E03B9C">
      <w:pPr>
        <w:tabs>
          <w:tab w:val="left" w:pos="3420"/>
        </w:tabs>
        <w:overflowPunct w:val="0"/>
        <w:autoSpaceDE w:val="0"/>
        <w:autoSpaceDN w:val="0"/>
        <w:adjustRightInd w:val="0"/>
        <w:ind w:firstLine="540"/>
        <w:jc w:val="both"/>
        <w:rPr>
          <w:rFonts w:ascii="Century" w:hAnsi="Century"/>
          <w:sz w:val="28"/>
          <w:szCs w:val="28"/>
        </w:rPr>
      </w:pPr>
      <w:r w:rsidRPr="00ED2212">
        <w:rPr>
          <w:rFonts w:ascii="Century" w:hAnsi="Century"/>
          <w:sz w:val="28"/>
          <w:szCs w:val="28"/>
        </w:rPr>
        <w:tab/>
      </w:r>
      <w:hyperlink r:id="rId11" w:history="1">
        <w:r w:rsidR="00ED2212" w:rsidRPr="00ED2212">
          <w:rPr>
            <w:rStyle w:val="Hyperlink"/>
            <w:rFonts w:ascii="Century" w:hAnsi="Century"/>
            <w:sz w:val="28"/>
            <w:szCs w:val="28"/>
          </w:rPr>
          <w:t>sarah@holladaylawoffice.com</w:t>
        </w:r>
      </w:hyperlink>
      <w:r w:rsidR="00ED2212" w:rsidRPr="00ED2212">
        <w:rPr>
          <w:rFonts w:ascii="Century" w:hAnsi="Century"/>
          <w:sz w:val="28"/>
          <w:szCs w:val="28"/>
        </w:rPr>
        <w:t xml:space="preserve"> </w:t>
      </w:r>
    </w:p>
    <w:p w14:paraId="2EB82286" w14:textId="4BE469AE" w:rsidR="00A253C1" w:rsidRPr="00ED2212" w:rsidRDefault="00E03B9C" w:rsidP="0080336B">
      <w:pPr>
        <w:tabs>
          <w:tab w:val="left" w:pos="3420"/>
        </w:tabs>
        <w:overflowPunct w:val="0"/>
        <w:autoSpaceDE w:val="0"/>
        <w:autoSpaceDN w:val="0"/>
        <w:adjustRightInd w:val="0"/>
        <w:ind w:firstLine="2880"/>
        <w:jc w:val="both"/>
        <w:rPr>
          <w:rFonts w:ascii="Century" w:hAnsi="Century"/>
          <w:color w:val="000000"/>
          <w:sz w:val="28"/>
          <w:szCs w:val="28"/>
        </w:rPr>
      </w:pPr>
      <w:r w:rsidRPr="00ED2212">
        <w:rPr>
          <w:rFonts w:ascii="Century" w:hAnsi="Century"/>
          <w:sz w:val="28"/>
          <w:szCs w:val="28"/>
        </w:rPr>
        <w:t>ATTORNEY FOR DEFENDANT-APPELLANT</w:t>
      </w:r>
    </w:p>
    <w:p w14:paraId="2EB82287" w14:textId="77777777" w:rsidR="00A253C1" w:rsidRPr="00ED2212" w:rsidRDefault="00E03B9C">
      <w:pPr>
        <w:rPr>
          <w:rFonts w:ascii="Century" w:hAnsi="Century"/>
          <w:b/>
          <w:bCs/>
          <w:sz w:val="28"/>
          <w:szCs w:val="28"/>
          <w:u w:val="single"/>
        </w:rPr>
      </w:pPr>
      <w:r w:rsidRPr="00ED2212">
        <w:rPr>
          <w:rFonts w:ascii="Century" w:hAnsi="Century"/>
          <w:b/>
          <w:bCs/>
          <w:sz w:val="28"/>
          <w:szCs w:val="28"/>
          <w:u w:val="single"/>
        </w:rPr>
        <w:br w:type="page"/>
      </w:r>
    </w:p>
    <w:p w14:paraId="2EB82288" w14:textId="77777777" w:rsidR="00A253C1" w:rsidRPr="00ED2212" w:rsidRDefault="00E03B9C">
      <w:pPr>
        <w:pStyle w:val="BodyTextIndent"/>
        <w:ind w:firstLine="0"/>
        <w:jc w:val="center"/>
        <w:rPr>
          <w:rFonts w:ascii="Century" w:hAnsi="Century"/>
          <w:b/>
          <w:bCs/>
          <w:sz w:val="28"/>
          <w:szCs w:val="28"/>
          <w:u w:val="single"/>
        </w:rPr>
      </w:pPr>
      <w:r w:rsidRPr="00ED2212">
        <w:rPr>
          <w:rFonts w:ascii="Century" w:hAnsi="Century"/>
          <w:b/>
          <w:bCs/>
          <w:sz w:val="28"/>
          <w:szCs w:val="28"/>
          <w:u w:val="single"/>
        </w:rPr>
        <w:lastRenderedPageBreak/>
        <w:t>CERTIFICATE OF COMPLIANCE WITH N.C. R. APP. P. 28(J)(2)</w:t>
      </w:r>
    </w:p>
    <w:p w14:paraId="2EB82289" w14:textId="6B9D08DD" w:rsidR="00A253C1" w:rsidRPr="00ED2212" w:rsidRDefault="00E03B9C">
      <w:pPr>
        <w:pStyle w:val="BodyTextIndent"/>
        <w:spacing w:line="240" w:lineRule="auto"/>
        <w:ind w:firstLine="0"/>
        <w:jc w:val="both"/>
        <w:rPr>
          <w:rFonts w:ascii="Century" w:hAnsi="Century"/>
          <w:sz w:val="28"/>
          <w:szCs w:val="28"/>
        </w:rPr>
      </w:pPr>
      <w:r w:rsidRPr="00ED2212">
        <w:rPr>
          <w:rFonts w:ascii="Century" w:hAnsi="Century"/>
          <w:sz w:val="28"/>
          <w:szCs w:val="28"/>
        </w:rPr>
        <w:tab/>
        <w:t xml:space="preserve">I hereby certify that Defendant-Appellant’s Brief </w:t>
      </w:r>
      <w:proofErr w:type="gramStart"/>
      <w:r w:rsidRPr="00ED2212">
        <w:rPr>
          <w:rFonts w:ascii="Century" w:hAnsi="Century"/>
          <w:sz w:val="28"/>
          <w:szCs w:val="28"/>
        </w:rPr>
        <w:t>is in compliance with</w:t>
      </w:r>
      <w:proofErr w:type="gramEnd"/>
      <w:r w:rsidRPr="00ED2212">
        <w:rPr>
          <w:rFonts w:ascii="Century" w:hAnsi="Century"/>
          <w:sz w:val="28"/>
          <w:szCs w:val="28"/>
        </w:rPr>
        <w:t xml:space="preserve"> Rule 28(j)(2) of the North Carolina Rules of Appellate Procedu</w:t>
      </w:r>
      <w:r w:rsidR="00ED2212" w:rsidRPr="00ED2212">
        <w:rPr>
          <w:rFonts w:ascii="Century" w:hAnsi="Century"/>
          <w:sz w:val="28"/>
          <w:szCs w:val="28"/>
        </w:rPr>
        <w:t>re as it is printed in fourteen-</w:t>
      </w:r>
      <w:r w:rsidRPr="00ED2212">
        <w:rPr>
          <w:rFonts w:ascii="Century" w:hAnsi="Century"/>
          <w:sz w:val="28"/>
          <w:szCs w:val="28"/>
        </w:rPr>
        <w:t xml:space="preserve">point </w:t>
      </w:r>
      <w:r w:rsidR="00ED2212" w:rsidRPr="00ED2212">
        <w:rPr>
          <w:rFonts w:ascii="Century" w:hAnsi="Century"/>
          <w:sz w:val="28"/>
          <w:szCs w:val="28"/>
        </w:rPr>
        <w:t>Century</w:t>
      </w:r>
      <w:r w:rsidRPr="00ED2212">
        <w:rPr>
          <w:rFonts w:ascii="Century" w:hAnsi="Century"/>
          <w:sz w:val="28"/>
          <w:szCs w:val="28"/>
        </w:rPr>
        <w:t xml:space="preserve"> font and the body of the brief, including footnotes and citations, contains no more than 8750 words as indicated by the word-processing program used to prepare the brief.</w:t>
      </w:r>
    </w:p>
    <w:p w14:paraId="2EB8228A" w14:textId="77777777" w:rsidR="00A253C1" w:rsidRPr="00ED2212" w:rsidRDefault="00A253C1">
      <w:pPr>
        <w:pStyle w:val="BodyTextIndent"/>
        <w:ind w:firstLine="0"/>
        <w:jc w:val="both"/>
        <w:rPr>
          <w:rFonts w:ascii="Century" w:hAnsi="Century"/>
          <w:sz w:val="28"/>
          <w:szCs w:val="28"/>
        </w:rPr>
      </w:pPr>
    </w:p>
    <w:p w14:paraId="2EB8228B" w14:textId="1CD85888" w:rsidR="00A253C1" w:rsidRPr="00ED2212" w:rsidRDefault="00E03B9C">
      <w:pPr>
        <w:pStyle w:val="BodyTextIndent2"/>
        <w:spacing w:line="240" w:lineRule="auto"/>
        <w:rPr>
          <w:rFonts w:ascii="Century" w:hAnsi="Century"/>
          <w:sz w:val="28"/>
          <w:szCs w:val="28"/>
        </w:rPr>
      </w:pPr>
      <w:r w:rsidRPr="00EF2A38">
        <w:rPr>
          <w:rFonts w:ascii="Century" w:hAnsi="Century"/>
          <w:sz w:val="28"/>
          <w:szCs w:val="28"/>
        </w:rPr>
        <w:t>This</w:t>
      </w:r>
      <w:r w:rsidR="00EF2A38" w:rsidRPr="00EF2A38">
        <w:rPr>
          <w:rFonts w:ascii="Century" w:hAnsi="Century"/>
          <w:sz w:val="28"/>
          <w:szCs w:val="28"/>
        </w:rPr>
        <w:t>,</w:t>
      </w:r>
      <w:r w:rsidRPr="00EF2A38">
        <w:rPr>
          <w:rFonts w:ascii="Century" w:hAnsi="Century"/>
          <w:sz w:val="28"/>
          <w:szCs w:val="28"/>
        </w:rPr>
        <w:t xml:space="preserve"> the </w:t>
      </w:r>
      <w:r w:rsidR="00EF2A38" w:rsidRPr="00EF2A38">
        <w:rPr>
          <w:rFonts w:ascii="Century" w:hAnsi="Century"/>
          <w:sz w:val="28"/>
          <w:szCs w:val="28"/>
        </w:rPr>
        <w:t>26</w:t>
      </w:r>
      <w:r w:rsidRPr="00EF2A38">
        <w:rPr>
          <w:rFonts w:ascii="Century" w:hAnsi="Century"/>
          <w:sz w:val="28"/>
          <w:szCs w:val="28"/>
          <w:vertAlign w:val="superscript"/>
        </w:rPr>
        <w:t>th</w:t>
      </w:r>
      <w:r w:rsidR="00653823" w:rsidRPr="00EF2A38">
        <w:rPr>
          <w:rFonts w:ascii="Century" w:hAnsi="Century"/>
          <w:sz w:val="28"/>
          <w:szCs w:val="28"/>
        </w:rPr>
        <w:t xml:space="preserve"> day of </w:t>
      </w:r>
      <w:r w:rsidR="00EF2A38" w:rsidRPr="00EF2A38">
        <w:rPr>
          <w:rFonts w:ascii="Century" w:hAnsi="Century"/>
          <w:sz w:val="28"/>
          <w:szCs w:val="28"/>
        </w:rPr>
        <w:t>May 2023</w:t>
      </w:r>
      <w:r w:rsidRPr="00EF2A38">
        <w:rPr>
          <w:rFonts w:ascii="Century" w:hAnsi="Century"/>
          <w:sz w:val="28"/>
          <w:szCs w:val="28"/>
        </w:rPr>
        <w:t>.</w:t>
      </w:r>
    </w:p>
    <w:p w14:paraId="2EB8228D" w14:textId="77777777" w:rsidR="00A253C1" w:rsidRPr="00ED2212" w:rsidRDefault="00A253C1">
      <w:pPr>
        <w:pStyle w:val="BodyTextIndent"/>
        <w:ind w:firstLine="0"/>
        <w:rPr>
          <w:rFonts w:ascii="Century" w:hAnsi="Century"/>
          <w:b/>
          <w:bCs/>
          <w:sz w:val="28"/>
          <w:szCs w:val="28"/>
          <w:u w:val="single"/>
        </w:rPr>
      </w:pPr>
    </w:p>
    <w:p w14:paraId="2EB8228E" w14:textId="77777777" w:rsidR="00A253C1" w:rsidRPr="00ED2212" w:rsidRDefault="00E03B9C">
      <w:pPr>
        <w:overflowPunct w:val="0"/>
        <w:autoSpaceDE w:val="0"/>
        <w:autoSpaceDN w:val="0"/>
        <w:adjustRightInd w:val="0"/>
        <w:ind w:left="3600"/>
        <w:jc w:val="both"/>
        <w:rPr>
          <w:rFonts w:ascii="Century" w:hAnsi="Century"/>
          <w:sz w:val="28"/>
          <w:szCs w:val="28"/>
          <w:u w:val="single"/>
        </w:rPr>
      </w:pPr>
      <w:r w:rsidRPr="00ED2212">
        <w:rPr>
          <w:rFonts w:ascii="Century" w:hAnsi="Century"/>
          <w:sz w:val="28"/>
          <w:szCs w:val="28"/>
          <w:u w:val="single"/>
        </w:rPr>
        <w:t>By Electronic Submission:</w:t>
      </w:r>
    </w:p>
    <w:p w14:paraId="2EB8228F" w14:textId="77777777" w:rsidR="00A253C1" w:rsidRPr="00ED2212" w:rsidRDefault="00E03B9C">
      <w:pPr>
        <w:overflowPunct w:val="0"/>
        <w:autoSpaceDE w:val="0"/>
        <w:autoSpaceDN w:val="0"/>
        <w:adjustRightInd w:val="0"/>
        <w:ind w:firstLine="720"/>
        <w:jc w:val="both"/>
        <w:rPr>
          <w:rFonts w:ascii="Century" w:hAnsi="Century"/>
          <w:sz w:val="28"/>
          <w:szCs w:val="28"/>
        </w:rPr>
      </w:pPr>
      <w:r w:rsidRPr="00ED2212">
        <w:rPr>
          <w:rFonts w:ascii="Century" w:hAnsi="Century"/>
          <w:sz w:val="28"/>
          <w:szCs w:val="28"/>
        </w:rPr>
        <w:tab/>
      </w:r>
      <w:r w:rsidRPr="00ED2212">
        <w:rPr>
          <w:rFonts w:ascii="Century" w:hAnsi="Century"/>
          <w:sz w:val="28"/>
          <w:szCs w:val="28"/>
        </w:rPr>
        <w:tab/>
      </w:r>
      <w:r w:rsidRPr="00ED2212">
        <w:rPr>
          <w:rFonts w:ascii="Century" w:hAnsi="Century"/>
          <w:sz w:val="28"/>
          <w:szCs w:val="28"/>
        </w:rPr>
        <w:tab/>
      </w:r>
      <w:r w:rsidRPr="00ED2212">
        <w:rPr>
          <w:rFonts w:ascii="Century" w:hAnsi="Century"/>
          <w:sz w:val="28"/>
          <w:szCs w:val="28"/>
        </w:rPr>
        <w:tab/>
        <w:t>Sarah Holladay</w:t>
      </w:r>
    </w:p>
    <w:p w14:paraId="2EB82294" w14:textId="79286818" w:rsidR="00A253C1" w:rsidRPr="00EF2A38" w:rsidRDefault="00E03B9C" w:rsidP="00EF2A38">
      <w:pPr>
        <w:overflowPunct w:val="0"/>
        <w:autoSpaceDE w:val="0"/>
        <w:autoSpaceDN w:val="0"/>
        <w:adjustRightInd w:val="0"/>
        <w:ind w:left="2880" w:firstLine="720"/>
        <w:jc w:val="both"/>
        <w:rPr>
          <w:rFonts w:ascii="Century" w:hAnsi="Century"/>
          <w:sz w:val="28"/>
          <w:szCs w:val="28"/>
        </w:rPr>
      </w:pPr>
      <w:r w:rsidRPr="00ED2212">
        <w:rPr>
          <w:rFonts w:ascii="Century" w:hAnsi="Century"/>
          <w:sz w:val="28"/>
          <w:szCs w:val="28"/>
        </w:rPr>
        <w:t>North Carolina State Bar Number 33987</w:t>
      </w:r>
    </w:p>
    <w:p w14:paraId="2EB82299" w14:textId="1E2E6844" w:rsidR="00A253C1" w:rsidRPr="00ED2212" w:rsidRDefault="00A253C1">
      <w:pPr>
        <w:rPr>
          <w:rFonts w:ascii="Century" w:hAnsi="Century"/>
          <w:b/>
          <w:bCs/>
          <w:sz w:val="28"/>
          <w:szCs w:val="28"/>
          <w:u w:val="single"/>
        </w:rPr>
      </w:pPr>
    </w:p>
    <w:p w14:paraId="2EB8229A" w14:textId="77777777" w:rsidR="00A253C1" w:rsidRPr="00ED2212" w:rsidRDefault="00E03B9C">
      <w:pPr>
        <w:pStyle w:val="BodyTextIndent"/>
        <w:ind w:firstLine="0"/>
        <w:jc w:val="center"/>
        <w:rPr>
          <w:rFonts w:ascii="Century" w:hAnsi="Century"/>
          <w:b/>
          <w:bCs/>
          <w:sz w:val="28"/>
          <w:szCs w:val="28"/>
          <w:u w:val="single"/>
        </w:rPr>
      </w:pPr>
      <w:r w:rsidRPr="00ED2212">
        <w:rPr>
          <w:rFonts w:ascii="Century" w:hAnsi="Century"/>
          <w:b/>
          <w:bCs/>
          <w:sz w:val="28"/>
          <w:szCs w:val="28"/>
          <w:u w:val="single"/>
        </w:rPr>
        <w:t>CERTIFICATE OF FILING AND SERVICE</w:t>
      </w:r>
    </w:p>
    <w:p w14:paraId="2EB8229B" w14:textId="77777777" w:rsidR="00A253C1" w:rsidRPr="00ED2212" w:rsidRDefault="00E03B9C">
      <w:pPr>
        <w:pStyle w:val="BodyTextIndent"/>
        <w:spacing w:line="240" w:lineRule="auto"/>
        <w:ind w:firstLine="0"/>
        <w:jc w:val="both"/>
        <w:rPr>
          <w:rFonts w:ascii="Century" w:hAnsi="Century"/>
          <w:sz w:val="28"/>
          <w:szCs w:val="28"/>
        </w:rPr>
      </w:pPr>
      <w:r w:rsidRPr="00ED2212">
        <w:rPr>
          <w:rFonts w:ascii="Century" w:hAnsi="Century"/>
          <w:sz w:val="28"/>
          <w:szCs w:val="28"/>
        </w:rPr>
        <w:tab/>
        <w:t>I hereby certify that the original Defendant-Appellant’s Brief has been filed, pursuant to Rule 26 of the North Carolina Rules of Appellate Procedure, by electronic means with the Clerk of the North Carolina Court of Appeals.</w:t>
      </w:r>
    </w:p>
    <w:p w14:paraId="2EB8229C" w14:textId="77777777" w:rsidR="00A253C1" w:rsidRPr="00ED2212" w:rsidRDefault="00A253C1">
      <w:pPr>
        <w:pStyle w:val="BodyTextIndent"/>
        <w:spacing w:line="240" w:lineRule="auto"/>
        <w:ind w:firstLine="0"/>
        <w:jc w:val="both"/>
        <w:rPr>
          <w:rFonts w:ascii="Century" w:hAnsi="Century"/>
          <w:sz w:val="28"/>
          <w:szCs w:val="28"/>
        </w:rPr>
      </w:pPr>
    </w:p>
    <w:p w14:paraId="2EB8229E" w14:textId="3F6F2A0D" w:rsidR="00A253C1" w:rsidRPr="00F76721" w:rsidRDefault="00E03B9C" w:rsidP="00F76721">
      <w:pPr>
        <w:overflowPunct w:val="0"/>
        <w:autoSpaceDE w:val="0"/>
        <w:autoSpaceDN w:val="0"/>
        <w:adjustRightInd w:val="0"/>
        <w:ind w:firstLine="720"/>
        <w:jc w:val="both"/>
        <w:rPr>
          <w:rFonts w:ascii="Century" w:hAnsi="Century"/>
          <w:sz w:val="28"/>
          <w:szCs w:val="28"/>
        </w:rPr>
      </w:pPr>
      <w:r w:rsidRPr="00ED2212">
        <w:rPr>
          <w:rFonts w:ascii="Century" w:hAnsi="Century"/>
          <w:sz w:val="28"/>
          <w:szCs w:val="28"/>
        </w:rPr>
        <w:t xml:space="preserve">I further certify that a copy of the above and foregoing Defendant-Appellant’s Brief has been duly served upon </w:t>
      </w:r>
      <w:r w:rsidR="00F76721" w:rsidRPr="00AC32B6">
        <w:rPr>
          <w:rFonts w:ascii="Century" w:hAnsi="Century"/>
          <w:sz w:val="28"/>
          <w:szCs w:val="28"/>
        </w:rPr>
        <w:t>Special Deputy Attorney General Orlando Rodriguez</w:t>
      </w:r>
      <w:r w:rsidR="00F76721">
        <w:rPr>
          <w:rFonts w:ascii="Century" w:hAnsi="Century"/>
          <w:sz w:val="28"/>
          <w:szCs w:val="28"/>
        </w:rPr>
        <w:t>, North Carolina Department of Justice, by electronic means</w:t>
      </w:r>
      <w:r w:rsidR="00F76721" w:rsidRPr="00AC32B6">
        <w:rPr>
          <w:rFonts w:ascii="Century" w:hAnsi="Century"/>
          <w:sz w:val="28"/>
          <w:szCs w:val="28"/>
        </w:rPr>
        <w:t xml:space="preserve"> at </w:t>
      </w:r>
      <w:hyperlink r:id="rId12" w:history="1">
        <w:r w:rsidR="00F76721" w:rsidRPr="00AC32B6">
          <w:rPr>
            <w:rStyle w:val="Hyperlink"/>
            <w:rFonts w:ascii="Century" w:hAnsi="Century"/>
            <w:sz w:val="28"/>
            <w:szCs w:val="28"/>
          </w:rPr>
          <w:t>orodriguez@ncdoj.gov</w:t>
        </w:r>
      </w:hyperlink>
      <w:r w:rsidR="00F76721" w:rsidRPr="00AC32B6">
        <w:rPr>
          <w:rFonts w:ascii="Century" w:hAnsi="Century"/>
          <w:sz w:val="28"/>
          <w:szCs w:val="28"/>
        </w:rPr>
        <w:t>.</w:t>
      </w:r>
    </w:p>
    <w:p w14:paraId="2EB8229F" w14:textId="77777777" w:rsidR="00A253C1" w:rsidRPr="00ED2212" w:rsidRDefault="00A253C1">
      <w:pPr>
        <w:jc w:val="both"/>
        <w:rPr>
          <w:rFonts w:ascii="Century" w:hAnsi="Century"/>
          <w:sz w:val="28"/>
          <w:szCs w:val="28"/>
          <w:highlight w:val="yellow"/>
        </w:rPr>
      </w:pPr>
    </w:p>
    <w:p w14:paraId="2EB822A0" w14:textId="33049E41" w:rsidR="00A253C1" w:rsidRPr="00ED2212" w:rsidRDefault="00E03B9C">
      <w:pPr>
        <w:pStyle w:val="BodyTextIndent2"/>
        <w:spacing w:line="240" w:lineRule="auto"/>
        <w:rPr>
          <w:rFonts w:ascii="Century" w:hAnsi="Century"/>
          <w:sz w:val="28"/>
          <w:szCs w:val="28"/>
        </w:rPr>
      </w:pPr>
      <w:r w:rsidRPr="00EF2A38">
        <w:rPr>
          <w:rFonts w:ascii="Century" w:hAnsi="Century"/>
          <w:sz w:val="28"/>
          <w:szCs w:val="28"/>
        </w:rPr>
        <w:t>This</w:t>
      </w:r>
      <w:r w:rsidR="00EF2A38">
        <w:rPr>
          <w:rFonts w:ascii="Century" w:hAnsi="Century"/>
          <w:sz w:val="28"/>
          <w:szCs w:val="28"/>
        </w:rPr>
        <w:t>,</w:t>
      </w:r>
      <w:r w:rsidRPr="00EF2A38">
        <w:rPr>
          <w:rFonts w:ascii="Century" w:hAnsi="Century"/>
          <w:sz w:val="28"/>
          <w:szCs w:val="28"/>
        </w:rPr>
        <w:t xml:space="preserve"> the </w:t>
      </w:r>
      <w:r w:rsidR="00EF2A38" w:rsidRPr="00EF2A38">
        <w:rPr>
          <w:rFonts w:ascii="Century" w:hAnsi="Century"/>
          <w:sz w:val="28"/>
          <w:szCs w:val="28"/>
        </w:rPr>
        <w:t>26</w:t>
      </w:r>
      <w:r w:rsidR="00EF2A38" w:rsidRPr="00EF2A38">
        <w:rPr>
          <w:rFonts w:ascii="Century" w:hAnsi="Century"/>
          <w:sz w:val="28"/>
          <w:szCs w:val="28"/>
          <w:vertAlign w:val="superscript"/>
        </w:rPr>
        <w:t>th</w:t>
      </w:r>
      <w:r w:rsidR="00EF2A38" w:rsidRPr="00EF2A38">
        <w:rPr>
          <w:rFonts w:ascii="Century" w:hAnsi="Century"/>
          <w:sz w:val="28"/>
          <w:szCs w:val="28"/>
        </w:rPr>
        <w:t xml:space="preserve"> day of May 2023</w:t>
      </w:r>
      <w:r w:rsidRPr="00EF2A38">
        <w:rPr>
          <w:rFonts w:ascii="Century" w:hAnsi="Century"/>
          <w:sz w:val="28"/>
          <w:szCs w:val="28"/>
        </w:rPr>
        <w:t>.</w:t>
      </w:r>
    </w:p>
    <w:p w14:paraId="2EB822A2" w14:textId="77777777" w:rsidR="00A253C1" w:rsidRPr="00ED2212" w:rsidRDefault="00A253C1" w:rsidP="00EF2A38">
      <w:pPr>
        <w:overflowPunct w:val="0"/>
        <w:autoSpaceDE w:val="0"/>
        <w:autoSpaceDN w:val="0"/>
        <w:adjustRightInd w:val="0"/>
        <w:jc w:val="both"/>
        <w:rPr>
          <w:rFonts w:ascii="Century" w:hAnsi="Century"/>
          <w:sz w:val="28"/>
          <w:szCs w:val="28"/>
          <w:u w:val="single"/>
        </w:rPr>
      </w:pPr>
    </w:p>
    <w:p w14:paraId="2EB822A3" w14:textId="77777777" w:rsidR="00A253C1" w:rsidRPr="00ED2212" w:rsidRDefault="00E03B9C">
      <w:pPr>
        <w:overflowPunct w:val="0"/>
        <w:autoSpaceDE w:val="0"/>
        <w:autoSpaceDN w:val="0"/>
        <w:adjustRightInd w:val="0"/>
        <w:ind w:left="3600"/>
        <w:jc w:val="both"/>
        <w:rPr>
          <w:rFonts w:ascii="Century" w:hAnsi="Century"/>
          <w:sz w:val="28"/>
          <w:szCs w:val="28"/>
          <w:u w:val="single"/>
        </w:rPr>
      </w:pPr>
      <w:r w:rsidRPr="00ED2212">
        <w:rPr>
          <w:rFonts w:ascii="Century" w:hAnsi="Century"/>
          <w:sz w:val="28"/>
          <w:szCs w:val="28"/>
          <w:u w:val="single"/>
        </w:rPr>
        <w:t>By Electronic Submission:</w:t>
      </w:r>
    </w:p>
    <w:p w14:paraId="2EB822A4" w14:textId="77777777" w:rsidR="00A253C1" w:rsidRPr="00ED2212" w:rsidRDefault="00E03B9C">
      <w:pPr>
        <w:overflowPunct w:val="0"/>
        <w:autoSpaceDE w:val="0"/>
        <w:autoSpaceDN w:val="0"/>
        <w:adjustRightInd w:val="0"/>
        <w:ind w:firstLine="720"/>
        <w:jc w:val="both"/>
        <w:rPr>
          <w:rFonts w:ascii="Century" w:hAnsi="Century"/>
          <w:sz w:val="28"/>
          <w:szCs w:val="28"/>
        </w:rPr>
      </w:pPr>
      <w:r w:rsidRPr="00ED2212">
        <w:rPr>
          <w:rFonts w:ascii="Century" w:hAnsi="Century"/>
          <w:sz w:val="28"/>
          <w:szCs w:val="28"/>
        </w:rPr>
        <w:tab/>
      </w:r>
      <w:r w:rsidRPr="00ED2212">
        <w:rPr>
          <w:rFonts w:ascii="Century" w:hAnsi="Century"/>
          <w:sz w:val="28"/>
          <w:szCs w:val="28"/>
        </w:rPr>
        <w:tab/>
      </w:r>
      <w:r w:rsidRPr="00ED2212">
        <w:rPr>
          <w:rFonts w:ascii="Century" w:hAnsi="Century"/>
          <w:sz w:val="28"/>
          <w:szCs w:val="28"/>
        </w:rPr>
        <w:tab/>
      </w:r>
      <w:r w:rsidRPr="00ED2212">
        <w:rPr>
          <w:rFonts w:ascii="Century" w:hAnsi="Century"/>
          <w:sz w:val="28"/>
          <w:szCs w:val="28"/>
        </w:rPr>
        <w:tab/>
        <w:t>Sarah Holladay</w:t>
      </w:r>
    </w:p>
    <w:p w14:paraId="2EB822A5" w14:textId="77777777" w:rsidR="00A253C1" w:rsidRPr="00ED2212" w:rsidRDefault="00E03B9C">
      <w:pPr>
        <w:overflowPunct w:val="0"/>
        <w:autoSpaceDE w:val="0"/>
        <w:autoSpaceDN w:val="0"/>
        <w:adjustRightInd w:val="0"/>
        <w:ind w:left="2880" w:firstLine="720"/>
        <w:jc w:val="both"/>
        <w:rPr>
          <w:rFonts w:ascii="Century" w:hAnsi="Century"/>
          <w:sz w:val="28"/>
          <w:szCs w:val="28"/>
        </w:rPr>
      </w:pPr>
      <w:r w:rsidRPr="00ED2212">
        <w:rPr>
          <w:rFonts w:ascii="Century" w:hAnsi="Century"/>
          <w:sz w:val="28"/>
          <w:szCs w:val="28"/>
        </w:rPr>
        <w:t>North Carolina State Bar Number 33987</w:t>
      </w:r>
    </w:p>
    <w:p w14:paraId="2EB822A6" w14:textId="77777777" w:rsidR="00A253C1" w:rsidRDefault="00A253C1">
      <w:pPr>
        <w:spacing w:line="480" w:lineRule="auto"/>
        <w:rPr>
          <w:sz w:val="28"/>
          <w:szCs w:val="28"/>
        </w:rPr>
      </w:pPr>
    </w:p>
    <w:sectPr w:rsidR="00A253C1" w:rsidSect="00A253C1">
      <w:headerReference w:type="default" r:id="rId13"/>
      <w:pgSz w:w="12240" w:h="15840"/>
      <w:pgMar w:top="1440" w:right="1440" w:bottom="1440" w:left="1440" w:header="720" w:footer="72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A23A0" w14:textId="77777777" w:rsidR="00CC70C1" w:rsidRDefault="00CC70C1">
      <w:pPr>
        <w:spacing w:line="240" w:lineRule="auto"/>
      </w:pPr>
      <w:r>
        <w:separator/>
      </w:r>
    </w:p>
  </w:endnote>
  <w:endnote w:type="continuationSeparator" w:id="0">
    <w:p w14:paraId="2AB9B1F9" w14:textId="77777777" w:rsidR="00CC70C1" w:rsidRDefault="00CC70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C4444" w14:textId="77777777" w:rsidR="00CC70C1" w:rsidRDefault="00CC70C1">
      <w:pPr>
        <w:spacing w:line="240" w:lineRule="auto"/>
      </w:pPr>
      <w:r>
        <w:separator/>
      </w:r>
    </w:p>
  </w:footnote>
  <w:footnote w:type="continuationSeparator" w:id="0">
    <w:p w14:paraId="3B958F46" w14:textId="77777777" w:rsidR="00CC70C1" w:rsidRDefault="00CC70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822AB" w14:textId="77777777" w:rsidR="00A148A1" w:rsidRDefault="00A148A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B822AC" w14:textId="77777777" w:rsidR="00A148A1" w:rsidRDefault="00A148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822AD" w14:textId="77777777" w:rsidR="00A148A1" w:rsidRDefault="00A148A1">
    <w:pPr>
      <w:pStyle w:val="Header"/>
      <w:framePr w:wrap="around" w:vAnchor="text" w:hAnchor="margin" w:xAlign="center" w:y="1"/>
      <w:rPr>
        <w:rStyle w:val="PageNumber"/>
        <w:sz w:val="28"/>
        <w:szCs w:val="28"/>
      </w:rPr>
    </w:pPr>
    <w:r>
      <w:rPr>
        <w:rStyle w:val="PageNumber"/>
        <w:sz w:val="28"/>
        <w:szCs w:val="28"/>
      </w:rPr>
      <w:fldChar w:fldCharType="begin"/>
    </w:r>
    <w:r>
      <w:rPr>
        <w:rStyle w:val="PageNumber"/>
        <w:sz w:val="28"/>
        <w:szCs w:val="28"/>
      </w:rPr>
      <w:instrText xml:space="preserve">PAGE  </w:instrText>
    </w:r>
    <w:r>
      <w:rPr>
        <w:rStyle w:val="PageNumber"/>
        <w:sz w:val="28"/>
        <w:szCs w:val="28"/>
      </w:rPr>
      <w:fldChar w:fldCharType="separate"/>
    </w:r>
    <w:r>
      <w:rPr>
        <w:rStyle w:val="PageNumber"/>
        <w:noProof/>
        <w:sz w:val="28"/>
        <w:szCs w:val="28"/>
      </w:rPr>
      <w:t>2</w:t>
    </w:r>
    <w:r>
      <w:rPr>
        <w:rStyle w:val="PageNumber"/>
        <w:sz w:val="28"/>
        <w:szCs w:val="28"/>
      </w:rPr>
      <w:fldChar w:fldCharType="end"/>
    </w:r>
  </w:p>
  <w:p w14:paraId="2EB822AE" w14:textId="77777777" w:rsidR="00A148A1" w:rsidRDefault="00A148A1">
    <w:pPr>
      <w:pStyle w:val="Header"/>
      <w:jc w:val="center"/>
      <w:rPr>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822AF" w14:textId="50A6467B" w:rsidR="00A148A1" w:rsidRDefault="00A148A1">
    <w:pPr>
      <w:pStyle w:val="Header"/>
      <w:framePr w:wrap="around" w:vAnchor="text" w:hAnchor="margin" w:xAlign="center" w:y="1"/>
      <w:rPr>
        <w:rStyle w:val="PageNumber"/>
        <w:sz w:val="28"/>
        <w:szCs w:val="28"/>
      </w:rPr>
    </w:pPr>
    <w:r>
      <w:rPr>
        <w:rStyle w:val="PageNumber"/>
        <w:sz w:val="28"/>
        <w:szCs w:val="28"/>
      </w:rPr>
      <w:fldChar w:fldCharType="begin"/>
    </w:r>
    <w:r>
      <w:rPr>
        <w:rStyle w:val="PageNumber"/>
        <w:sz w:val="28"/>
        <w:szCs w:val="28"/>
      </w:rPr>
      <w:instrText xml:space="preserve">PAGE  </w:instrText>
    </w:r>
    <w:r>
      <w:rPr>
        <w:rStyle w:val="PageNumber"/>
        <w:sz w:val="28"/>
        <w:szCs w:val="28"/>
      </w:rPr>
      <w:fldChar w:fldCharType="separate"/>
    </w:r>
    <w:r w:rsidR="006428F0">
      <w:rPr>
        <w:rStyle w:val="PageNumber"/>
        <w:noProof/>
        <w:sz w:val="28"/>
        <w:szCs w:val="28"/>
      </w:rPr>
      <w:t>iii</w:t>
    </w:r>
    <w:r>
      <w:rPr>
        <w:rStyle w:val="PageNumber"/>
        <w:sz w:val="28"/>
        <w:szCs w:val="28"/>
      </w:rPr>
      <w:fldChar w:fldCharType="end"/>
    </w:r>
  </w:p>
  <w:p w14:paraId="2EB822B0" w14:textId="77777777" w:rsidR="00A148A1" w:rsidRDefault="00A148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822B1" w14:textId="58F4F1CA" w:rsidR="00A148A1" w:rsidRPr="00EF2A38" w:rsidRDefault="00A148A1">
    <w:pPr>
      <w:pStyle w:val="Header"/>
      <w:framePr w:wrap="around" w:vAnchor="text" w:hAnchor="margin" w:xAlign="center" w:y="1"/>
      <w:rPr>
        <w:rStyle w:val="PageNumber"/>
        <w:rFonts w:ascii="Century" w:hAnsi="Century"/>
        <w:sz w:val="28"/>
        <w:szCs w:val="28"/>
      </w:rPr>
    </w:pPr>
    <w:r w:rsidRPr="00EF2A38">
      <w:rPr>
        <w:rStyle w:val="PageNumber"/>
        <w:rFonts w:ascii="Century" w:hAnsi="Century"/>
        <w:sz w:val="28"/>
        <w:szCs w:val="28"/>
      </w:rPr>
      <w:fldChar w:fldCharType="begin"/>
    </w:r>
    <w:r w:rsidRPr="00EF2A38">
      <w:rPr>
        <w:rStyle w:val="PageNumber"/>
        <w:rFonts w:ascii="Century" w:hAnsi="Century"/>
        <w:sz w:val="28"/>
        <w:szCs w:val="28"/>
      </w:rPr>
      <w:instrText xml:space="preserve">PAGE  </w:instrText>
    </w:r>
    <w:r w:rsidRPr="00EF2A38">
      <w:rPr>
        <w:rStyle w:val="PageNumber"/>
        <w:rFonts w:ascii="Century" w:hAnsi="Century"/>
        <w:sz w:val="28"/>
        <w:szCs w:val="28"/>
      </w:rPr>
      <w:fldChar w:fldCharType="separate"/>
    </w:r>
    <w:r w:rsidR="006428F0" w:rsidRPr="00EF2A38">
      <w:rPr>
        <w:rStyle w:val="PageNumber"/>
        <w:rFonts w:ascii="Century" w:hAnsi="Century"/>
        <w:noProof/>
        <w:sz w:val="28"/>
        <w:szCs w:val="28"/>
      </w:rPr>
      <w:t>- 6 -</w:t>
    </w:r>
    <w:r w:rsidRPr="00EF2A38">
      <w:rPr>
        <w:rStyle w:val="PageNumber"/>
        <w:rFonts w:ascii="Century" w:hAnsi="Century"/>
        <w:sz w:val="28"/>
        <w:szCs w:val="28"/>
      </w:rPr>
      <w:fldChar w:fldCharType="end"/>
    </w:r>
  </w:p>
  <w:p w14:paraId="2EB822B2" w14:textId="77777777" w:rsidR="00A148A1" w:rsidRPr="00EF2A38" w:rsidRDefault="00A148A1">
    <w:pPr>
      <w:pStyle w:val="Header"/>
      <w:rPr>
        <w:rFonts w:ascii="Century" w:hAnsi="Century"/>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0BC9"/>
    <w:multiLevelType w:val="hybridMultilevel"/>
    <w:tmpl w:val="CB32E7B0"/>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 w15:restartNumberingAfterBreak="0">
    <w:nsid w:val="0BAB5874"/>
    <w:multiLevelType w:val="hybridMultilevel"/>
    <w:tmpl w:val="5C106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B43CD"/>
    <w:multiLevelType w:val="hybridMultilevel"/>
    <w:tmpl w:val="2654B02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D738A4"/>
    <w:multiLevelType w:val="hybridMultilevel"/>
    <w:tmpl w:val="3FBC6DDE"/>
    <w:lvl w:ilvl="0" w:tplc="C49C15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6823E2"/>
    <w:multiLevelType w:val="hybridMultilevel"/>
    <w:tmpl w:val="BEAEB700"/>
    <w:lvl w:ilvl="0" w:tplc="13502C16">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8DC6C27"/>
    <w:multiLevelType w:val="hybridMultilevel"/>
    <w:tmpl w:val="C4FA1C62"/>
    <w:lvl w:ilvl="0" w:tplc="8054A522">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DD652B"/>
    <w:multiLevelType w:val="hybridMultilevel"/>
    <w:tmpl w:val="CB32E7B0"/>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 w15:restartNumberingAfterBreak="0">
    <w:nsid w:val="57BF7503"/>
    <w:multiLevelType w:val="hybridMultilevel"/>
    <w:tmpl w:val="E8CED83E"/>
    <w:lvl w:ilvl="0" w:tplc="865AA6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19734E3"/>
    <w:multiLevelType w:val="hybridMultilevel"/>
    <w:tmpl w:val="2654B024"/>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23005AC"/>
    <w:multiLevelType w:val="hybridMultilevel"/>
    <w:tmpl w:val="E9E81560"/>
    <w:lvl w:ilvl="0" w:tplc="13B8D64E">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62483237"/>
    <w:multiLevelType w:val="hybridMultilevel"/>
    <w:tmpl w:val="CB32E7B0"/>
    <w:lvl w:ilvl="0" w:tplc="752690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37E22E8"/>
    <w:multiLevelType w:val="hybridMultilevel"/>
    <w:tmpl w:val="C7602BE8"/>
    <w:lvl w:ilvl="0" w:tplc="E724CF32">
      <w:start w:val="1"/>
      <w:numFmt w:val="upperRoman"/>
      <w:lvlText w:val="%1."/>
      <w:lvlJc w:val="left"/>
      <w:pPr>
        <w:tabs>
          <w:tab w:val="num" w:pos="1260"/>
        </w:tabs>
        <w:ind w:left="1260" w:hanging="720"/>
      </w:pPr>
      <w:rPr>
        <w:rFonts w:cs="Times New Roman" w:hint="default"/>
      </w:r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2" w15:restartNumberingAfterBreak="0">
    <w:nsid w:val="66A635C5"/>
    <w:multiLevelType w:val="hybridMultilevel"/>
    <w:tmpl w:val="4454D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9848485">
    <w:abstractNumId w:val="11"/>
  </w:num>
  <w:num w:numId="2" w16cid:durableId="227494861">
    <w:abstractNumId w:val="4"/>
  </w:num>
  <w:num w:numId="3" w16cid:durableId="998922992">
    <w:abstractNumId w:val="2"/>
  </w:num>
  <w:num w:numId="4" w16cid:durableId="408618658">
    <w:abstractNumId w:val="10"/>
  </w:num>
  <w:num w:numId="5" w16cid:durableId="1660957746">
    <w:abstractNumId w:val="7"/>
  </w:num>
  <w:num w:numId="6" w16cid:durableId="1788574795">
    <w:abstractNumId w:val="3"/>
  </w:num>
  <w:num w:numId="7" w16cid:durableId="1003704783">
    <w:abstractNumId w:val="5"/>
  </w:num>
  <w:num w:numId="8" w16cid:durableId="705527451">
    <w:abstractNumId w:val="8"/>
  </w:num>
  <w:num w:numId="9" w16cid:durableId="1074622565">
    <w:abstractNumId w:val="0"/>
  </w:num>
  <w:num w:numId="10" w16cid:durableId="161820939">
    <w:abstractNumId w:val="12"/>
  </w:num>
  <w:num w:numId="11" w16cid:durableId="1794447832">
    <w:abstractNumId w:val="1"/>
  </w:num>
  <w:num w:numId="12" w16cid:durableId="1631210593">
    <w:abstractNumId w:val="6"/>
  </w:num>
  <w:num w:numId="13" w16cid:durableId="124711130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BA_DictionariesAutoLoaded_" w:val="True"/>
    <w:docVar w:name="_BA_DictionaryFile_AutoLoadEveryone" w:val="C:\Users\barrie.CENTER\AppData\Roaming\Levit &amp; James, Inc\Best Authority\Shared\Dictionaries\AutoLoadEveryone.baod"/>
    <w:docVar w:name="_BA_DictionaryFile_AutoLoadPersonal" w:val="C:\Users\barrie.CENTER\AppData\Roaming\Levit &amp; James, Inc\Best Authority\Private\Dictionaries\AutoLoadPersonal.baod"/>
    <w:docVar w:name="_BA_Hash" w:val="NELRPA"/>
    <w:docVar w:name="_BA_History_" w:val="|01/30/2014 11:42 AM;Set Scheme: Sample Common;Barrie|01/30/2014 11:43 AM;Scan;Barrie|01/30/2014 11:43 AM;Build Fully-Formatted TOAs;Barrie"/>
    <w:docVar w:name="_BA_LastTab_Right" w:val="0"/>
    <w:docVar w:name="_BA_ReformatLongs" w:val="Current"/>
    <w:docVar w:name="_BA_ScanOptions" w:val="0|1||2|False|False|False|False|False|True|False|False|False|0|(None)|0.2|False"/>
    <w:docVar w:name="_BA_SchemeCustomized_" w:val="False"/>
    <w:docVar w:name="_BA_SchemeValues_" w:val="_x000d__x000a__x000d__x000a_[@STARTINI@]_x000d__x000a__x000d__x000a_[@[Options]@]_x000d__x000a__x000d__x000a_[@AddPageHeading=True@]_x000d__x000a__x000d__x000a_[@AddTitle=True@]_x000d__x000a__x000d__x000a_[@ApplySubstitutions=False@]_x000d__x000a__x000d__x000a_[@ExcludeIds=False@]_x000d__x000a__x000d__x000a_[@GlobalFormatOption=0@]_x000d__x000a__x000d__x000a_[@EnforceFont=True@]_x000d__x000a__x000d__x000a_[@InsertReturnCase=True@]_x000d__x000a__x000d__x000a_[@LeftMarginTextOffset=0.5@]_x000d__x000a__x000d__x000a_[@NoSpellCheck=True@]_x000d__x000a__x000d__x000a_[@PageBreakAfter=False@]_x000d__x000a__x000d__x000a_[@PageBreakBefore=False@]_x000d__x000a__x000d__x000a_[@PageBreakBetweenCats=False@]_x000d__x000a__x000d__x000a_[@PageHeadingStyle=BA TOA Page Heading@]_x000d__x000a__x000d__x000a_[@PageHeadingText=Page(s)@]_x000d__x000a__x000d__x000a_[@PlainText=False@]_x000d__x000a__x000d__x000a_[@RemoveComma=False@]_x000d__x000a__x000d__x000a_[@ReturnType=1@]_x000d__x000a__x000d__x000a_[@SplitTOAIndent=1@]_x000d__x000a__x000d__x000a_[@SuppressMentions=False@]_x000d__x000a__x000d__x000a_[@SuppressQuotedCites=True@]_x000d__x000a__x000d__x000a_[@SuppressShorts=False@]_x000d__x000a__x000d__x000a_[@TitleStyle=BA TOA Title@]_x000d__x000a__x000d__x000a_[@TitleText=Table of Authorities@]_x000d__x000a__x000d__x000a_[@UseCS1=False@]_x000d__x000a__x000d__x000a_[@UseHyperlinks=True@]_x000d__x000a__x000d__x000a_[@FootEndnotePattern=@]_x000d__x000a__x000d__x000a_[@[Sorting]@]_x000d__x000a__x000d__x000a_[@IgnoreExParteForCases=False@]_x000d__x000a__x000d__x000a_[@IgnoreExRelForCases=False@]_x000d__x000a__x000d__x000a_[@IgnoreInReForCases=False@]_x000d__x000a__x000d__x000a_[@SortNumerically=True@]_x000d__x000a__x000d__x000a_[@IgnorePublicPartyForCases=False@]_x000d__x000a__x000d__x000a_[@[File]@]_x000d__x000a__x000d__x000a_[@Version=2.0.24@]_x000d__x000a__x000d__x000a_[@Scope=0@]_x000d__x000a__x000d__x000a_[@Description=Cases, Statutes, Other Authorities included&lt;ret&gt;Mentions NOT suppressed&lt;ret&gt;Quoted citations suppressed, no substitutions, hyperlinks turned on.&lt;ret&gt;@]_x000d__x000a__x000d__x000a_[@Name=Sample Common@]_x000d__x000a__x000d__x000a_[@[FileControl]@]_x000d__x000a__x000d__x000a_[@FileType=Best Authority Scheme File@]_x000d__x000a__x000d__x000a_[@FileVersion=01.02.0000@]_x000d__x000a__x000d__x000a_[@MinAppVersion=01.00.0090@]_x000d__x000a__x000d__x000a_[@[XTOAs]@]_x000d__x000a__x000d__x000a_[@1=Cases.False.0.@]_x000d__x000a__x000d__x000a_[@2=Statutes.False.0.@]_x000d__x000a__x000d__x000a_[@3=Other Authorities.False.0.@]_x000d__x000a__x000d__x000a_[@4=Suspects.False.0.@]_x000d__x000a__x000d__x000a_[@5=Non-TOA References.False.0.@]_x000d__x000a__x000d__x000a_[@[Cases.False.0.]@]_x000d__x000a__x000d__x000a_[@HitClasses=&lt;@cs&gt;|&lt;@regcs&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Cases@]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True@]_x000d__x000a__x000d__x000a_[@GroupByFirstLine=Fals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Fals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Statutes.False.0.]@]_x000d__x000a__x000d__x000a_[@HitClasses=&lt;@st&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Statutes@]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True@]_x000d__x000a__x000d__x000a_[@GroupByFirstLine=Tru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Fals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Other Authorities.False.0.]@]_x000d__x000a__x000d__x000a_[@HitClasses=&lt;@admproc&gt;|&lt;@con&gt;|&lt;@leg&gt;|&lt;@misc&gt;|&lt;@nper&gt;|&lt;@pat&gt;|&lt;@per&gt;|&lt;@reg&gt;|&lt;@ru&gt;|&lt;@trt&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Other Authorities@]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True@]_x000d__x000a__x000d__x000a_[@GroupByFirstLine=Tru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True@]_x000d__x000a__x000d__x000a_[@NonTOAReferences=Fals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Suspects.False.0.]@]_x000d__x000a__x000d__x000a_[@HitClasses=&lt;@o&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True@]_x000d__x000a__x000d__x000a_[@MultiPageSep=0@]_x000d__x000a__x000d__x000a_[@Name=Suspects@]_x000d__x000a__x000d__x000a_[@AutoOverride=0@]_x000d__x000a__x000d__x000a_[@PageRangeSep=3@]_x000d__x000a__x000d__x000a_[@PageHeadingText=Page(s)@]_x000d__x000a__x000d__x000a_[@PassimNumber=6@]_x000d__x000a__x000d__x000a_[@PassimText=Passim@]_x000d__x000a__x000d__x000a_[@State=@]_x000d__x000a__x000d__x000a_[@UseDefaults=True@]_x000d__x000a__x000d__x000a_[@GroupByFirstLine=Fals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False@]_x000d__x000a__x000d__x000a_[@ManualOverride=0@]_x000d__x000a__x000d__x000a_[@SortMethod=1@]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Non-TOA References.False.0.]@]_x000d__x000a__x000d__x000a_[@HitClasses=&lt;@rec&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Non-TOA References@]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True@]_x000d__x000a__x000d__x000a_[@GroupByFirstLine=Fals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Tru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DefaultGroup]@]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DEFAULT@]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False@]_x000d__x000a__x000d__x000a_[@GroupByFirstLine=Fals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Fals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Cases - Entire Cite]@]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Cases - Case Name]@]_x000d__x000a__x000d__x000a_[@Action=Leave As Is@]_x000d__x000a__x000d__x000a_[@CharStyle=(None)@]_x000d__x000a__x000d__x000a_[@Bold=0@]_x000d__x000a__x000d__x000a_[@Italic=-1@]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Cases - v.]@]_x000d__x000a__x000d__x000a_[@Action=Leave As Is@]_x000d__x000a__x000d__x000a_[@CharStyle=(None)@]_x000d__x000a__x000d__x000a_[@Bold=0@]_x000d__x000a__x000d__x000a_[@Italic=-1@]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Statute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Constitutional Provision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Rule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Regulation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Treatise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Book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Periodical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Non-Periodical Publication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Page Number]@]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Passim]@]_x000d__x000a__x000d__x000a_[@Action=Leave As Is@]_x000d__x000a__x000d__x000a_[@CharStyle=(None)@]_x000d__x000a__x000d__x000a_[@Bold=0@]_x000d__x000a__x000d__x000a_[@Italic=-1@]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Substitutions]@]_x000d__x000a__x000d__x000a_[@amendment=True|True|amend,amend.,amendment|amendment@]_x000d__x000a__x000d__x000a_[@amendments=True|True|amends,amends.,amendments|amendments@]_x000d__x000a__x000d__x000a_[@article=True|True|art,art.,article|article@]_x000d__x000a__x000d__x000a_[@articles=True|True|arts,arts.,articles|articles@]_x000d__x000a__x000d__x000a_[@chapter=True|True|ch,ch.,chapter|chapter@]_x000d__x000a__x000d__x000a_[@chapters=True|True|chs,chs.,chapters|chapters@]_x000d__x000a__x000d__x000a_[@footnote=False|True|n,n.,fn,fn.,note,footnote|n.@]_x000d__x000a__x000d__x000a_[@footnotes=False|True|nn,nn.,fns,fns.,notes,footnotes|nn.@]_x000d__x000a__x000d__x000a_[@line=False|True|l,l.,line|l.@]_x000d__x000a__x000d__x000a_[@lines=False|True|ll,ll.,lines|ll.@]_x000d__x000a__x000d__x000a_[@page=False|True|p,p.,page|p.@]_x000d__x000a__x000d__x000a_[@pages=False|True|pp,pp.,pages|pp.@]_x000d__x000a__x000d__x000a_[@paragraph=False|True|para,para.,¶,paragraph|¶@]_x000d__x000a__x000d__x000a_[@paragraphs=False|True|paras,paras.,¶¶,paragraphs|¶¶@]_x000d__x000a__x000d__x000a_[@part=False|True|part,pt.|pt.@]_x000d__x000a__x000d__x000a_[@parts=False|True|parts,pts.|pts.@]_x000d__x000a__x000d__x000a_[@section=False|True|sec,sec.,§,section|§@]_x000d__x000a__x000d__x000a_[@sections=False|True|secs,secs.,§§,sections|§§@]_x000d__x000a__x000d__x000a_[@subdivision=False|True|subd.,subdiv.,subdivision|subd.@]_x000d__x000a__x000d__x000a_[@subdivisions=False|True|subds.,subdivs.,subdivisions|subds.@]_x000d__x000a__x000d__x000a_[@title=True|True|tit,tit.,title|title@]_x000d__x000a__x000d__x000a_[@titles=True|True|tits,tits.,titles|titles@]_x000d__x000a__x000d__x000a_[@volume=False|True|v,v.,vol,vol.,volume|vol.@]_x000d__x000a__x000d__x000a_[@volumes=False|True|vols,vols.,volumes|vols.@]_x000d__x000a__x000d__x000a_[@ENDINI@]_x000d__x000a__x000d__x000a_"/>
    <w:docVar w:name="_BA_ShowOptions_Version_FullFormat" w:val="02.07.0300"/>
    <w:docVar w:name="_BA_ShowOptions_Version_Review" w:val="02.07.0300"/>
    <w:docVar w:name="_BA_ShowOptionsFullFormat" w:val="0|1|0|02.07.0300|"/>
    <w:docVar w:name="_BA_State_" w:val="1"/>
    <w:docVar w:name="_BA_TOAGroupsOptions_FullFormat" w:val="|Non-TOA References|"/>
    <w:docVar w:name="_BA_WizardTabs" w:val="4|5|0;True;Startup|1;True;Scan|2;False;Draft Review|3;False;Full-Page Review|4;True;Build||Startup|Startup@Scan|Startup@Scan|Startup@Scan"/>
  </w:docVars>
  <w:rsids>
    <w:rsidRoot w:val="00A253C1"/>
    <w:rsid w:val="000021FC"/>
    <w:rsid w:val="0000271F"/>
    <w:rsid w:val="00003E9C"/>
    <w:rsid w:val="00004263"/>
    <w:rsid w:val="00014456"/>
    <w:rsid w:val="000145ED"/>
    <w:rsid w:val="000163D8"/>
    <w:rsid w:val="0001753F"/>
    <w:rsid w:val="0002081E"/>
    <w:rsid w:val="00023D5B"/>
    <w:rsid w:val="00025F3F"/>
    <w:rsid w:val="00026FD7"/>
    <w:rsid w:val="00030079"/>
    <w:rsid w:val="00033316"/>
    <w:rsid w:val="00036760"/>
    <w:rsid w:val="00041C6B"/>
    <w:rsid w:val="0004290D"/>
    <w:rsid w:val="00046E7F"/>
    <w:rsid w:val="0005159D"/>
    <w:rsid w:val="00053210"/>
    <w:rsid w:val="0005429C"/>
    <w:rsid w:val="00054DA9"/>
    <w:rsid w:val="00057410"/>
    <w:rsid w:val="00060A83"/>
    <w:rsid w:val="00065848"/>
    <w:rsid w:val="000664F9"/>
    <w:rsid w:val="00070A88"/>
    <w:rsid w:val="000719FD"/>
    <w:rsid w:val="000720E8"/>
    <w:rsid w:val="000736BF"/>
    <w:rsid w:val="000745B5"/>
    <w:rsid w:val="0007470C"/>
    <w:rsid w:val="000838EE"/>
    <w:rsid w:val="00084A9E"/>
    <w:rsid w:val="00086C31"/>
    <w:rsid w:val="0009170F"/>
    <w:rsid w:val="00091A46"/>
    <w:rsid w:val="00094BE9"/>
    <w:rsid w:val="000A21AB"/>
    <w:rsid w:val="000A31E0"/>
    <w:rsid w:val="000A5598"/>
    <w:rsid w:val="000A74F5"/>
    <w:rsid w:val="000B3A97"/>
    <w:rsid w:val="000C05BE"/>
    <w:rsid w:val="000C0DE1"/>
    <w:rsid w:val="000C3A56"/>
    <w:rsid w:val="000C3C53"/>
    <w:rsid w:val="000C6268"/>
    <w:rsid w:val="000D33CE"/>
    <w:rsid w:val="000D636B"/>
    <w:rsid w:val="000E0F70"/>
    <w:rsid w:val="000E14FB"/>
    <w:rsid w:val="000E4769"/>
    <w:rsid w:val="000F0093"/>
    <w:rsid w:val="000F1BFF"/>
    <w:rsid w:val="000F5EAE"/>
    <w:rsid w:val="000F6C18"/>
    <w:rsid w:val="00100919"/>
    <w:rsid w:val="00100D76"/>
    <w:rsid w:val="00100F9F"/>
    <w:rsid w:val="001011CC"/>
    <w:rsid w:val="00101254"/>
    <w:rsid w:val="00105FFD"/>
    <w:rsid w:val="0012243B"/>
    <w:rsid w:val="001237FA"/>
    <w:rsid w:val="00124750"/>
    <w:rsid w:val="00134B07"/>
    <w:rsid w:val="001422EA"/>
    <w:rsid w:val="0014408F"/>
    <w:rsid w:val="00146DBD"/>
    <w:rsid w:val="00150FAF"/>
    <w:rsid w:val="00152907"/>
    <w:rsid w:val="00156636"/>
    <w:rsid w:val="0015741D"/>
    <w:rsid w:val="00162C70"/>
    <w:rsid w:val="00167215"/>
    <w:rsid w:val="00171D43"/>
    <w:rsid w:val="00172D81"/>
    <w:rsid w:val="00172FE7"/>
    <w:rsid w:val="001764D7"/>
    <w:rsid w:val="00182CF5"/>
    <w:rsid w:val="001830D2"/>
    <w:rsid w:val="001836A7"/>
    <w:rsid w:val="00184BAA"/>
    <w:rsid w:val="00184D77"/>
    <w:rsid w:val="0019043F"/>
    <w:rsid w:val="0019131E"/>
    <w:rsid w:val="001A52E2"/>
    <w:rsid w:val="001A6EF5"/>
    <w:rsid w:val="001B0BC7"/>
    <w:rsid w:val="001B443A"/>
    <w:rsid w:val="001B4F91"/>
    <w:rsid w:val="001B5892"/>
    <w:rsid w:val="001B5FE1"/>
    <w:rsid w:val="001C2942"/>
    <w:rsid w:val="001C4CEE"/>
    <w:rsid w:val="001C63BC"/>
    <w:rsid w:val="001C706E"/>
    <w:rsid w:val="001D41D4"/>
    <w:rsid w:val="001D606D"/>
    <w:rsid w:val="001D7EAF"/>
    <w:rsid w:val="001E13D6"/>
    <w:rsid w:val="001E4AE9"/>
    <w:rsid w:val="001E503A"/>
    <w:rsid w:val="001E6406"/>
    <w:rsid w:val="001E7FC8"/>
    <w:rsid w:val="001F40D9"/>
    <w:rsid w:val="001F64EB"/>
    <w:rsid w:val="001F662D"/>
    <w:rsid w:val="00202D32"/>
    <w:rsid w:val="00210A56"/>
    <w:rsid w:val="00220F46"/>
    <w:rsid w:val="00221F9C"/>
    <w:rsid w:val="00222DF7"/>
    <w:rsid w:val="00224C1C"/>
    <w:rsid w:val="00225580"/>
    <w:rsid w:val="00231750"/>
    <w:rsid w:val="00235D20"/>
    <w:rsid w:val="002419B9"/>
    <w:rsid w:val="00241DC5"/>
    <w:rsid w:val="00244FAE"/>
    <w:rsid w:val="002456AB"/>
    <w:rsid w:val="002519D5"/>
    <w:rsid w:val="00255FE3"/>
    <w:rsid w:val="00261FE4"/>
    <w:rsid w:val="00263E65"/>
    <w:rsid w:val="00264562"/>
    <w:rsid w:val="00265BFF"/>
    <w:rsid w:val="00267CD6"/>
    <w:rsid w:val="00267EF7"/>
    <w:rsid w:val="002705AF"/>
    <w:rsid w:val="00271DA5"/>
    <w:rsid w:val="002725E6"/>
    <w:rsid w:val="00280C84"/>
    <w:rsid w:val="00281A84"/>
    <w:rsid w:val="00293E0D"/>
    <w:rsid w:val="00294398"/>
    <w:rsid w:val="00297898"/>
    <w:rsid w:val="002A3B01"/>
    <w:rsid w:val="002A6B0D"/>
    <w:rsid w:val="002A7A05"/>
    <w:rsid w:val="002B1C77"/>
    <w:rsid w:val="002B1FF5"/>
    <w:rsid w:val="002B2C31"/>
    <w:rsid w:val="002B649E"/>
    <w:rsid w:val="002B6C71"/>
    <w:rsid w:val="002C27D1"/>
    <w:rsid w:val="002C3392"/>
    <w:rsid w:val="002C55E4"/>
    <w:rsid w:val="002C6228"/>
    <w:rsid w:val="002D1293"/>
    <w:rsid w:val="002D4207"/>
    <w:rsid w:val="002D547E"/>
    <w:rsid w:val="002E009C"/>
    <w:rsid w:val="002E201A"/>
    <w:rsid w:val="002E3D18"/>
    <w:rsid w:val="002E5591"/>
    <w:rsid w:val="002E630C"/>
    <w:rsid w:val="002E6AC6"/>
    <w:rsid w:val="002E70D8"/>
    <w:rsid w:val="002F0EEB"/>
    <w:rsid w:val="002F1B4F"/>
    <w:rsid w:val="002F37FC"/>
    <w:rsid w:val="00303694"/>
    <w:rsid w:val="00307816"/>
    <w:rsid w:val="00314A89"/>
    <w:rsid w:val="0032154A"/>
    <w:rsid w:val="00321628"/>
    <w:rsid w:val="00324C3C"/>
    <w:rsid w:val="003256D2"/>
    <w:rsid w:val="003266D1"/>
    <w:rsid w:val="003314E1"/>
    <w:rsid w:val="00332AD5"/>
    <w:rsid w:val="003356FD"/>
    <w:rsid w:val="00340492"/>
    <w:rsid w:val="00342131"/>
    <w:rsid w:val="00345576"/>
    <w:rsid w:val="00345E7F"/>
    <w:rsid w:val="00346BF8"/>
    <w:rsid w:val="003474E3"/>
    <w:rsid w:val="00351FB3"/>
    <w:rsid w:val="00356A9D"/>
    <w:rsid w:val="003616E5"/>
    <w:rsid w:val="00362933"/>
    <w:rsid w:val="00362A85"/>
    <w:rsid w:val="00365222"/>
    <w:rsid w:val="00365C6C"/>
    <w:rsid w:val="003722C0"/>
    <w:rsid w:val="00383939"/>
    <w:rsid w:val="003855E8"/>
    <w:rsid w:val="003859FE"/>
    <w:rsid w:val="00385B88"/>
    <w:rsid w:val="00385F4F"/>
    <w:rsid w:val="00387296"/>
    <w:rsid w:val="00387D2A"/>
    <w:rsid w:val="00391AD3"/>
    <w:rsid w:val="003921A4"/>
    <w:rsid w:val="003954C3"/>
    <w:rsid w:val="003966F0"/>
    <w:rsid w:val="003973E1"/>
    <w:rsid w:val="003A07B3"/>
    <w:rsid w:val="003A33BF"/>
    <w:rsid w:val="003A793A"/>
    <w:rsid w:val="003B096D"/>
    <w:rsid w:val="003B6827"/>
    <w:rsid w:val="003B6A87"/>
    <w:rsid w:val="003C3A76"/>
    <w:rsid w:val="003C41C1"/>
    <w:rsid w:val="003D41D0"/>
    <w:rsid w:val="003D4B8C"/>
    <w:rsid w:val="003D4D85"/>
    <w:rsid w:val="003D5342"/>
    <w:rsid w:val="003D56A6"/>
    <w:rsid w:val="003E069C"/>
    <w:rsid w:val="003E13DA"/>
    <w:rsid w:val="003E38FC"/>
    <w:rsid w:val="003E671E"/>
    <w:rsid w:val="003E740E"/>
    <w:rsid w:val="0040241E"/>
    <w:rsid w:val="0040335A"/>
    <w:rsid w:val="0041170A"/>
    <w:rsid w:val="0041529B"/>
    <w:rsid w:val="00417CD8"/>
    <w:rsid w:val="004232AB"/>
    <w:rsid w:val="00425DBF"/>
    <w:rsid w:val="00433649"/>
    <w:rsid w:val="004412A1"/>
    <w:rsid w:val="004431F2"/>
    <w:rsid w:val="00445ED6"/>
    <w:rsid w:val="0045468F"/>
    <w:rsid w:val="00455153"/>
    <w:rsid w:val="00457A84"/>
    <w:rsid w:val="004620A0"/>
    <w:rsid w:val="00464AA8"/>
    <w:rsid w:val="004650B3"/>
    <w:rsid w:val="00466E86"/>
    <w:rsid w:val="0047022E"/>
    <w:rsid w:val="004730D9"/>
    <w:rsid w:val="0047360A"/>
    <w:rsid w:val="00474586"/>
    <w:rsid w:val="00475D25"/>
    <w:rsid w:val="00476A4B"/>
    <w:rsid w:val="004818AA"/>
    <w:rsid w:val="0048224E"/>
    <w:rsid w:val="00483FB6"/>
    <w:rsid w:val="0048519A"/>
    <w:rsid w:val="0048608F"/>
    <w:rsid w:val="00486741"/>
    <w:rsid w:val="00486F82"/>
    <w:rsid w:val="004872BF"/>
    <w:rsid w:val="00492735"/>
    <w:rsid w:val="00493321"/>
    <w:rsid w:val="0049391B"/>
    <w:rsid w:val="004944F1"/>
    <w:rsid w:val="0049784F"/>
    <w:rsid w:val="004A3EF3"/>
    <w:rsid w:val="004A5198"/>
    <w:rsid w:val="004A5B35"/>
    <w:rsid w:val="004A5F59"/>
    <w:rsid w:val="004B3B3F"/>
    <w:rsid w:val="004B6202"/>
    <w:rsid w:val="004C21C4"/>
    <w:rsid w:val="004C5B9C"/>
    <w:rsid w:val="004C60FB"/>
    <w:rsid w:val="004D04D3"/>
    <w:rsid w:val="004D0C37"/>
    <w:rsid w:val="004D0F85"/>
    <w:rsid w:val="004D22A6"/>
    <w:rsid w:val="004D623D"/>
    <w:rsid w:val="004E2122"/>
    <w:rsid w:val="004E2986"/>
    <w:rsid w:val="004F3EE9"/>
    <w:rsid w:val="005031FE"/>
    <w:rsid w:val="005048F7"/>
    <w:rsid w:val="005051CD"/>
    <w:rsid w:val="005067F4"/>
    <w:rsid w:val="00513BA1"/>
    <w:rsid w:val="00514972"/>
    <w:rsid w:val="00515A46"/>
    <w:rsid w:val="005166D1"/>
    <w:rsid w:val="00517A97"/>
    <w:rsid w:val="00520531"/>
    <w:rsid w:val="00520985"/>
    <w:rsid w:val="00525B1A"/>
    <w:rsid w:val="0053100C"/>
    <w:rsid w:val="00532694"/>
    <w:rsid w:val="00534529"/>
    <w:rsid w:val="00537956"/>
    <w:rsid w:val="0054672C"/>
    <w:rsid w:val="00546CC3"/>
    <w:rsid w:val="005573A9"/>
    <w:rsid w:val="00564914"/>
    <w:rsid w:val="00571E7D"/>
    <w:rsid w:val="00576748"/>
    <w:rsid w:val="00577E1F"/>
    <w:rsid w:val="00584135"/>
    <w:rsid w:val="00591160"/>
    <w:rsid w:val="005936F2"/>
    <w:rsid w:val="005955C8"/>
    <w:rsid w:val="005977F1"/>
    <w:rsid w:val="005A1644"/>
    <w:rsid w:val="005A1A5F"/>
    <w:rsid w:val="005A2490"/>
    <w:rsid w:val="005A2B78"/>
    <w:rsid w:val="005A33FA"/>
    <w:rsid w:val="005A3EF2"/>
    <w:rsid w:val="005A567F"/>
    <w:rsid w:val="005B1361"/>
    <w:rsid w:val="005B291B"/>
    <w:rsid w:val="005B2A5D"/>
    <w:rsid w:val="005B639D"/>
    <w:rsid w:val="005C272F"/>
    <w:rsid w:val="005C52F4"/>
    <w:rsid w:val="005D17F1"/>
    <w:rsid w:val="005D27C0"/>
    <w:rsid w:val="005D7E4B"/>
    <w:rsid w:val="005E18F2"/>
    <w:rsid w:val="005E24B3"/>
    <w:rsid w:val="005E2A2A"/>
    <w:rsid w:val="005E3796"/>
    <w:rsid w:val="005F3612"/>
    <w:rsid w:val="00601694"/>
    <w:rsid w:val="00605D84"/>
    <w:rsid w:val="00610C0F"/>
    <w:rsid w:val="00611C27"/>
    <w:rsid w:val="00612D82"/>
    <w:rsid w:val="00613F27"/>
    <w:rsid w:val="006263A3"/>
    <w:rsid w:val="00634FD4"/>
    <w:rsid w:val="0064047F"/>
    <w:rsid w:val="006427E8"/>
    <w:rsid w:val="006428F0"/>
    <w:rsid w:val="00651285"/>
    <w:rsid w:val="00651B8D"/>
    <w:rsid w:val="00653589"/>
    <w:rsid w:val="006536EE"/>
    <w:rsid w:val="006537D8"/>
    <w:rsid w:val="00653823"/>
    <w:rsid w:val="00654234"/>
    <w:rsid w:val="00656DBB"/>
    <w:rsid w:val="00660518"/>
    <w:rsid w:val="006638E5"/>
    <w:rsid w:val="00672135"/>
    <w:rsid w:val="00674024"/>
    <w:rsid w:val="00676142"/>
    <w:rsid w:val="00676231"/>
    <w:rsid w:val="00681BAC"/>
    <w:rsid w:val="006864D2"/>
    <w:rsid w:val="006920E6"/>
    <w:rsid w:val="006958E4"/>
    <w:rsid w:val="00696B15"/>
    <w:rsid w:val="00697BAB"/>
    <w:rsid w:val="006B685C"/>
    <w:rsid w:val="006B7047"/>
    <w:rsid w:val="006C4E19"/>
    <w:rsid w:val="006D188E"/>
    <w:rsid w:val="006D2F35"/>
    <w:rsid w:val="006D3266"/>
    <w:rsid w:val="006E3BD4"/>
    <w:rsid w:val="006E61D8"/>
    <w:rsid w:val="006F669C"/>
    <w:rsid w:val="00701B3F"/>
    <w:rsid w:val="00702EC3"/>
    <w:rsid w:val="00705C11"/>
    <w:rsid w:val="00713FD4"/>
    <w:rsid w:val="007173F3"/>
    <w:rsid w:val="00734451"/>
    <w:rsid w:val="00740915"/>
    <w:rsid w:val="0074334C"/>
    <w:rsid w:val="00745592"/>
    <w:rsid w:val="0074576E"/>
    <w:rsid w:val="00746FE1"/>
    <w:rsid w:val="007473E1"/>
    <w:rsid w:val="00751E09"/>
    <w:rsid w:val="00752E60"/>
    <w:rsid w:val="0076105D"/>
    <w:rsid w:val="00761D14"/>
    <w:rsid w:val="00765811"/>
    <w:rsid w:val="0076760F"/>
    <w:rsid w:val="00767910"/>
    <w:rsid w:val="00767FA0"/>
    <w:rsid w:val="00774F75"/>
    <w:rsid w:val="0078015F"/>
    <w:rsid w:val="00780D9F"/>
    <w:rsid w:val="00784045"/>
    <w:rsid w:val="007860CE"/>
    <w:rsid w:val="00792BFE"/>
    <w:rsid w:val="00794727"/>
    <w:rsid w:val="007965E2"/>
    <w:rsid w:val="0079693C"/>
    <w:rsid w:val="00797D73"/>
    <w:rsid w:val="007A1300"/>
    <w:rsid w:val="007A248D"/>
    <w:rsid w:val="007A5229"/>
    <w:rsid w:val="007B3546"/>
    <w:rsid w:val="007B4786"/>
    <w:rsid w:val="007B4E44"/>
    <w:rsid w:val="007C0794"/>
    <w:rsid w:val="007C117B"/>
    <w:rsid w:val="007C1261"/>
    <w:rsid w:val="007C3FB3"/>
    <w:rsid w:val="007C6B4E"/>
    <w:rsid w:val="007C7085"/>
    <w:rsid w:val="007D37E3"/>
    <w:rsid w:val="007D4B38"/>
    <w:rsid w:val="007E3A38"/>
    <w:rsid w:val="007E3E27"/>
    <w:rsid w:val="007E747F"/>
    <w:rsid w:val="007F013F"/>
    <w:rsid w:val="007F08F7"/>
    <w:rsid w:val="007F3731"/>
    <w:rsid w:val="007F5406"/>
    <w:rsid w:val="007F72EF"/>
    <w:rsid w:val="0080336B"/>
    <w:rsid w:val="00804D96"/>
    <w:rsid w:val="00806403"/>
    <w:rsid w:val="00807DC9"/>
    <w:rsid w:val="00814876"/>
    <w:rsid w:val="00815801"/>
    <w:rsid w:val="00815B1C"/>
    <w:rsid w:val="0082108D"/>
    <w:rsid w:val="008210D1"/>
    <w:rsid w:val="00824A1F"/>
    <w:rsid w:val="00826591"/>
    <w:rsid w:val="00826900"/>
    <w:rsid w:val="00826A5A"/>
    <w:rsid w:val="00826C7C"/>
    <w:rsid w:val="00827F84"/>
    <w:rsid w:val="00830487"/>
    <w:rsid w:val="00830FAC"/>
    <w:rsid w:val="00831DE2"/>
    <w:rsid w:val="0083402C"/>
    <w:rsid w:val="0084149B"/>
    <w:rsid w:val="00844267"/>
    <w:rsid w:val="00845043"/>
    <w:rsid w:val="00865A3C"/>
    <w:rsid w:val="0086628D"/>
    <w:rsid w:val="00866F5A"/>
    <w:rsid w:val="00870B55"/>
    <w:rsid w:val="008712FD"/>
    <w:rsid w:val="00874B4C"/>
    <w:rsid w:val="0088079D"/>
    <w:rsid w:val="00881B70"/>
    <w:rsid w:val="00882900"/>
    <w:rsid w:val="00884553"/>
    <w:rsid w:val="0088680F"/>
    <w:rsid w:val="00890ABE"/>
    <w:rsid w:val="008A3B91"/>
    <w:rsid w:val="008A4F92"/>
    <w:rsid w:val="008A5D2B"/>
    <w:rsid w:val="008B264A"/>
    <w:rsid w:val="008B2901"/>
    <w:rsid w:val="008B574F"/>
    <w:rsid w:val="008B6B69"/>
    <w:rsid w:val="008C12CE"/>
    <w:rsid w:val="008C2A34"/>
    <w:rsid w:val="008C2B08"/>
    <w:rsid w:val="008C3296"/>
    <w:rsid w:val="008C4DE7"/>
    <w:rsid w:val="008D243D"/>
    <w:rsid w:val="008D293E"/>
    <w:rsid w:val="008D38F1"/>
    <w:rsid w:val="008D6336"/>
    <w:rsid w:val="008D64D7"/>
    <w:rsid w:val="008D6E0A"/>
    <w:rsid w:val="008E2D94"/>
    <w:rsid w:val="008F124A"/>
    <w:rsid w:val="008F5EC0"/>
    <w:rsid w:val="00900B89"/>
    <w:rsid w:val="0092087A"/>
    <w:rsid w:val="00922580"/>
    <w:rsid w:val="009304CE"/>
    <w:rsid w:val="00931171"/>
    <w:rsid w:val="0094066F"/>
    <w:rsid w:val="0094308D"/>
    <w:rsid w:val="00944C1A"/>
    <w:rsid w:val="00955504"/>
    <w:rsid w:val="00956D66"/>
    <w:rsid w:val="0095758B"/>
    <w:rsid w:val="00972E03"/>
    <w:rsid w:val="00977C68"/>
    <w:rsid w:val="009838B2"/>
    <w:rsid w:val="009847A8"/>
    <w:rsid w:val="0098520D"/>
    <w:rsid w:val="009907CE"/>
    <w:rsid w:val="00991A6A"/>
    <w:rsid w:val="0099478C"/>
    <w:rsid w:val="009974CD"/>
    <w:rsid w:val="009A0C48"/>
    <w:rsid w:val="009B029E"/>
    <w:rsid w:val="009B12FC"/>
    <w:rsid w:val="009B2722"/>
    <w:rsid w:val="009B3B5D"/>
    <w:rsid w:val="009B3BC0"/>
    <w:rsid w:val="009B40C6"/>
    <w:rsid w:val="009B504C"/>
    <w:rsid w:val="009B6046"/>
    <w:rsid w:val="009B7510"/>
    <w:rsid w:val="009C54B4"/>
    <w:rsid w:val="009C6DB3"/>
    <w:rsid w:val="009C7203"/>
    <w:rsid w:val="009C7ACE"/>
    <w:rsid w:val="009C7BA6"/>
    <w:rsid w:val="009D2B28"/>
    <w:rsid w:val="009D4810"/>
    <w:rsid w:val="009D4DD4"/>
    <w:rsid w:val="009D68F0"/>
    <w:rsid w:val="009D77A7"/>
    <w:rsid w:val="009D7CAC"/>
    <w:rsid w:val="009E35BD"/>
    <w:rsid w:val="009E5F05"/>
    <w:rsid w:val="009E775E"/>
    <w:rsid w:val="009F0B50"/>
    <w:rsid w:val="009F0FD4"/>
    <w:rsid w:val="009F1A4F"/>
    <w:rsid w:val="009F21C0"/>
    <w:rsid w:val="00A04082"/>
    <w:rsid w:val="00A05401"/>
    <w:rsid w:val="00A06461"/>
    <w:rsid w:val="00A1080E"/>
    <w:rsid w:val="00A11EFB"/>
    <w:rsid w:val="00A1312C"/>
    <w:rsid w:val="00A148A1"/>
    <w:rsid w:val="00A16010"/>
    <w:rsid w:val="00A22E82"/>
    <w:rsid w:val="00A23D81"/>
    <w:rsid w:val="00A253C1"/>
    <w:rsid w:val="00A25FFB"/>
    <w:rsid w:val="00A275BE"/>
    <w:rsid w:val="00A30327"/>
    <w:rsid w:val="00A46587"/>
    <w:rsid w:val="00A50E2C"/>
    <w:rsid w:val="00A52885"/>
    <w:rsid w:val="00A53DAD"/>
    <w:rsid w:val="00A57A93"/>
    <w:rsid w:val="00A60511"/>
    <w:rsid w:val="00A608B8"/>
    <w:rsid w:val="00A611C4"/>
    <w:rsid w:val="00A619B0"/>
    <w:rsid w:val="00A646E8"/>
    <w:rsid w:val="00A6757B"/>
    <w:rsid w:val="00A7103E"/>
    <w:rsid w:val="00A71536"/>
    <w:rsid w:val="00A725BB"/>
    <w:rsid w:val="00A74C8F"/>
    <w:rsid w:val="00A768B1"/>
    <w:rsid w:val="00A778CB"/>
    <w:rsid w:val="00A81477"/>
    <w:rsid w:val="00A84535"/>
    <w:rsid w:val="00A905EC"/>
    <w:rsid w:val="00A93D86"/>
    <w:rsid w:val="00A94A8C"/>
    <w:rsid w:val="00AA07B3"/>
    <w:rsid w:val="00AA3DCC"/>
    <w:rsid w:val="00AA4FDD"/>
    <w:rsid w:val="00AA5D35"/>
    <w:rsid w:val="00AA69EE"/>
    <w:rsid w:val="00AA7A24"/>
    <w:rsid w:val="00AB09E7"/>
    <w:rsid w:val="00AB21E0"/>
    <w:rsid w:val="00AB535E"/>
    <w:rsid w:val="00AB6B8B"/>
    <w:rsid w:val="00AB6E8A"/>
    <w:rsid w:val="00AC0D1F"/>
    <w:rsid w:val="00AC1AE3"/>
    <w:rsid w:val="00AC257C"/>
    <w:rsid w:val="00AC2BAB"/>
    <w:rsid w:val="00AC7C0C"/>
    <w:rsid w:val="00AD0EE4"/>
    <w:rsid w:val="00AD132A"/>
    <w:rsid w:val="00AD2C12"/>
    <w:rsid w:val="00AD4C50"/>
    <w:rsid w:val="00AD5C5E"/>
    <w:rsid w:val="00AD7216"/>
    <w:rsid w:val="00AE1554"/>
    <w:rsid w:val="00AE23C8"/>
    <w:rsid w:val="00AF07E5"/>
    <w:rsid w:val="00AF11A7"/>
    <w:rsid w:val="00AF1F83"/>
    <w:rsid w:val="00AF3255"/>
    <w:rsid w:val="00AF46EC"/>
    <w:rsid w:val="00AF5E4A"/>
    <w:rsid w:val="00AF6139"/>
    <w:rsid w:val="00AF7B50"/>
    <w:rsid w:val="00B014AE"/>
    <w:rsid w:val="00B04937"/>
    <w:rsid w:val="00B070A0"/>
    <w:rsid w:val="00B10C9C"/>
    <w:rsid w:val="00B133D5"/>
    <w:rsid w:val="00B15DA9"/>
    <w:rsid w:val="00B16176"/>
    <w:rsid w:val="00B161F9"/>
    <w:rsid w:val="00B25A2A"/>
    <w:rsid w:val="00B267EA"/>
    <w:rsid w:val="00B33774"/>
    <w:rsid w:val="00B4605E"/>
    <w:rsid w:val="00B46BB0"/>
    <w:rsid w:val="00B50796"/>
    <w:rsid w:val="00B51EFA"/>
    <w:rsid w:val="00B53ED7"/>
    <w:rsid w:val="00B6106A"/>
    <w:rsid w:val="00B72DE2"/>
    <w:rsid w:val="00B75D7A"/>
    <w:rsid w:val="00B80493"/>
    <w:rsid w:val="00B8074C"/>
    <w:rsid w:val="00B81EA4"/>
    <w:rsid w:val="00B86161"/>
    <w:rsid w:val="00B86B52"/>
    <w:rsid w:val="00B87F52"/>
    <w:rsid w:val="00B91020"/>
    <w:rsid w:val="00B912C5"/>
    <w:rsid w:val="00B947C0"/>
    <w:rsid w:val="00B95794"/>
    <w:rsid w:val="00B95B12"/>
    <w:rsid w:val="00B97110"/>
    <w:rsid w:val="00BA094E"/>
    <w:rsid w:val="00BA0AA0"/>
    <w:rsid w:val="00BA182B"/>
    <w:rsid w:val="00BA4930"/>
    <w:rsid w:val="00BA4D5A"/>
    <w:rsid w:val="00BB0739"/>
    <w:rsid w:val="00BB0826"/>
    <w:rsid w:val="00BB5798"/>
    <w:rsid w:val="00BC04D4"/>
    <w:rsid w:val="00BC0A52"/>
    <w:rsid w:val="00BC375A"/>
    <w:rsid w:val="00BD782C"/>
    <w:rsid w:val="00BE0A98"/>
    <w:rsid w:val="00BE1C10"/>
    <w:rsid w:val="00BE4D54"/>
    <w:rsid w:val="00BE4D80"/>
    <w:rsid w:val="00BE5A84"/>
    <w:rsid w:val="00BF25B3"/>
    <w:rsid w:val="00BF3A31"/>
    <w:rsid w:val="00BF58BA"/>
    <w:rsid w:val="00BF5D1D"/>
    <w:rsid w:val="00C02737"/>
    <w:rsid w:val="00C03868"/>
    <w:rsid w:val="00C050E8"/>
    <w:rsid w:val="00C077AB"/>
    <w:rsid w:val="00C16AA5"/>
    <w:rsid w:val="00C20EB0"/>
    <w:rsid w:val="00C21942"/>
    <w:rsid w:val="00C306AE"/>
    <w:rsid w:val="00C321A9"/>
    <w:rsid w:val="00C336D2"/>
    <w:rsid w:val="00C40A4B"/>
    <w:rsid w:val="00C41C9E"/>
    <w:rsid w:val="00C460FB"/>
    <w:rsid w:val="00C4733A"/>
    <w:rsid w:val="00C5681F"/>
    <w:rsid w:val="00C609EB"/>
    <w:rsid w:val="00C6312B"/>
    <w:rsid w:val="00C664D3"/>
    <w:rsid w:val="00C7182F"/>
    <w:rsid w:val="00C72ECA"/>
    <w:rsid w:val="00C77BBF"/>
    <w:rsid w:val="00C77EE6"/>
    <w:rsid w:val="00C80B9B"/>
    <w:rsid w:val="00C81D98"/>
    <w:rsid w:val="00C84062"/>
    <w:rsid w:val="00C86167"/>
    <w:rsid w:val="00C86C28"/>
    <w:rsid w:val="00C90915"/>
    <w:rsid w:val="00C917AB"/>
    <w:rsid w:val="00C92DD6"/>
    <w:rsid w:val="00C9588C"/>
    <w:rsid w:val="00C95C48"/>
    <w:rsid w:val="00CA1BAD"/>
    <w:rsid w:val="00CA5749"/>
    <w:rsid w:val="00CA7E70"/>
    <w:rsid w:val="00CB0AC7"/>
    <w:rsid w:val="00CB74B1"/>
    <w:rsid w:val="00CC4553"/>
    <w:rsid w:val="00CC5186"/>
    <w:rsid w:val="00CC69E4"/>
    <w:rsid w:val="00CC70C1"/>
    <w:rsid w:val="00CD1E9E"/>
    <w:rsid w:val="00CD329D"/>
    <w:rsid w:val="00CD63BC"/>
    <w:rsid w:val="00CE01AB"/>
    <w:rsid w:val="00CE0A17"/>
    <w:rsid w:val="00CE3400"/>
    <w:rsid w:val="00CE69B9"/>
    <w:rsid w:val="00CF0723"/>
    <w:rsid w:val="00CF0754"/>
    <w:rsid w:val="00CF0B42"/>
    <w:rsid w:val="00CF676B"/>
    <w:rsid w:val="00D01F2E"/>
    <w:rsid w:val="00D01F6B"/>
    <w:rsid w:val="00D10BAF"/>
    <w:rsid w:val="00D11E57"/>
    <w:rsid w:val="00D1312C"/>
    <w:rsid w:val="00D133AD"/>
    <w:rsid w:val="00D145F7"/>
    <w:rsid w:val="00D17FF4"/>
    <w:rsid w:val="00D24E38"/>
    <w:rsid w:val="00D27051"/>
    <w:rsid w:val="00D30707"/>
    <w:rsid w:val="00D42554"/>
    <w:rsid w:val="00D44784"/>
    <w:rsid w:val="00D44CB6"/>
    <w:rsid w:val="00D4538F"/>
    <w:rsid w:val="00D46717"/>
    <w:rsid w:val="00D47E28"/>
    <w:rsid w:val="00D63A5A"/>
    <w:rsid w:val="00D64CC8"/>
    <w:rsid w:val="00D66914"/>
    <w:rsid w:val="00D71F49"/>
    <w:rsid w:val="00D72A73"/>
    <w:rsid w:val="00D8219C"/>
    <w:rsid w:val="00D825FE"/>
    <w:rsid w:val="00D9655E"/>
    <w:rsid w:val="00DA0D6D"/>
    <w:rsid w:val="00DA4181"/>
    <w:rsid w:val="00DA60B3"/>
    <w:rsid w:val="00DA6C25"/>
    <w:rsid w:val="00DB441C"/>
    <w:rsid w:val="00DB53A3"/>
    <w:rsid w:val="00DC2EA5"/>
    <w:rsid w:val="00DC4957"/>
    <w:rsid w:val="00DC776C"/>
    <w:rsid w:val="00DD0748"/>
    <w:rsid w:val="00DD4313"/>
    <w:rsid w:val="00DD564A"/>
    <w:rsid w:val="00DD57A1"/>
    <w:rsid w:val="00DD57B8"/>
    <w:rsid w:val="00DE09A1"/>
    <w:rsid w:val="00DE1CC3"/>
    <w:rsid w:val="00DE5A9D"/>
    <w:rsid w:val="00DF0633"/>
    <w:rsid w:val="00DF17B3"/>
    <w:rsid w:val="00DF20F2"/>
    <w:rsid w:val="00DF4488"/>
    <w:rsid w:val="00DF59E6"/>
    <w:rsid w:val="00DF5A3F"/>
    <w:rsid w:val="00DF7751"/>
    <w:rsid w:val="00E021E0"/>
    <w:rsid w:val="00E0342F"/>
    <w:rsid w:val="00E03B9C"/>
    <w:rsid w:val="00E07837"/>
    <w:rsid w:val="00E122AC"/>
    <w:rsid w:val="00E14421"/>
    <w:rsid w:val="00E247B0"/>
    <w:rsid w:val="00E24FCC"/>
    <w:rsid w:val="00E27588"/>
    <w:rsid w:val="00E368D7"/>
    <w:rsid w:val="00E36A27"/>
    <w:rsid w:val="00E42A78"/>
    <w:rsid w:val="00E50142"/>
    <w:rsid w:val="00E569CF"/>
    <w:rsid w:val="00E60249"/>
    <w:rsid w:val="00E64CFB"/>
    <w:rsid w:val="00E6558B"/>
    <w:rsid w:val="00E77EDD"/>
    <w:rsid w:val="00E81583"/>
    <w:rsid w:val="00E85420"/>
    <w:rsid w:val="00E85D18"/>
    <w:rsid w:val="00E8648A"/>
    <w:rsid w:val="00E87323"/>
    <w:rsid w:val="00E90BD8"/>
    <w:rsid w:val="00E9162D"/>
    <w:rsid w:val="00E92677"/>
    <w:rsid w:val="00EA364B"/>
    <w:rsid w:val="00EA7581"/>
    <w:rsid w:val="00EB698F"/>
    <w:rsid w:val="00EC4821"/>
    <w:rsid w:val="00EC677B"/>
    <w:rsid w:val="00ED13FB"/>
    <w:rsid w:val="00ED1E55"/>
    <w:rsid w:val="00ED2212"/>
    <w:rsid w:val="00ED6A39"/>
    <w:rsid w:val="00ED6D19"/>
    <w:rsid w:val="00EE01B4"/>
    <w:rsid w:val="00EF2259"/>
    <w:rsid w:val="00EF2A38"/>
    <w:rsid w:val="00EF3AA3"/>
    <w:rsid w:val="00F0415A"/>
    <w:rsid w:val="00F0510A"/>
    <w:rsid w:val="00F1364D"/>
    <w:rsid w:val="00F144E3"/>
    <w:rsid w:val="00F1494C"/>
    <w:rsid w:val="00F16672"/>
    <w:rsid w:val="00F172A0"/>
    <w:rsid w:val="00F2039F"/>
    <w:rsid w:val="00F26437"/>
    <w:rsid w:val="00F30A6B"/>
    <w:rsid w:val="00F33B8E"/>
    <w:rsid w:val="00F346CA"/>
    <w:rsid w:val="00F3682B"/>
    <w:rsid w:val="00F36DCB"/>
    <w:rsid w:val="00F4160A"/>
    <w:rsid w:val="00F47102"/>
    <w:rsid w:val="00F471BD"/>
    <w:rsid w:val="00F528CF"/>
    <w:rsid w:val="00F56C21"/>
    <w:rsid w:val="00F6388A"/>
    <w:rsid w:val="00F64361"/>
    <w:rsid w:val="00F64829"/>
    <w:rsid w:val="00F64FB2"/>
    <w:rsid w:val="00F661B2"/>
    <w:rsid w:val="00F733E2"/>
    <w:rsid w:val="00F75F0B"/>
    <w:rsid w:val="00F76721"/>
    <w:rsid w:val="00F87DEC"/>
    <w:rsid w:val="00F87E01"/>
    <w:rsid w:val="00F90247"/>
    <w:rsid w:val="00F91C5B"/>
    <w:rsid w:val="00F95A5E"/>
    <w:rsid w:val="00F96B37"/>
    <w:rsid w:val="00F978C0"/>
    <w:rsid w:val="00FA099C"/>
    <w:rsid w:val="00FA0B02"/>
    <w:rsid w:val="00FA37B9"/>
    <w:rsid w:val="00FB5866"/>
    <w:rsid w:val="00FB6981"/>
    <w:rsid w:val="00FC23EB"/>
    <w:rsid w:val="00FC4804"/>
    <w:rsid w:val="00FD0BDB"/>
    <w:rsid w:val="00FD2C09"/>
    <w:rsid w:val="00FD3EC5"/>
    <w:rsid w:val="00FD6D7C"/>
    <w:rsid w:val="00FE373E"/>
    <w:rsid w:val="00FE7490"/>
    <w:rsid w:val="00FE7EFF"/>
    <w:rsid w:val="00FF108F"/>
    <w:rsid w:val="00FF1CA8"/>
    <w:rsid w:val="00FF2EDC"/>
    <w:rsid w:val="00FF6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EB821E6"/>
  <w15:docId w15:val="{70FA2017-ACD5-44A7-80A5-C2F11BF48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3C1"/>
    <w:pPr>
      <w:spacing w:line="276" w:lineRule="auto"/>
    </w:pPr>
    <w:rPr>
      <w:sz w:val="24"/>
    </w:rPr>
  </w:style>
  <w:style w:type="paragraph" w:styleId="Heading1">
    <w:name w:val="heading 1"/>
    <w:basedOn w:val="Normal"/>
    <w:next w:val="Normal"/>
    <w:link w:val="Heading1Char"/>
    <w:uiPriority w:val="99"/>
    <w:qFormat/>
    <w:rsid w:val="00A253C1"/>
    <w:pPr>
      <w:keepNext/>
      <w:spacing w:line="240" w:lineRule="auto"/>
      <w:jc w:val="center"/>
      <w:outlineLvl w:val="0"/>
    </w:pPr>
    <w:rPr>
      <w:rFonts w:ascii="Courier New" w:eastAsia="Times New Roman" w:hAnsi="Courier New"/>
      <w:szCs w:val="24"/>
      <w:u w:val="single"/>
    </w:rPr>
  </w:style>
  <w:style w:type="paragraph" w:styleId="Heading2">
    <w:name w:val="heading 2"/>
    <w:basedOn w:val="Normal"/>
    <w:next w:val="Normal"/>
    <w:link w:val="Heading2Char"/>
    <w:uiPriority w:val="99"/>
    <w:qFormat/>
    <w:rsid w:val="00A253C1"/>
    <w:pPr>
      <w:keepNext/>
      <w:spacing w:line="240" w:lineRule="auto"/>
      <w:jc w:val="center"/>
      <w:outlineLvl w:val="1"/>
    </w:pPr>
    <w:rPr>
      <w:rFonts w:ascii="Courier New" w:eastAsia="Times New Roman" w:hAnsi="Courier New"/>
      <w:b/>
      <w:bCs/>
      <w:szCs w:val="24"/>
      <w:u w:val="single"/>
    </w:rPr>
  </w:style>
  <w:style w:type="paragraph" w:styleId="Heading3">
    <w:name w:val="heading 3"/>
    <w:basedOn w:val="Normal"/>
    <w:next w:val="Normal"/>
    <w:link w:val="Heading3Char"/>
    <w:uiPriority w:val="99"/>
    <w:qFormat/>
    <w:rsid w:val="00A253C1"/>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253C1"/>
    <w:rPr>
      <w:rFonts w:ascii="Courier New" w:hAnsi="Courier New" w:cs="Times New Roman"/>
      <w:sz w:val="24"/>
      <w:szCs w:val="24"/>
      <w:u w:val="single"/>
    </w:rPr>
  </w:style>
  <w:style w:type="character" w:customStyle="1" w:styleId="Heading2Char">
    <w:name w:val="Heading 2 Char"/>
    <w:basedOn w:val="DefaultParagraphFont"/>
    <w:link w:val="Heading2"/>
    <w:uiPriority w:val="99"/>
    <w:locked/>
    <w:rsid w:val="00A253C1"/>
    <w:rPr>
      <w:rFonts w:ascii="Courier New" w:hAnsi="Courier New" w:cs="Times New Roman"/>
      <w:b/>
      <w:bCs/>
      <w:sz w:val="24"/>
      <w:szCs w:val="24"/>
      <w:u w:val="single"/>
    </w:rPr>
  </w:style>
  <w:style w:type="character" w:customStyle="1" w:styleId="Heading3Char">
    <w:name w:val="Heading 3 Char"/>
    <w:basedOn w:val="DefaultParagraphFont"/>
    <w:link w:val="Heading3"/>
    <w:uiPriority w:val="99"/>
    <w:semiHidden/>
    <w:locked/>
    <w:rsid w:val="00A253C1"/>
    <w:rPr>
      <w:rFonts w:ascii="Cambria" w:hAnsi="Cambria" w:cs="Times New Roman"/>
      <w:b/>
      <w:bCs/>
      <w:color w:val="4F81BD"/>
    </w:rPr>
  </w:style>
  <w:style w:type="paragraph" w:styleId="BodyTextIndent">
    <w:name w:val="Body Text Indent"/>
    <w:basedOn w:val="Normal"/>
    <w:link w:val="BodyTextIndentChar"/>
    <w:uiPriority w:val="99"/>
    <w:rsid w:val="00A253C1"/>
    <w:pPr>
      <w:spacing w:line="480" w:lineRule="auto"/>
      <w:ind w:firstLine="720"/>
    </w:pPr>
    <w:rPr>
      <w:rFonts w:ascii="Courier New" w:eastAsia="Times New Roman" w:hAnsi="Courier New"/>
      <w:szCs w:val="24"/>
    </w:rPr>
  </w:style>
  <w:style w:type="character" w:customStyle="1" w:styleId="BodyTextIndentChar">
    <w:name w:val="Body Text Indent Char"/>
    <w:basedOn w:val="DefaultParagraphFont"/>
    <w:link w:val="BodyTextIndent"/>
    <w:uiPriority w:val="99"/>
    <w:qFormat/>
    <w:locked/>
    <w:rsid w:val="00A253C1"/>
    <w:rPr>
      <w:rFonts w:ascii="Courier New" w:hAnsi="Courier New" w:cs="Times New Roman"/>
      <w:sz w:val="24"/>
      <w:szCs w:val="24"/>
    </w:rPr>
  </w:style>
  <w:style w:type="paragraph" w:styleId="Header">
    <w:name w:val="header"/>
    <w:basedOn w:val="Normal"/>
    <w:link w:val="HeaderChar"/>
    <w:uiPriority w:val="99"/>
    <w:rsid w:val="00A253C1"/>
    <w:pPr>
      <w:tabs>
        <w:tab w:val="center" w:pos="4320"/>
        <w:tab w:val="right" w:pos="8640"/>
      </w:tabs>
      <w:spacing w:line="240" w:lineRule="auto"/>
    </w:pPr>
    <w:rPr>
      <w:rFonts w:eastAsia="Times New Roman"/>
      <w:szCs w:val="24"/>
    </w:rPr>
  </w:style>
  <w:style w:type="character" w:customStyle="1" w:styleId="HeaderChar">
    <w:name w:val="Header Char"/>
    <w:basedOn w:val="DefaultParagraphFont"/>
    <w:link w:val="Header"/>
    <w:uiPriority w:val="99"/>
    <w:locked/>
    <w:rsid w:val="00A253C1"/>
    <w:rPr>
      <w:rFonts w:eastAsia="Times New Roman" w:cs="Times New Roman"/>
      <w:sz w:val="24"/>
      <w:szCs w:val="24"/>
    </w:rPr>
  </w:style>
  <w:style w:type="character" w:styleId="PageNumber">
    <w:name w:val="page number"/>
    <w:basedOn w:val="DefaultParagraphFont"/>
    <w:uiPriority w:val="99"/>
    <w:rsid w:val="00A253C1"/>
    <w:rPr>
      <w:rFonts w:cs="Times New Roman"/>
    </w:rPr>
  </w:style>
  <w:style w:type="paragraph" w:styleId="BlockText">
    <w:name w:val="Block Text"/>
    <w:basedOn w:val="Normal"/>
    <w:uiPriority w:val="99"/>
    <w:rsid w:val="00A253C1"/>
    <w:pPr>
      <w:spacing w:line="240" w:lineRule="auto"/>
      <w:ind w:left="720" w:right="180" w:hanging="720"/>
      <w:jc w:val="both"/>
    </w:pPr>
    <w:rPr>
      <w:rFonts w:ascii="Courier New" w:eastAsia="Times New Roman" w:hAnsi="Courier New"/>
      <w:szCs w:val="24"/>
    </w:rPr>
  </w:style>
  <w:style w:type="paragraph" w:styleId="BodyTextIndent2">
    <w:name w:val="Body Text Indent 2"/>
    <w:basedOn w:val="Normal"/>
    <w:link w:val="BodyTextIndent2Char"/>
    <w:uiPriority w:val="99"/>
    <w:rsid w:val="00A253C1"/>
    <w:pPr>
      <w:spacing w:after="120" w:line="480" w:lineRule="auto"/>
      <w:ind w:left="360"/>
    </w:pPr>
  </w:style>
  <w:style w:type="character" w:customStyle="1" w:styleId="BodyTextIndent2Char">
    <w:name w:val="Body Text Indent 2 Char"/>
    <w:basedOn w:val="DefaultParagraphFont"/>
    <w:link w:val="BodyTextIndent2"/>
    <w:uiPriority w:val="99"/>
    <w:locked/>
    <w:rsid w:val="00A253C1"/>
    <w:rPr>
      <w:rFonts w:cs="Times New Roman"/>
    </w:rPr>
  </w:style>
  <w:style w:type="character" w:styleId="Hyperlink">
    <w:name w:val="Hyperlink"/>
    <w:basedOn w:val="DefaultParagraphFont"/>
    <w:uiPriority w:val="99"/>
    <w:rsid w:val="00A253C1"/>
    <w:rPr>
      <w:rFonts w:cs="Times New Roman"/>
      <w:color w:val="0000FF"/>
      <w:u w:val="single"/>
    </w:rPr>
  </w:style>
  <w:style w:type="paragraph" w:styleId="Quote">
    <w:name w:val="Quote"/>
    <w:basedOn w:val="BodyTextIndent"/>
    <w:link w:val="QuoteChar"/>
    <w:uiPriority w:val="99"/>
    <w:qFormat/>
    <w:rsid w:val="00A253C1"/>
    <w:pPr>
      <w:overflowPunct w:val="0"/>
      <w:autoSpaceDE w:val="0"/>
      <w:autoSpaceDN w:val="0"/>
      <w:adjustRightInd w:val="0"/>
      <w:spacing w:line="240" w:lineRule="auto"/>
      <w:ind w:left="720" w:right="720" w:firstLine="0"/>
      <w:textAlignment w:val="baseline"/>
    </w:pPr>
    <w:rPr>
      <w:rFonts w:ascii="Times New Roman" w:hAnsi="Times New Roman"/>
      <w:sz w:val="28"/>
      <w:szCs w:val="28"/>
    </w:rPr>
  </w:style>
  <w:style w:type="character" w:customStyle="1" w:styleId="QuoteChar">
    <w:name w:val="Quote Char"/>
    <w:basedOn w:val="DefaultParagraphFont"/>
    <w:link w:val="Quote"/>
    <w:uiPriority w:val="99"/>
    <w:locked/>
    <w:rsid w:val="00A253C1"/>
    <w:rPr>
      <w:rFonts w:eastAsia="Times New Roman" w:cs="Times New Roman"/>
      <w:sz w:val="28"/>
      <w:szCs w:val="28"/>
    </w:rPr>
  </w:style>
  <w:style w:type="paragraph" w:styleId="BodyText">
    <w:name w:val="Body Text"/>
    <w:basedOn w:val="Normal"/>
    <w:link w:val="BodyTextChar"/>
    <w:uiPriority w:val="99"/>
    <w:semiHidden/>
    <w:rsid w:val="00A253C1"/>
    <w:pPr>
      <w:spacing w:after="120"/>
    </w:pPr>
  </w:style>
  <w:style w:type="character" w:customStyle="1" w:styleId="BodyTextChar">
    <w:name w:val="Body Text Char"/>
    <w:basedOn w:val="DefaultParagraphFont"/>
    <w:link w:val="BodyText"/>
    <w:uiPriority w:val="99"/>
    <w:semiHidden/>
    <w:locked/>
    <w:rsid w:val="00A253C1"/>
    <w:rPr>
      <w:rFonts w:cs="Times New Roman"/>
    </w:rPr>
  </w:style>
  <w:style w:type="character" w:styleId="CommentReference">
    <w:name w:val="annotation reference"/>
    <w:basedOn w:val="DefaultParagraphFont"/>
    <w:uiPriority w:val="99"/>
    <w:semiHidden/>
    <w:rsid w:val="00A253C1"/>
    <w:rPr>
      <w:rFonts w:cs="Times New Roman"/>
      <w:sz w:val="16"/>
      <w:szCs w:val="16"/>
    </w:rPr>
  </w:style>
  <w:style w:type="paragraph" w:styleId="CommentText">
    <w:name w:val="annotation text"/>
    <w:basedOn w:val="Normal"/>
    <w:link w:val="CommentTextChar"/>
    <w:uiPriority w:val="99"/>
    <w:semiHidden/>
    <w:rsid w:val="00A253C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253C1"/>
    <w:rPr>
      <w:rFonts w:cs="Times New Roman"/>
      <w:sz w:val="20"/>
      <w:szCs w:val="20"/>
    </w:rPr>
  </w:style>
  <w:style w:type="paragraph" w:styleId="CommentSubject">
    <w:name w:val="annotation subject"/>
    <w:basedOn w:val="CommentText"/>
    <w:next w:val="CommentText"/>
    <w:link w:val="CommentSubjectChar"/>
    <w:uiPriority w:val="99"/>
    <w:semiHidden/>
    <w:rsid w:val="00A253C1"/>
    <w:rPr>
      <w:b/>
      <w:bCs/>
    </w:rPr>
  </w:style>
  <w:style w:type="character" w:customStyle="1" w:styleId="CommentSubjectChar">
    <w:name w:val="Comment Subject Char"/>
    <w:basedOn w:val="CommentTextChar"/>
    <w:link w:val="CommentSubject"/>
    <w:uiPriority w:val="99"/>
    <w:semiHidden/>
    <w:locked/>
    <w:rsid w:val="00A253C1"/>
    <w:rPr>
      <w:rFonts w:cs="Times New Roman"/>
      <w:b/>
      <w:bCs/>
      <w:sz w:val="20"/>
      <w:szCs w:val="20"/>
    </w:rPr>
  </w:style>
  <w:style w:type="paragraph" w:styleId="BalloonText">
    <w:name w:val="Balloon Text"/>
    <w:basedOn w:val="Normal"/>
    <w:link w:val="BalloonTextChar"/>
    <w:uiPriority w:val="99"/>
    <w:semiHidden/>
    <w:rsid w:val="00A253C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53C1"/>
    <w:rPr>
      <w:rFonts w:ascii="Tahoma" w:hAnsi="Tahoma" w:cs="Tahoma"/>
      <w:sz w:val="16"/>
      <w:szCs w:val="16"/>
    </w:rPr>
  </w:style>
  <w:style w:type="paragraph" w:styleId="ListParagraph">
    <w:name w:val="List Paragraph"/>
    <w:basedOn w:val="Normal"/>
    <w:uiPriority w:val="34"/>
    <w:qFormat/>
    <w:rsid w:val="00A253C1"/>
    <w:pPr>
      <w:ind w:left="720"/>
      <w:contextualSpacing/>
    </w:pPr>
  </w:style>
  <w:style w:type="paragraph" w:styleId="Revision">
    <w:name w:val="Revision"/>
    <w:hidden/>
    <w:uiPriority w:val="99"/>
    <w:semiHidden/>
    <w:rsid w:val="00A253C1"/>
    <w:rPr>
      <w:sz w:val="24"/>
    </w:rPr>
  </w:style>
  <w:style w:type="paragraph" w:styleId="TableofAuthorities">
    <w:name w:val="table of authorities"/>
    <w:basedOn w:val="Normal"/>
    <w:next w:val="Normal"/>
    <w:uiPriority w:val="99"/>
    <w:semiHidden/>
    <w:unhideWhenUsed/>
    <w:rsid w:val="00A253C1"/>
    <w:pPr>
      <w:ind w:left="240" w:hanging="240"/>
    </w:pPr>
  </w:style>
  <w:style w:type="paragraph" w:customStyle="1" w:styleId="BATOAPageHeading">
    <w:name w:val="BA TOA Page Heading"/>
    <w:basedOn w:val="Normal"/>
    <w:rsid w:val="00A253C1"/>
    <w:pPr>
      <w:keepNext/>
      <w:keepLines/>
      <w:tabs>
        <w:tab w:val="right" w:pos="9360"/>
      </w:tabs>
      <w:spacing w:line="240" w:lineRule="auto"/>
      <w:jc w:val="right"/>
    </w:pPr>
    <w:rPr>
      <w:rFonts w:eastAsia="Times New Roman"/>
      <w:b/>
      <w:szCs w:val="24"/>
    </w:rPr>
  </w:style>
  <w:style w:type="paragraph" w:customStyle="1" w:styleId="BATOAHeading">
    <w:name w:val="BA TOA Heading"/>
    <w:basedOn w:val="Normal"/>
    <w:rsid w:val="00A253C1"/>
    <w:pPr>
      <w:keepNext/>
      <w:keepLines/>
      <w:spacing w:after="240" w:line="240" w:lineRule="auto"/>
    </w:pPr>
    <w:rPr>
      <w:rFonts w:eastAsia="Times New Roman"/>
      <w:b/>
      <w:smallCaps/>
      <w:szCs w:val="24"/>
    </w:rPr>
  </w:style>
  <w:style w:type="paragraph" w:customStyle="1" w:styleId="BATOAEntry">
    <w:name w:val="BA TOA Entry"/>
    <w:basedOn w:val="Normal"/>
    <w:rsid w:val="00A253C1"/>
    <w:pPr>
      <w:keepLines/>
      <w:tabs>
        <w:tab w:val="right" w:leader="dot" w:pos="9360"/>
      </w:tabs>
      <w:spacing w:after="240" w:line="240" w:lineRule="auto"/>
      <w:ind w:left="360" w:right="720" w:hanging="360"/>
    </w:pPr>
    <w:rPr>
      <w:rFonts w:eastAsia="Times New Roman"/>
      <w:szCs w:val="24"/>
    </w:rPr>
  </w:style>
  <w:style w:type="paragraph" w:customStyle="1" w:styleId="BADraft">
    <w:name w:val="BA Draft"/>
    <w:basedOn w:val="BodyText"/>
    <w:rsid w:val="00A253C1"/>
    <w:pPr>
      <w:keepLines/>
      <w:widowControl w:val="0"/>
      <w:spacing w:after="0" w:line="240" w:lineRule="auto"/>
    </w:pPr>
    <w:rPr>
      <w:rFonts w:eastAsia="Times New Roman"/>
      <w:szCs w:val="24"/>
    </w:rPr>
  </w:style>
  <w:style w:type="paragraph" w:customStyle="1" w:styleId="BATOATitle">
    <w:name w:val="BA TOA Title"/>
    <w:basedOn w:val="Normal"/>
    <w:rsid w:val="00A253C1"/>
    <w:pPr>
      <w:keepNext/>
      <w:spacing w:before="120" w:after="240" w:line="240" w:lineRule="auto"/>
      <w:jc w:val="center"/>
    </w:pPr>
    <w:rPr>
      <w:rFonts w:eastAsia="Times New Roman"/>
      <w:b/>
      <w:caps/>
      <w:szCs w:val="24"/>
      <w:u w:val="single"/>
    </w:rPr>
  </w:style>
  <w:style w:type="paragraph" w:styleId="Footer">
    <w:name w:val="footer"/>
    <w:basedOn w:val="Normal"/>
    <w:link w:val="FooterChar"/>
    <w:uiPriority w:val="99"/>
    <w:unhideWhenUsed/>
    <w:rsid w:val="00A253C1"/>
    <w:pPr>
      <w:tabs>
        <w:tab w:val="center" w:pos="4680"/>
        <w:tab w:val="right" w:pos="9360"/>
      </w:tabs>
      <w:spacing w:line="240" w:lineRule="auto"/>
    </w:pPr>
  </w:style>
  <w:style w:type="character" w:customStyle="1" w:styleId="FooterChar">
    <w:name w:val="Footer Char"/>
    <w:basedOn w:val="DefaultParagraphFont"/>
    <w:link w:val="Footer"/>
    <w:uiPriority w:val="99"/>
    <w:rsid w:val="00A253C1"/>
    <w:rPr>
      <w:sz w:val="24"/>
    </w:rPr>
  </w:style>
  <w:style w:type="character" w:styleId="Mention">
    <w:name w:val="Mention"/>
    <w:basedOn w:val="DefaultParagraphFont"/>
    <w:uiPriority w:val="99"/>
    <w:semiHidden/>
    <w:unhideWhenUsed/>
    <w:rsid w:val="00ED2212"/>
    <w:rPr>
      <w:color w:val="2B579A"/>
      <w:shd w:val="clear" w:color="auto" w:fill="E6E6E6"/>
    </w:rPr>
  </w:style>
  <w:style w:type="paragraph" w:styleId="FootnoteText">
    <w:name w:val="footnote text"/>
    <w:basedOn w:val="Normal"/>
    <w:link w:val="FootnoteTextChar"/>
    <w:uiPriority w:val="99"/>
    <w:semiHidden/>
    <w:unhideWhenUsed/>
    <w:rsid w:val="00653823"/>
    <w:pPr>
      <w:spacing w:line="240" w:lineRule="auto"/>
    </w:pPr>
    <w:rPr>
      <w:sz w:val="20"/>
      <w:szCs w:val="20"/>
    </w:rPr>
  </w:style>
  <w:style w:type="character" w:customStyle="1" w:styleId="FootnoteTextChar">
    <w:name w:val="Footnote Text Char"/>
    <w:basedOn w:val="DefaultParagraphFont"/>
    <w:link w:val="FootnoteText"/>
    <w:uiPriority w:val="99"/>
    <w:semiHidden/>
    <w:rsid w:val="00653823"/>
    <w:rPr>
      <w:sz w:val="20"/>
      <w:szCs w:val="20"/>
    </w:rPr>
  </w:style>
  <w:style w:type="character" w:styleId="FootnoteReference">
    <w:name w:val="footnote reference"/>
    <w:basedOn w:val="DefaultParagraphFont"/>
    <w:uiPriority w:val="99"/>
    <w:semiHidden/>
    <w:unhideWhenUsed/>
    <w:rsid w:val="00653823"/>
    <w:rPr>
      <w:vertAlign w:val="superscript"/>
    </w:rPr>
  </w:style>
  <w:style w:type="character" w:customStyle="1" w:styleId="ssit">
    <w:name w:val="ss_it"/>
    <w:basedOn w:val="DefaultParagraphFont"/>
    <w:rsid w:val="00BF25B3"/>
  </w:style>
  <w:style w:type="character" w:customStyle="1" w:styleId="sssh">
    <w:name w:val="ss_sh"/>
    <w:basedOn w:val="DefaultParagraphFont"/>
    <w:rsid w:val="00E247B0"/>
  </w:style>
  <w:style w:type="character" w:styleId="UnresolvedMention">
    <w:name w:val="Unresolved Mention"/>
    <w:basedOn w:val="DefaultParagraphFont"/>
    <w:uiPriority w:val="99"/>
    <w:semiHidden/>
    <w:unhideWhenUsed/>
    <w:rsid w:val="002D42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rodriguez@ncdoj.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rah@holladaylawoffic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801D6-9159-404E-A6F3-8FA3E3ECD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4389</Words>
  <Characters>23203</Characters>
  <Application>Microsoft Office Word</Application>
  <DocSecurity>0</DocSecurity>
  <Lines>193</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Gomez, Anne M.</cp:lastModifiedBy>
  <cp:revision>2</cp:revision>
  <cp:lastPrinted>2023-05-26T16:48:00Z</cp:lastPrinted>
  <dcterms:created xsi:type="dcterms:W3CDTF">2023-05-27T18:32:00Z</dcterms:created>
  <dcterms:modified xsi:type="dcterms:W3CDTF">2023-05-27T18:32:00Z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_CurrentTOAMode">
    <vt:lpwstr>BA Mode</vt:lpwstr>
  </property>
  <property fmtid="{D5CDD505-2E9C-101B-9397-08002B2CF9AE}" pid="3" name="BA_LastSessionVersion">
    <vt:lpwstr>02.07.0300</vt:lpwstr>
  </property>
  <property fmtid="{D5CDD505-2E9C-101B-9397-08002B2CF9AE}" pid="4" name="BA_SchemeName">
    <vt:lpwstr>Sample Common</vt:lpwstr>
  </property>
  <property fmtid="{D5CDD505-2E9C-101B-9397-08002B2CF9AE}" pid="5" name="BA_LastScanDate">
    <vt:lpwstr>01/30/2014 11:43 AM</vt:lpwstr>
  </property>
  <property fmtid="{D5CDD505-2E9C-101B-9397-08002B2CF9AE}" pid="6" name="BA_LastScanVersion">
    <vt:lpwstr>02.07.0028</vt:lpwstr>
  </property>
  <property fmtid="{D5CDD505-2E9C-101B-9397-08002B2CF9AE}" pid="7" name="BA_LastBuildDate">
    <vt:lpwstr>01/30/2014 11:43 AM</vt:lpwstr>
  </property>
</Properties>
</file>