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71C8" w14:textId="3C1A7149" w:rsidR="00D463D8" w:rsidRPr="00C3297D" w:rsidRDefault="00D463D8" w:rsidP="004D21EF">
      <w:pPr>
        <w:spacing w:after="120"/>
        <w:contextualSpacing/>
        <w:rPr>
          <w:szCs w:val="26"/>
        </w:rPr>
      </w:pPr>
      <w:r w:rsidRPr="00C3297D">
        <w:rPr>
          <w:szCs w:val="26"/>
        </w:rPr>
        <w:t>No. COA</w:t>
      </w:r>
      <w:r w:rsidR="00DD071F">
        <w:rPr>
          <w:szCs w:val="26"/>
        </w:rPr>
        <w:t>22-632</w:t>
      </w:r>
      <w:r w:rsidR="004D21EF">
        <w:rPr>
          <w:szCs w:val="26"/>
        </w:rPr>
        <w:t xml:space="preserve">                                   </w:t>
      </w:r>
      <w:r w:rsidRPr="00C3297D">
        <w:rPr>
          <w:szCs w:val="26"/>
        </w:rPr>
        <w:t>TWENTY-</w:t>
      </w:r>
      <w:r w:rsidR="00A61A43">
        <w:rPr>
          <w:szCs w:val="26"/>
        </w:rPr>
        <w:t>SIXTH</w:t>
      </w:r>
      <w:r w:rsidR="002A6F54">
        <w:rPr>
          <w:szCs w:val="26"/>
        </w:rPr>
        <w:t xml:space="preserve"> JUDICIAL DISTRICT</w:t>
      </w:r>
    </w:p>
    <w:p w14:paraId="6DB6F66C" w14:textId="77777777" w:rsidR="00D463D8" w:rsidRPr="00C3297D" w:rsidRDefault="00D463D8" w:rsidP="00D463D8">
      <w:pPr>
        <w:tabs>
          <w:tab w:val="left" w:pos="4680"/>
        </w:tabs>
        <w:spacing w:after="120"/>
        <w:contextualSpacing/>
        <w:rPr>
          <w:szCs w:val="26"/>
        </w:rPr>
      </w:pPr>
    </w:p>
    <w:p w14:paraId="1F18753D" w14:textId="77777777" w:rsidR="00D463D8" w:rsidRPr="00C3297D" w:rsidRDefault="00D463D8" w:rsidP="00D463D8">
      <w:pPr>
        <w:tabs>
          <w:tab w:val="left" w:pos="4680"/>
        </w:tabs>
        <w:spacing w:after="120"/>
        <w:contextualSpacing/>
        <w:jc w:val="center"/>
        <w:rPr>
          <w:szCs w:val="26"/>
        </w:rPr>
      </w:pPr>
      <w:r w:rsidRPr="00C3297D">
        <w:rPr>
          <w:szCs w:val="26"/>
        </w:rPr>
        <w:t>NORTH CAROLINA COURT OF APPEALS</w:t>
      </w:r>
    </w:p>
    <w:p w14:paraId="08565D23" w14:textId="77777777" w:rsidR="00D463D8" w:rsidRPr="00C3297D" w:rsidRDefault="00D463D8" w:rsidP="00D463D8">
      <w:pPr>
        <w:spacing w:after="120"/>
        <w:jc w:val="center"/>
        <w:rPr>
          <w:szCs w:val="26"/>
        </w:rPr>
      </w:pPr>
      <w:r w:rsidRPr="00C3297D">
        <w:rPr>
          <w:szCs w:val="26"/>
        </w:rPr>
        <w:t>****************************************************</w:t>
      </w:r>
    </w:p>
    <w:p w14:paraId="743FAF20" w14:textId="77777777" w:rsidR="00D463D8" w:rsidRPr="00C3297D" w:rsidRDefault="00D463D8" w:rsidP="00D463D8">
      <w:pPr>
        <w:tabs>
          <w:tab w:val="left" w:pos="4680"/>
        </w:tabs>
        <w:jc w:val="both"/>
        <w:rPr>
          <w:rFonts w:eastAsia="Times New Roman"/>
          <w:szCs w:val="26"/>
        </w:rPr>
      </w:pPr>
      <w:r w:rsidRPr="00C3297D">
        <w:rPr>
          <w:rFonts w:eastAsia="Times New Roman"/>
          <w:szCs w:val="26"/>
        </w:rPr>
        <w:t>STATE OF NORTH CAROLINA</w:t>
      </w:r>
      <w:r w:rsidRPr="00C3297D">
        <w:rPr>
          <w:rFonts w:eastAsia="Times New Roman"/>
          <w:szCs w:val="26"/>
        </w:rPr>
        <w:tab/>
        <w:t>)</w:t>
      </w:r>
    </w:p>
    <w:p w14:paraId="4A2E4D4B" w14:textId="77777777" w:rsidR="00D463D8" w:rsidRPr="00C3297D" w:rsidRDefault="00D463D8" w:rsidP="00D463D8">
      <w:pPr>
        <w:tabs>
          <w:tab w:val="left" w:pos="4680"/>
        </w:tabs>
        <w:jc w:val="both"/>
        <w:rPr>
          <w:rFonts w:eastAsia="Times New Roman"/>
          <w:szCs w:val="26"/>
        </w:rPr>
      </w:pPr>
      <w:r w:rsidRPr="00C3297D">
        <w:rPr>
          <w:rFonts w:eastAsia="Times New Roman"/>
          <w:szCs w:val="26"/>
        </w:rPr>
        <w:tab/>
        <w:t>)</w:t>
      </w:r>
    </w:p>
    <w:p w14:paraId="6D581B06" w14:textId="41E8FADB" w:rsidR="00D463D8" w:rsidRPr="00C3297D" w:rsidRDefault="00D463D8" w:rsidP="00D463D8">
      <w:pPr>
        <w:tabs>
          <w:tab w:val="left" w:pos="4680"/>
          <w:tab w:val="left" w:pos="5310"/>
        </w:tabs>
        <w:jc w:val="both"/>
        <w:rPr>
          <w:szCs w:val="26"/>
        </w:rPr>
      </w:pPr>
      <w:r w:rsidRPr="00C3297D">
        <w:rPr>
          <w:szCs w:val="26"/>
        </w:rPr>
        <w:t xml:space="preserve">                      v.</w:t>
      </w:r>
      <w:r w:rsidRPr="00C3297D">
        <w:rPr>
          <w:szCs w:val="26"/>
        </w:rPr>
        <w:tab/>
        <w:t xml:space="preserve">) </w:t>
      </w:r>
      <w:r w:rsidRPr="00C3297D">
        <w:rPr>
          <w:szCs w:val="26"/>
        </w:rPr>
        <w:tab/>
      </w:r>
      <w:r w:rsidRPr="00C3297D">
        <w:rPr>
          <w:szCs w:val="26"/>
          <w:u w:val="single"/>
        </w:rPr>
        <w:t xml:space="preserve">From </w:t>
      </w:r>
      <w:r w:rsidR="00A61A43">
        <w:rPr>
          <w:szCs w:val="26"/>
          <w:u w:val="single"/>
        </w:rPr>
        <w:t>Mecklenburg</w:t>
      </w:r>
      <w:r w:rsidRPr="00C3297D">
        <w:rPr>
          <w:szCs w:val="26"/>
          <w:u w:val="single"/>
        </w:rPr>
        <w:t xml:space="preserve"> County  </w:t>
      </w:r>
    </w:p>
    <w:p w14:paraId="68119AC8" w14:textId="77777777" w:rsidR="00D463D8" w:rsidRPr="00C3297D" w:rsidRDefault="00D463D8" w:rsidP="00D463D8">
      <w:pPr>
        <w:tabs>
          <w:tab w:val="left" w:pos="4680"/>
          <w:tab w:val="left" w:pos="5310"/>
        </w:tabs>
        <w:rPr>
          <w:szCs w:val="26"/>
        </w:rPr>
      </w:pPr>
      <w:r w:rsidRPr="00C3297D">
        <w:rPr>
          <w:szCs w:val="26"/>
        </w:rPr>
        <w:tab/>
        <w:t xml:space="preserve">) </w:t>
      </w:r>
      <w:r w:rsidRPr="00C3297D">
        <w:rPr>
          <w:szCs w:val="26"/>
        </w:rPr>
        <w:tab/>
      </w:r>
    </w:p>
    <w:p w14:paraId="066BD030" w14:textId="2907BF0C" w:rsidR="00D463D8" w:rsidRPr="00C3297D" w:rsidRDefault="00A61A43" w:rsidP="00D463D8">
      <w:pPr>
        <w:tabs>
          <w:tab w:val="left" w:pos="4680"/>
          <w:tab w:val="left" w:pos="5400"/>
        </w:tabs>
        <w:spacing w:after="120"/>
        <w:jc w:val="both"/>
        <w:rPr>
          <w:szCs w:val="26"/>
        </w:rPr>
      </w:pPr>
      <w:proofErr w:type="spellStart"/>
      <w:r>
        <w:rPr>
          <w:szCs w:val="26"/>
        </w:rPr>
        <w:t>TAIQUAN</w:t>
      </w:r>
      <w:proofErr w:type="spellEnd"/>
      <w:r>
        <w:rPr>
          <w:szCs w:val="26"/>
        </w:rPr>
        <w:t xml:space="preserve"> RODGERS</w:t>
      </w:r>
      <w:r w:rsidR="00D463D8" w:rsidRPr="00C3297D">
        <w:rPr>
          <w:szCs w:val="26"/>
        </w:rPr>
        <w:tab/>
        <w:t>)</w:t>
      </w:r>
      <w:r w:rsidR="00D463D8" w:rsidRPr="00C3297D">
        <w:rPr>
          <w:szCs w:val="26"/>
        </w:rPr>
        <w:tab/>
      </w:r>
    </w:p>
    <w:p w14:paraId="711E79A2" w14:textId="77777777" w:rsidR="00D463D8" w:rsidRPr="00C3297D" w:rsidRDefault="00D463D8" w:rsidP="00D463D8">
      <w:pPr>
        <w:contextualSpacing/>
        <w:jc w:val="center"/>
        <w:rPr>
          <w:rFonts w:eastAsia="Times New Roman" w:cs="Courier New"/>
          <w:szCs w:val="26"/>
        </w:rPr>
      </w:pPr>
      <w:r w:rsidRPr="00C3297D">
        <w:rPr>
          <w:rFonts w:eastAsia="Times New Roman" w:cs="Courier New"/>
          <w:szCs w:val="26"/>
        </w:rPr>
        <w:t>***************************************</w:t>
      </w:r>
    </w:p>
    <w:p w14:paraId="392D1E88" w14:textId="77777777" w:rsidR="00D463D8" w:rsidRPr="00C3297D" w:rsidRDefault="00D463D8" w:rsidP="00D463D8">
      <w:pPr>
        <w:contextualSpacing/>
        <w:jc w:val="center"/>
        <w:rPr>
          <w:szCs w:val="26"/>
        </w:rPr>
      </w:pPr>
      <w:r w:rsidRPr="00C3297D">
        <w:rPr>
          <w:szCs w:val="26"/>
        </w:rPr>
        <w:t>DEFENDANT-APPELLANT’S BRIEF</w:t>
      </w:r>
    </w:p>
    <w:p w14:paraId="12F929CA" w14:textId="77777777" w:rsidR="00D463D8" w:rsidRPr="00C3297D" w:rsidRDefault="00D463D8" w:rsidP="00D463D8">
      <w:pPr>
        <w:jc w:val="center"/>
        <w:rPr>
          <w:rFonts w:eastAsia="Times New Roman" w:cs="Courier New"/>
          <w:szCs w:val="26"/>
        </w:rPr>
      </w:pPr>
      <w:r w:rsidRPr="00C3297D">
        <w:rPr>
          <w:rFonts w:eastAsia="Times New Roman" w:cs="Courier New"/>
          <w:szCs w:val="26"/>
        </w:rPr>
        <w:t>***************************************</w:t>
      </w:r>
    </w:p>
    <w:p w14:paraId="3ADC0FB8" w14:textId="77777777" w:rsidR="00D463D8" w:rsidRPr="00C3297D" w:rsidRDefault="00D463D8" w:rsidP="00932ADC">
      <w:pPr>
        <w:tabs>
          <w:tab w:val="left" w:pos="4680"/>
        </w:tabs>
        <w:spacing w:after="120"/>
        <w:contextualSpacing/>
        <w:rPr>
          <w:szCs w:val="26"/>
        </w:rPr>
      </w:pPr>
    </w:p>
    <w:p w14:paraId="190E5534" w14:textId="11350A62" w:rsidR="00D463D8" w:rsidRPr="00C3297D" w:rsidRDefault="00D463D8" w:rsidP="00932ADC">
      <w:pPr>
        <w:tabs>
          <w:tab w:val="left" w:pos="4680"/>
        </w:tabs>
        <w:spacing w:after="120"/>
        <w:contextualSpacing/>
        <w:rPr>
          <w:szCs w:val="26"/>
        </w:rPr>
        <w:sectPr w:rsidR="00D463D8" w:rsidRPr="00C3297D" w:rsidSect="00523CC1">
          <w:headerReference w:type="default" r:id="rId8"/>
          <w:pgSz w:w="12240" w:h="15840"/>
          <w:pgMar w:top="1440" w:right="1440" w:bottom="1440" w:left="1440" w:header="720" w:footer="720" w:gutter="0"/>
          <w:cols w:space="720"/>
          <w:titlePg/>
          <w:docGrid w:linePitch="381"/>
        </w:sectPr>
      </w:pPr>
    </w:p>
    <w:p w14:paraId="48A30E56" w14:textId="725F102C" w:rsidR="00834B0C" w:rsidRDefault="005A27EF" w:rsidP="00291FC1">
      <w:pPr>
        <w:tabs>
          <w:tab w:val="left" w:pos="4680"/>
        </w:tabs>
        <w:spacing w:after="120"/>
        <w:contextualSpacing/>
        <w:jc w:val="center"/>
        <w:rPr>
          <w:b/>
          <w:bCs/>
          <w:szCs w:val="26"/>
          <w:u w:val="single"/>
        </w:rPr>
      </w:pPr>
      <w:r>
        <w:rPr>
          <w:b/>
          <w:bCs/>
          <w:szCs w:val="26"/>
          <w:u w:val="single"/>
        </w:rPr>
        <w:lastRenderedPageBreak/>
        <w:t>INDEX</w:t>
      </w:r>
    </w:p>
    <w:p w14:paraId="23E871DA" w14:textId="77777777" w:rsidR="000336C5" w:rsidRDefault="000336C5" w:rsidP="00932ADC">
      <w:pPr>
        <w:tabs>
          <w:tab w:val="left" w:pos="4680"/>
        </w:tabs>
        <w:spacing w:after="120"/>
        <w:contextualSpacing/>
        <w:rPr>
          <w:szCs w:val="26"/>
        </w:rPr>
      </w:pPr>
    </w:p>
    <w:p w14:paraId="43FC4A4A" w14:textId="2614F262" w:rsidR="005A27EF" w:rsidRDefault="005A27EF" w:rsidP="00291FC1">
      <w:pPr>
        <w:tabs>
          <w:tab w:val="right" w:leader="dot" w:pos="7200"/>
        </w:tabs>
        <w:contextualSpacing/>
        <w:rPr>
          <w:szCs w:val="26"/>
        </w:rPr>
      </w:pPr>
      <w:r>
        <w:rPr>
          <w:szCs w:val="26"/>
        </w:rPr>
        <w:t>TABLE OF AUTHORITIES</w:t>
      </w:r>
      <w:r w:rsidR="009565CA">
        <w:rPr>
          <w:szCs w:val="26"/>
        </w:rPr>
        <w:tab/>
      </w:r>
      <w:r w:rsidR="00306FC4">
        <w:rPr>
          <w:szCs w:val="26"/>
        </w:rPr>
        <w:t>iii</w:t>
      </w:r>
    </w:p>
    <w:p w14:paraId="0D33FFC4" w14:textId="77777777" w:rsidR="009565CA" w:rsidRDefault="009565CA" w:rsidP="000336C5">
      <w:pPr>
        <w:tabs>
          <w:tab w:val="right" w:leader="dot" w:pos="7200"/>
        </w:tabs>
        <w:contextualSpacing/>
        <w:rPr>
          <w:szCs w:val="26"/>
        </w:rPr>
      </w:pPr>
    </w:p>
    <w:p w14:paraId="58AF94A6" w14:textId="7A502831" w:rsidR="005A27EF" w:rsidRDefault="005A27EF" w:rsidP="00291FC1">
      <w:pPr>
        <w:tabs>
          <w:tab w:val="right" w:leader="dot" w:pos="7200"/>
        </w:tabs>
        <w:contextualSpacing/>
        <w:rPr>
          <w:szCs w:val="26"/>
        </w:rPr>
      </w:pPr>
      <w:r>
        <w:rPr>
          <w:szCs w:val="26"/>
        </w:rPr>
        <w:t>ISSUES PRESENTED</w:t>
      </w:r>
      <w:r w:rsidR="009565CA">
        <w:rPr>
          <w:szCs w:val="26"/>
        </w:rPr>
        <w:tab/>
      </w:r>
      <w:r w:rsidR="000E72B0">
        <w:rPr>
          <w:szCs w:val="26"/>
        </w:rPr>
        <w:t>1</w:t>
      </w:r>
    </w:p>
    <w:p w14:paraId="39CFEA48" w14:textId="77777777" w:rsidR="009565CA" w:rsidRDefault="009565CA" w:rsidP="000336C5">
      <w:pPr>
        <w:tabs>
          <w:tab w:val="right" w:leader="dot" w:pos="7200"/>
        </w:tabs>
        <w:contextualSpacing/>
        <w:rPr>
          <w:szCs w:val="26"/>
        </w:rPr>
      </w:pPr>
    </w:p>
    <w:p w14:paraId="4B3D470A" w14:textId="729AA83D" w:rsidR="005A27EF" w:rsidRDefault="005A27EF" w:rsidP="00291FC1">
      <w:pPr>
        <w:tabs>
          <w:tab w:val="right" w:leader="dot" w:pos="7200"/>
        </w:tabs>
        <w:contextualSpacing/>
        <w:rPr>
          <w:szCs w:val="26"/>
        </w:rPr>
      </w:pPr>
      <w:r>
        <w:rPr>
          <w:szCs w:val="26"/>
        </w:rPr>
        <w:t>STATEMENT OF THE CASE</w:t>
      </w:r>
      <w:r w:rsidR="009565CA">
        <w:rPr>
          <w:szCs w:val="26"/>
        </w:rPr>
        <w:tab/>
      </w:r>
      <w:r w:rsidR="000E72B0">
        <w:rPr>
          <w:szCs w:val="26"/>
        </w:rPr>
        <w:t>2</w:t>
      </w:r>
    </w:p>
    <w:p w14:paraId="6CEB111A" w14:textId="77777777" w:rsidR="009565CA" w:rsidRDefault="009565CA" w:rsidP="000336C5">
      <w:pPr>
        <w:tabs>
          <w:tab w:val="right" w:leader="dot" w:pos="7200"/>
        </w:tabs>
        <w:contextualSpacing/>
        <w:rPr>
          <w:szCs w:val="26"/>
        </w:rPr>
      </w:pPr>
    </w:p>
    <w:p w14:paraId="2FFFCC17" w14:textId="77777777" w:rsidR="009565CA" w:rsidRDefault="005A27EF" w:rsidP="000336C5">
      <w:pPr>
        <w:tabs>
          <w:tab w:val="right" w:leader="dot" w:pos="7200"/>
        </w:tabs>
        <w:contextualSpacing/>
        <w:rPr>
          <w:szCs w:val="26"/>
        </w:rPr>
      </w:pPr>
      <w:r>
        <w:rPr>
          <w:szCs w:val="26"/>
        </w:rPr>
        <w:t xml:space="preserve">STATEMENT OF THE GROUNDS FOR APPELLATE </w:t>
      </w:r>
    </w:p>
    <w:p w14:paraId="5C43F169" w14:textId="32352E50" w:rsidR="005A27EF" w:rsidRDefault="005A27EF" w:rsidP="00291FC1">
      <w:pPr>
        <w:tabs>
          <w:tab w:val="right" w:leader="dot" w:pos="7200"/>
        </w:tabs>
        <w:contextualSpacing/>
        <w:rPr>
          <w:szCs w:val="26"/>
        </w:rPr>
      </w:pPr>
      <w:r>
        <w:rPr>
          <w:szCs w:val="26"/>
        </w:rPr>
        <w:t>REVIEW</w:t>
      </w:r>
      <w:r w:rsidR="009565CA">
        <w:rPr>
          <w:szCs w:val="26"/>
        </w:rPr>
        <w:tab/>
      </w:r>
      <w:r w:rsidR="000E72B0">
        <w:rPr>
          <w:szCs w:val="26"/>
        </w:rPr>
        <w:t>2</w:t>
      </w:r>
    </w:p>
    <w:p w14:paraId="15CCD998" w14:textId="77777777" w:rsidR="009565CA" w:rsidRDefault="009565CA" w:rsidP="000336C5">
      <w:pPr>
        <w:tabs>
          <w:tab w:val="right" w:leader="dot" w:pos="7200"/>
        </w:tabs>
        <w:contextualSpacing/>
        <w:rPr>
          <w:szCs w:val="26"/>
        </w:rPr>
      </w:pPr>
    </w:p>
    <w:p w14:paraId="3AB09F98" w14:textId="3D3E7A2C" w:rsidR="005A27EF" w:rsidRDefault="005A27EF" w:rsidP="00291FC1">
      <w:pPr>
        <w:tabs>
          <w:tab w:val="right" w:leader="dot" w:pos="7200"/>
        </w:tabs>
        <w:contextualSpacing/>
        <w:rPr>
          <w:szCs w:val="26"/>
        </w:rPr>
      </w:pPr>
      <w:r>
        <w:rPr>
          <w:szCs w:val="26"/>
        </w:rPr>
        <w:t>STATEMENT OF THE FACTS</w:t>
      </w:r>
      <w:r w:rsidR="009565CA">
        <w:rPr>
          <w:szCs w:val="26"/>
        </w:rPr>
        <w:tab/>
      </w:r>
      <w:r w:rsidR="000E72B0">
        <w:rPr>
          <w:szCs w:val="26"/>
        </w:rPr>
        <w:t>3</w:t>
      </w:r>
    </w:p>
    <w:p w14:paraId="7C57A6A8" w14:textId="77777777" w:rsidR="009565CA" w:rsidRDefault="009565CA" w:rsidP="000336C5">
      <w:pPr>
        <w:tabs>
          <w:tab w:val="right" w:leader="dot" w:pos="7200"/>
        </w:tabs>
        <w:contextualSpacing/>
        <w:rPr>
          <w:szCs w:val="26"/>
        </w:rPr>
      </w:pPr>
    </w:p>
    <w:p w14:paraId="6BA87FFA" w14:textId="20E1ABEC" w:rsidR="005A27EF" w:rsidRDefault="005A27EF" w:rsidP="00291FC1">
      <w:pPr>
        <w:tabs>
          <w:tab w:val="right" w:leader="dot" w:pos="7200"/>
        </w:tabs>
        <w:contextualSpacing/>
        <w:rPr>
          <w:szCs w:val="26"/>
        </w:rPr>
      </w:pPr>
      <w:r>
        <w:rPr>
          <w:szCs w:val="26"/>
        </w:rPr>
        <w:t>ARGUMENT</w:t>
      </w:r>
      <w:r w:rsidR="009565CA">
        <w:rPr>
          <w:szCs w:val="26"/>
        </w:rPr>
        <w:tab/>
      </w:r>
      <w:r w:rsidR="000E72B0">
        <w:rPr>
          <w:szCs w:val="26"/>
        </w:rPr>
        <w:t>8</w:t>
      </w:r>
    </w:p>
    <w:p w14:paraId="4F52A8F6" w14:textId="77777777" w:rsidR="009565CA" w:rsidRDefault="009565CA" w:rsidP="000336C5">
      <w:pPr>
        <w:tabs>
          <w:tab w:val="right" w:leader="dot" w:pos="7200"/>
        </w:tabs>
        <w:contextualSpacing/>
        <w:rPr>
          <w:szCs w:val="26"/>
        </w:rPr>
      </w:pPr>
    </w:p>
    <w:p w14:paraId="642A5F45" w14:textId="0C8D5095" w:rsidR="005A27EF" w:rsidRPr="009565CA" w:rsidRDefault="005A27EF" w:rsidP="00291FC1">
      <w:pPr>
        <w:tabs>
          <w:tab w:val="right" w:leader="dot" w:pos="7200"/>
        </w:tabs>
        <w:ind w:left="1440" w:right="720" w:hanging="720"/>
        <w:contextualSpacing/>
        <w:jc w:val="both"/>
        <w:rPr>
          <w:szCs w:val="26"/>
        </w:rPr>
      </w:pPr>
      <w:r>
        <w:rPr>
          <w:szCs w:val="26"/>
        </w:rPr>
        <w:t>I.</w:t>
      </w:r>
      <w:r w:rsidR="000E72B0">
        <w:rPr>
          <w:szCs w:val="26"/>
        </w:rPr>
        <w:tab/>
      </w:r>
      <w:r>
        <w:rPr>
          <w:szCs w:val="26"/>
        </w:rPr>
        <w:t xml:space="preserve">The </w:t>
      </w:r>
      <w:r w:rsidRPr="005A27EF">
        <w:rPr>
          <w:szCs w:val="26"/>
        </w:rPr>
        <w:t xml:space="preserve">trial court abused its discretion by admitting Sealy’s DNA opinion testimony without fulfilling its gatekeeping duty to determine the reliability of the DNA testimony under Rule of Evidence 702 and </w:t>
      </w:r>
      <w:r w:rsidRPr="00291FC1">
        <w:rPr>
          <w:i/>
          <w:iCs/>
          <w:szCs w:val="26"/>
        </w:rPr>
        <w:t>State v. McGrady</w:t>
      </w:r>
      <w:r w:rsidR="009565CA">
        <w:rPr>
          <w:szCs w:val="26"/>
        </w:rPr>
        <w:tab/>
      </w:r>
      <w:r w:rsidR="000E72B0">
        <w:rPr>
          <w:szCs w:val="26"/>
        </w:rPr>
        <w:t>8</w:t>
      </w:r>
    </w:p>
    <w:p w14:paraId="5E8728C3" w14:textId="77777777" w:rsidR="009565CA" w:rsidRDefault="009565CA" w:rsidP="000336C5">
      <w:pPr>
        <w:tabs>
          <w:tab w:val="right" w:leader="dot" w:pos="7200"/>
        </w:tabs>
        <w:contextualSpacing/>
        <w:rPr>
          <w:szCs w:val="26"/>
        </w:rPr>
      </w:pPr>
    </w:p>
    <w:p w14:paraId="07AEDBA0" w14:textId="2459216C" w:rsidR="005A27EF" w:rsidRDefault="005A27EF" w:rsidP="00291FC1">
      <w:pPr>
        <w:tabs>
          <w:tab w:val="right" w:leader="dot" w:pos="7200"/>
        </w:tabs>
        <w:ind w:left="2160" w:right="720" w:hanging="720"/>
        <w:contextualSpacing/>
        <w:jc w:val="both"/>
        <w:rPr>
          <w:szCs w:val="26"/>
        </w:rPr>
      </w:pPr>
      <w:r>
        <w:rPr>
          <w:szCs w:val="26"/>
        </w:rPr>
        <w:t>A.</w:t>
      </w:r>
      <w:r w:rsidR="000E72B0">
        <w:rPr>
          <w:szCs w:val="26"/>
        </w:rPr>
        <w:tab/>
      </w:r>
      <w:r>
        <w:rPr>
          <w:szCs w:val="26"/>
        </w:rPr>
        <w:t>Standard of Review and Preservation</w:t>
      </w:r>
      <w:r w:rsidR="009565CA">
        <w:rPr>
          <w:szCs w:val="26"/>
        </w:rPr>
        <w:tab/>
      </w:r>
      <w:r w:rsidR="000E72B0">
        <w:rPr>
          <w:szCs w:val="26"/>
        </w:rPr>
        <w:t>8</w:t>
      </w:r>
    </w:p>
    <w:p w14:paraId="15877FEC" w14:textId="77777777" w:rsidR="009565CA" w:rsidRDefault="009565CA" w:rsidP="00291FC1">
      <w:pPr>
        <w:tabs>
          <w:tab w:val="right" w:leader="dot" w:pos="7200"/>
        </w:tabs>
        <w:ind w:left="2160" w:right="720" w:hanging="720"/>
        <w:contextualSpacing/>
        <w:jc w:val="both"/>
        <w:rPr>
          <w:szCs w:val="26"/>
        </w:rPr>
      </w:pPr>
    </w:p>
    <w:p w14:paraId="3FB6A0B8" w14:textId="0A63F60B" w:rsidR="005A27EF" w:rsidRDefault="005A27EF" w:rsidP="00291FC1">
      <w:pPr>
        <w:tabs>
          <w:tab w:val="right" w:leader="dot" w:pos="7200"/>
        </w:tabs>
        <w:ind w:left="2160" w:right="720" w:hanging="720"/>
        <w:contextualSpacing/>
        <w:jc w:val="both"/>
        <w:rPr>
          <w:szCs w:val="26"/>
        </w:rPr>
      </w:pPr>
      <w:r>
        <w:rPr>
          <w:szCs w:val="26"/>
        </w:rPr>
        <w:t>B.</w:t>
      </w:r>
      <w:r w:rsidR="000E72B0">
        <w:rPr>
          <w:szCs w:val="26"/>
        </w:rPr>
        <w:tab/>
      </w:r>
      <w:r>
        <w:rPr>
          <w:szCs w:val="26"/>
        </w:rPr>
        <w:t xml:space="preserve">Rule </w:t>
      </w:r>
      <w:r w:rsidR="000336C5" w:rsidRPr="000336C5">
        <w:rPr>
          <w:szCs w:val="26"/>
        </w:rPr>
        <w:t>702’s reliability test requires sufficient data, reliable principles, and the reliable application of those principles to the data</w:t>
      </w:r>
      <w:r w:rsidR="009565CA">
        <w:rPr>
          <w:szCs w:val="26"/>
        </w:rPr>
        <w:tab/>
      </w:r>
      <w:r w:rsidR="000E72B0">
        <w:rPr>
          <w:szCs w:val="26"/>
        </w:rPr>
        <w:t>9</w:t>
      </w:r>
    </w:p>
    <w:p w14:paraId="51226E2D" w14:textId="77777777" w:rsidR="009565CA" w:rsidRDefault="009565CA" w:rsidP="00291FC1">
      <w:pPr>
        <w:tabs>
          <w:tab w:val="right" w:leader="dot" w:pos="7200"/>
        </w:tabs>
        <w:ind w:left="2160" w:right="720" w:hanging="720"/>
        <w:contextualSpacing/>
        <w:jc w:val="both"/>
        <w:rPr>
          <w:szCs w:val="26"/>
        </w:rPr>
      </w:pPr>
    </w:p>
    <w:p w14:paraId="5EBE19FC" w14:textId="0F29D431" w:rsidR="000336C5" w:rsidRDefault="000336C5" w:rsidP="00291FC1">
      <w:pPr>
        <w:tabs>
          <w:tab w:val="right" w:leader="dot" w:pos="7200"/>
        </w:tabs>
        <w:ind w:left="2160" w:right="720" w:hanging="720"/>
        <w:contextualSpacing/>
        <w:jc w:val="both"/>
        <w:rPr>
          <w:szCs w:val="26"/>
        </w:rPr>
      </w:pPr>
      <w:r>
        <w:rPr>
          <w:szCs w:val="26"/>
        </w:rPr>
        <w:t>C.</w:t>
      </w:r>
      <w:r w:rsidR="000E72B0">
        <w:rPr>
          <w:szCs w:val="26"/>
        </w:rPr>
        <w:tab/>
      </w:r>
      <w:r>
        <w:rPr>
          <w:szCs w:val="26"/>
        </w:rPr>
        <w:t xml:space="preserve">The </w:t>
      </w:r>
      <w:r w:rsidRPr="000336C5">
        <w:rPr>
          <w:szCs w:val="26"/>
        </w:rPr>
        <w:t xml:space="preserve">trial court failed to perform its “gatekeeping” duty when it denied defense counsel’s request to </w:t>
      </w:r>
      <w:proofErr w:type="spellStart"/>
      <w:r w:rsidRPr="000336C5">
        <w:rPr>
          <w:szCs w:val="26"/>
        </w:rPr>
        <w:t>voir</w:t>
      </w:r>
      <w:proofErr w:type="spellEnd"/>
      <w:r w:rsidRPr="000336C5">
        <w:rPr>
          <w:szCs w:val="26"/>
        </w:rPr>
        <w:t xml:space="preserve"> dire Sealy.  The trial court compounded this error by denying counsel’s request to give an offer of proof concerning the foundation for Sealy’s DNA opinion testimony</w:t>
      </w:r>
      <w:r w:rsidR="009565CA">
        <w:rPr>
          <w:szCs w:val="26"/>
        </w:rPr>
        <w:tab/>
      </w:r>
      <w:r w:rsidR="000E72B0">
        <w:rPr>
          <w:szCs w:val="26"/>
        </w:rPr>
        <w:t>11</w:t>
      </w:r>
    </w:p>
    <w:p w14:paraId="109ACCEC" w14:textId="77777777" w:rsidR="009565CA" w:rsidRDefault="009565CA" w:rsidP="00291FC1">
      <w:pPr>
        <w:tabs>
          <w:tab w:val="right" w:leader="dot" w:pos="7200"/>
        </w:tabs>
        <w:ind w:left="2160" w:right="720" w:hanging="720"/>
        <w:contextualSpacing/>
        <w:jc w:val="both"/>
        <w:rPr>
          <w:szCs w:val="26"/>
        </w:rPr>
      </w:pPr>
    </w:p>
    <w:p w14:paraId="56DBA55B" w14:textId="680585A3" w:rsidR="000336C5" w:rsidRDefault="000336C5" w:rsidP="00291FC1">
      <w:pPr>
        <w:keepNext/>
        <w:keepLines/>
        <w:tabs>
          <w:tab w:val="right" w:leader="dot" w:pos="7200"/>
        </w:tabs>
        <w:ind w:left="2160" w:right="720" w:hanging="720"/>
        <w:contextualSpacing/>
        <w:jc w:val="both"/>
        <w:rPr>
          <w:szCs w:val="26"/>
        </w:rPr>
      </w:pPr>
      <w:r>
        <w:rPr>
          <w:szCs w:val="26"/>
        </w:rPr>
        <w:lastRenderedPageBreak/>
        <w:t>D.</w:t>
      </w:r>
      <w:r w:rsidR="000E72B0">
        <w:rPr>
          <w:szCs w:val="26"/>
        </w:rPr>
        <w:tab/>
      </w:r>
      <w:r>
        <w:rPr>
          <w:szCs w:val="26"/>
        </w:rPr>
        <w:t xml:space="preserve">The </w:t>
      </w:r>
      <w:proofErr w:type="spellStart"/>
      <w:r w:rsidRPr="000336C5">
        <w:rPr>
          <w:szCs w:val="26"/>
        </w:rPr>
        <w:t>The</w:t>
      </w:r>
      <w:proofErr w:type="spellEnd"/>
      <w:r w:rsidRPr="000336C5">
        <w:rPr>
          <w:szCs w:val="26"/>
        </w:rPr>
        <w:t xml:space="preserve"> trial court abused its discretion in admitting the testimony when Sealy’s testimony did not satisfy Rule 702’s reliability prongs and by not making any reliability findings</w:t>
      </w:r>
      <w:r w:rsidR="009565CA">
        <w:rPr>
          <w:szCs w:val="26"/>
        </w:rPr>
        <w:tab/>
      </w:r>
      <w:r w:rsidR="000E72B0">
        <w:rPr>
          <w:szCs w:val="26"/>
        </w:rPr>
        <w:t>18</w:t>
      </w:r>
    </w:p>
    <w:p w14:paraId="08340BF5" w14:textId="77777777" w:rsidR="009565CA" w:rsidRDefault="009565CA" w:rsidP="00291FC1">
      <w:pPr>
        <w:tabs>
          <w:tab w:val="right" w:leader="dot" w:pos="7200"/>
        </w:tabs>
        <w:ind w:left="2160" w:right="720" w:hanging="720"/>
        <w:contextualSpacing/>
        <w:jc w:val="both"/>
        <w:rPr>
          <w:szCs w:val="26"/>
        </w:rPr>
      </w:pPr>
    </w:p>
    <w:p w14:paraId="58D353F8" w14:textId="7CC96A50" w:rsidR="000336C5" w:rsidRDefault="000336C5" w:rsidP="00291FC1">
      <w:pPr>
        <w:tabs>
          <w:tab w:val="right" w:leader="dot" w:pos="7200"/>
        </w:tabs>
        <w:ind w:left="2160" w:right="720" w:hanging="720"/>
        <w:contextualSpacing/>
        <w:jc w:val="both"/>
        <w:rPr>
          <w:szCs w:val="26"/>
        </w:rPr>
      </w:pPr>
      <w:r>
        <w:rPr>
          <w:szCs w:val="26"/>
        </w:rPr>
        <w:t>E.</w:t>
      </w:r>
      <w:r w:rsidR="000E72B0">
        <w:rPr>
          <w:szCs w:val="26"/>
        </w:rPr>
        <w:tab/>
      </w:r>
      <w:r>
        <w:rPr>
          <w:szCs w:val="26"/>
        </w:rPr>
        <w:t>The trial court’s error prejudiced Mr. Rodgers</w:t>
      </w:r>
      <w:r w:rsidR="009565CA">
        <w:rPr>
          <w:szCs w:val="26"/>
        </w:rPr>
        <w:tab/>
      </w:r>
      <w:r w:rsidR="000E72B0">
        <w:rPr>
          <w:szCs w:val="26"/>
        </w:rPr>
        <w:t>31</w:t>
      </w:r>
    </w:p>
    <w:p w14:paraId="058F2B29" w14:textId="77777777" w:rsidR="009565CA" w:rsidRDefault="009565CA" w:rsidP="000336C5">
      <w:pPr>
        <w:tabs>
          <w:tab w:val="right" w:leader="dot" w:pos="7200"/>
        </w:tabs>
        <w:contextualSpacing/>
        <w:rPr>
          <w:szCs w:val="26"/>
        </w:rPr>
      </w:pPr>
    </w:p>
    <w:p w14:paraId="4946E837" w14:textId="6A505A58" w:rsidR="000336C5" w:rsidRDefault="000336C5" w:rsidP="00291FC1">
      <w:pPr>
        <w:tabs>
          <w:tab w:val="right" w:leader="dot" w:pos="7200"/>
        </w:tabs>
        <w:ind w:left="1440" w:right="720" w:hanging="720"/>
        <w:contextualSpacing/>
        <w:jc w:val="both"/>
        <w:rPr>
          <w:szCs w:val="26"/>
        </w:rPr>
      </w:pPr>
      <w:r>
        <w:rPr>
          <w:szCs w:val="26"/>
        </w:rPr>
        <w:t>II.</w:t>
      </w:r>
      <w:r w:rsidR="000E72B0">
        <w:rPr>
          <w:szCs w:val="26"/>
        </w:rPr>
        <w:tab/>
      </w:r>
      <w:proofErr w:type="gramStart"/>
      <w:r>
        <w:rPr>
          <w:szCs w:val="26"/>
        </w:rPr>
        <w:t xml:space="preserve">The  </w:t>
      </w:r>
      <w:r w:rsidRPr="000336C5">
        <w:rPr>
          <w:szCs w:val="26"/>
        </w:rPr>
        <w:t>trial</w:t>
      </w:r>
      <w:proofErr w:type="gramEnd"/>
      <w:r w:rsidRPr="000336C5">
        <w:rPr>
          <w:szCs w:val="26"/>
        </w:rPr>
        <w:t xml:space="preserve"> court erred in denying Mr. Rodgers’s motions to dismiss because the evidence of sexual battery and larceny was insufficient to support the verdicts</w:t>
      </w:r>
      <w:r w:rsidR="009565CA">
        <w:rPr>
          <w:szCs w:val="26"/>
        </w:rPr>
        <w:tab/>
      </w:r>
      <w:r w:rsidR="000E72B0">
        <w:rPr>
          <w:szCs w:val="26"/>
        </w:rPr>
        <w:t>32</w:t>
      </w:r>
    </w:p>
    <w:p w14:paraId="60BE399B" w14:textId="77777777" w:rsidR="009565CA" w:rsidRDefault="009565CA" w:rsidP="000336C5">
      <w:pPr>
        <w:tabs>
          <w:tab w:val="right" w:leader="dot" w:pos="7200"/>
        </w:tabs>
        <w:contextualSpacing/>
        <w:rPr>
          <w:szCs w:val="26"/>
        </w:rPr>
      </w:pPr>
    </w:p>
    <w:p w14:paraId="22F23E95" w14:textId="46373B10" w:rsidR="000336C5" w:rsidRDefault="000336C5" w:rsidP="00291FC1">
      <w:pPr>
        <w:tabs>
          <w:tab w:val="right" w:leader="dot" w:pos="7200"/>
        </w:tabs>
        <w:ind w:left="2160" w:right="720" w:hanging="720"/>
        <w:contextualSpacing/>
        <w:jc w:val="both"/>
        <w:rPr>
          <w:szCs w:val="26"/>
        </w:rPr>
      </w:pPr>
      <w:r>
        <w:rPr>
          <w:szCs w:val="26"/>
        </w:rPr>
        <w:t>A.</w:t>
      </w:r>
      <w:r w:rsidR="000E72B0">
        <w:rPr>
          <w:szCs w:val="26"/>
        </w:rPr>
        <w:tab/>
      </w:r>
      <w:r>
        <w:rPr>
          <w:szCs w:val="26"/>
        </w:rPr>
        <w:t>Standard of Review</w:t>
      </w:r>
      <w:r w:rsidR="009565CA">
        <w:rPr>
          <w:szCs w:val="26"/>
        </w:rPr>
        <w:tab/>
      </w:r>
      <w:r w:rsidR="000E72B0">
        <w:rPr>
          <w:szCs w:val="26"/>
        </w:rPr>
        <w:t>32</w:t>
      </w:r>
    </w:p>
    <w:p w14:paraId="4235FEB4" w14:textId="77777777" w:rsidR="009565CA" w:rsidRDefault="009565CA" w:rsidP="00291FC1">
      <w:pPr>
        <w:tabs>
          <w:tab w:val="right" w:leader="dot" w:pos="7200"/>
        </w:tabs>
        <w:ind w:left="2160" w:right="720" w:hanging="720"/>
        <w:contextualSpacing/>
        <w:jc w:val="both"/>
        <w:rPr>
          <w:szCs w:val="26"/>
        </w:rPr>
      </w:pPr>
    </w:p>
    <w:p w14:paraId="3E78EAB5" w14:textId="227151C3" w:rsidR="009565CA" w:rsidRDefault="000336C5" w:rsidP="00291FC1">
      <w:pPr>
        <w:tabs>
          <w:tab w:val="right" w:leader="dot" w:pos="7200"/>
        </w:tabs>
        <w:ind w:left="2160" w:right="720" w:hanging="720"/>
        <w:contextualSpacing/>
        <w:jc w:val="both"/>
        <w:rPr>
          <w:szCs w:val="26"/>
        </w:rPr>
      </w:pPr>
      <w:r>
        <w:rPr>
          <w:szCs w:val="26"/>
        </w:rPr>
        <w:t>B.</w:t>
      </w:r>
      <w:r w:rsidR="000E72B0">
        <w:rPr>
          <w:szCs w:val="26"/>
        </w:rPr>
        <w:tab/>
      </w:r>
      <w:r>
        <w:rPr>
          <w:szCs w:val="26"/>
        </w:rPr>
        <w:t>Sexual Battery</w:t>
      </w:r>
      <w:r w:rsidR="009565CA">
        <w:rPr>
          <w:szCs w:val="26"/>
        </w:rPr>
        <w:tab/>
      </w:r>
      <w:r w:rsidR="000E72B0">
        <w:rPr>
          <w:szCs w:val="26"/>
        </w:rPr>
        <w:t>33</w:t>
      </w:r>
    </w:p>
    <w:p w14:paraId="541F7459" w14:textId="77777777" w:rsidR="009565CA" w:rsidRDefault="009565CA" w:rsidP="00291FC1">
      <w:pPr>
        <w:tabs>
          <w:tab w:val="right" w:leader="dot" w:pos="7200"/>
        </w:tabs>
        <w:ind w:left="2160" w:right="720" w:hanging="720"/>
        <w:contextualSpacing/>
        <w:jc w:val="both"/>
        <w:rPr>
          <w:szCs w:val="26"/>
        </w:rPr>
      </w:pPr>
    </w:p>
    <w:p w14:paraId="5CEC3A6F" w14:textId="568E59AC" w:rsidR="000336C5" w:rsidRDefault="000336C5" w:rsidP="00291FC1">
      <w:pPr>
        <w:tabs>
          <w:tab w:val="right" w:leader="dot" w:pos="7200"/>
        </w:tabs>
        <w:ind w:left="2160" w:right="720" w:hanging="720"/>
        <w:contextualSpacing/>
        <w:jc w:val="both"/>
        <w:rPr>
          <w:szCs w:val="26"/>
        </w:rPr>
      </w:pPr>
      <w:r>
        <w:rPr>
          <w:szCs w:val="26"/>
        </w:rPr>
        <w:t>C.</w:t>
      </w:r>
      <w:r w:rsidR="000E72B0">
        <w:rPr>
          <w:szCs w:val="26"/>
        </w:rPr>
        <w:tab/>
      </w:r>
      <w:r>
        <w:rPr>
          <w:szCs w:val="26"/>
        </w:rPr>
        <w:t>Larceny</w:t>
      </w:r>
      <w:r w:rsidR="009565CA">
        <w:rPr>
          <w:szCs w:val="26"/>
        </w:rPr>
        <w:tab/>
      </w:r>
      <w:r w:rsidR="000E72B0">
        <w:rPr>
          <w:szCs w:val="26"/>
        </w:rPr>
        <w:t>35</w:t>
      </w:r>
    </w:p>
    <w:p w14:paraId="4E98D02B" w14:textId="77777777" w:rsidR="009565CA" w:rsidRDefault="009565CA" w:rsidP="000336C5">
      <w:pPr>
        <w:tabs>
          <w:tab w:val="right" w:leader="dot" w:pos="7200"/>
        </w:tabs>
        <w:contextualSpacing/>
        <w:rPr>
          <w:szCs w:val="26"/>
        </w:rPr>
      </w:pPr>
    </w:p>
    <w:p w14:paraId="794368BD" w14:textId="2A59EBCE" w:rsidR="000336C5" w:rsidRDefault="000336C5" w:rsidP="00291FC1">
      <w:pPr>
        <w:tabs>
          <w:tab w:val="right" w:leader="dot" w:pos="7200"/>
        </w:tabs>
        <w:contextualSpacing/>
        <w:rPr>
          <w:szCs w:val="26"/>
        </w:rPr>
      </w:pPr>
      <w:r>
        <w:rPr>
          <w:szCs w:val="26"/>
        </w:rPr>
        <w:t>CONCLUSION</w:t>
      </w:r>
      <w:r w:rsidR="009565CA">
        <w:rPr>
          <w:szCs w:val="26"/>
        </w:rPr>
        <w:tab/>
      </w:r>
      <w:r w:rsidR="000E72B0">
        <w:rPr>
          <w:szCs w:val="26"/>
        </w:rPr>
        <w:t>38</w:t>
      </w:r>
    </w:p>
    <w:p w14:paraId="0504D899" w14:textId="77777777" w:rsidR="009565CA" w:rsidRDefault="009565CA" w:rsidP="000336C5">
      <w:pPr>
        <w:tabs>
          <w:tab w:val="right" w:leader="dot" w:pos="7200"/>
        </w:tabs>
        <w:contextualSpacing/>
        <w:rPr>
          <w:szCs w:val="26"/>
        </w:rPr>
      </w:pPr>
    </w:p>
    <w:p w14:paraId="78B56376" w14:textId="6EADA250" w:rsidR="000336C5" w:rsidRDefault="000336C5" w:rsidP="00291FC1">
      <w:pPr>
        <w:tabs>
          <w:tab w:val="right" w:leader="dot" w:pos="7200"/>
        </w:tabs>
        <w:contextualSpacing/>
        <w:rPr>
          <w:szCs w:val="26"/>
        </w:rPr>
      </w:pPr>
      <w:r>
        <w:rPr>
          <w:szCs w:val="26"/>
        </w:rPr>
        <w:t>CERTIFICATE OF COMPLIANCE WITH RULE 28(J)</w:t>
      </w:r>
      <w:r w:rsidR="009565CA">
        <w:rPr>
          <w:szCs w:val="26"/>
        </w:rPr>
        <w:tab/>
      </w:r>
      <w:r w:rsidR="000E72B0">
        <w:rPr>
          <w:szCs w:val="26"/>
        </w:rPr>
        <w:t>39</w:t>
      </w:r>
    </w:p>
    <w:p w14:paraId="6A57C6B5" w14:textId="77777777" w:rsidR="009565CA" w:rsidRDefault="009565CA" w:rsidP="000336C5">
      <w:pPr>
        <w:tabs>
          <w:tab w:val="right" w:leader="dot" w:pos="7200"/>
        </w:tabs>
        <w:contextualSpacing/>
        <w:rPr>
          <w:szCs w:val="26"/>
        </w:rPr>
      </w:pPr>
    </w:p>
    <w:p w14:paraId="1600AFB3" w14:textId="19968C45" w:rsidR="000336C5" w:rsidRDefault="000336C5" w:rsidP="00291FC1">
      <w:pPr>
        <w:tabs>
          <w:tab w:val="right" w:leader="dot" w:pos="7200"/>
        </w:tabs>
        <w:contextualSpacing/>
        <w:rPr>
          <w:szCs w:val="26"/>
        </w:rPr>
      </w:pPr>
      <w:r>
        <w:rPr>
          <w:szCs w:val="26"/>
        </w:rPr>
        <w:t>CERTIFICATE OF SERVICE</w:t>
      </w:r>
      <w:r w:rsidR="009565CA">
        <w:rPr>
          <w:szCs w:val="26"/>
        </w:rPr>
        <w:tab/>
      </w:r>
      <w:r w:rsidR="000E72B0">
        <w:rPr>
          <w:szCs w:val="26"/>
        </w:rPr>
        <w:t>40</w:t>
      </w:r>
    </w:p>
    <w:p w14:paraId="61CE00FE" w14:textId="70B5F668" w:rsidR="000336C5" w:rsidRDefault="000336C5" w:rsidP="00932ADC">
      <w:pPr>
        <w:tabs>
          <w:tab w:val="left" w:pos="4680"/>
        </w:tabs>
        <w:spacing w:after="120"/>
        <w:contextualSpacing/>
        <w:rPr>
          <w:szCs w:val="26"/>
        </w:rPr>
      </w:pPr>
      <w:r>
        <w:rPr>
          <w:szCs w:val="26"/>
        </w:rPr>
        <w:br w:type="page"/>
      </w:r>
    </w:p>
    <w:p w14:paraId="0FBAD92A" w14:textId="407C74AF" w:rsidR="000336C5" w:rsidRPr="00291FC1" w:rsidRDefault="000336C5" w:rsidP="00291FC1">
      <w:pPr>
        <w:tabs>
          <w:tab w:val="left" w:pos="4680"/>
        </w:tabs>
        <w:contextualSpacing/>
        <w:jc w:val="center"/>
        <w:rPr>
          <w:b/>
          <w:bCs/>
          <w:szCs w:val="26"/>
          <w:u w:val="single"/>
        </w:rPr>
      </w:pPr>
      <w:r w:rsidRPr="00291FC1">
        <w:rPr>
          <w:b/>
          <w:bCs/>
          <w:szCs w:val="26"/>
          <w:u w:val="single"/>
        </w:rPr>
        <w:t>TABLE OF AUTHORITIES</w:t>
      </w:r>
    </w:p>
    <w:p w14:paraId="12F46168" w14:textId="77777777" w:rsidR="001F4FA8" w:rsidRDefault="001F4FA8" w:rsidP="001F4FA8">
      <w:pPr>
        <w:pStyle w:val="TOAHeading"/>
        <w:tabs>
          <w:tab w:val="right" w:leader="dot" w:pos="7190"/>
        </w:tabs>
        <w:spacing w:before="0"/>
        <w:jc w:val="center"/>
        <w:rPr>
          <w:rFonts w:ascii="Century Schoolbook" w:hAnsi="Century Schoolbook"/>
          <w:sz w:val="26"/>
          <w:szCs w:val="26"/>
        </w:rPr>
      </w:pPr>
    </w:p>
    <w:p w14:paraId="1440AD56" w14:textId="55A0C00C" w:rsidR="00231898" w:rsidRPr="00291FC1" w:rsidRDefault="00231898" w:rsidP="00291FC1">
      <w:pPr>
        <w:pStyle w:val="TOAHeading"/>
        <w:tabs>
          <w:tab w:val="right" w:leader="dot" w:pos="7190"/>
        </w:tabs>
        <w:spacing w:before="0"/>
        <w:jc w:val="center"/>
        <w:rPr>
          <w:rFonts w:ascii="Century Schoolbook" w:eastAsiaTheme="minorEastAsia" w:hAnsi="Century Schoolbook" w:cstheme="minorBidi"/>
          <w:b w:val="0"/>
          <w:bCs w:val="0"/>
          <w:caps/>
          <w:noProof/>
          <w:sz w:val="26"/>
          <w:szCs w:val="26"/>
          <w:u w:val="single"/>
        </w:rPr>
      </w:pPr>
      <w:r w:rsidRPr="00291FC1">
        <w:rPr>
          <w:rFonts w:ascii="Century Schoolbook" w:hAnsi="Century Schoolbook"/>
          <w:sz w:val="26"/>
          <w:szCs w:val="26"/>
        </w:rPr>
        <w:fldChar w:fldCharType="begin"/>
      </w:r>
      <w:r w:rsidRPr="00291FC1">
        <w:rPr>
          <w:rFonts w:ascii="Century Schoolbook" w:hAnsi="Century Schoolbook"/>
          <w:sz w:val="26"/>
          <w:szCs w:val="26"/>
        </w:rPr>
        <w:instrText xml:space="preserve"> TOA \h \c "1" \p </w:instrText>
      </w:r>
      <w:r w:rsidRPr="00291FC1">
        <w:rPr>
          <w:rFonts w:ascii="Century Schoolbook" w:hAnsi="Century Schoolbook"/>
          <w:sz w:val="26"/>
          <w:szCs w:val="26"/>
        </w:rPr>
        <w:fldChar w:fldCharType="separate"/>
      </w:r>
      <w:r w:rsidRPr="00291FC1">
        <w:rPr>
          <w:rFonts w:ascii="Century Schoolbook" w:hAnsi="Century Schoolbook"/>
          <w:caps/>
          <w:noProof/>
          <w:sz w:val="26"/>
          <w:szCs w:val="26"/>
          <w:u w:val="single"/>
        </w:rPr>
        <w:t>Cases</w:t>
      </w:r>
    </w:p>
    <w:p w14:paraId="5320E23A" w14:textId="77777777" w:rsidR="00396A74" w:rsidRDefault="00396A74">
      <w:pPr>
        <w:pStyle w:val="TableofAuthorities"/>
        <w:tabs>
          <w:tab w:val="right" w:leader="dot" w:pos="7190"/>
        </w:tabs>
        <w:rPr>
          <w:rFonts w:cs="Courier New"/>
          <w:i/>
          <w:iCs/>
          <w:noProof/>
          <w:szCs w:val="26"/>
        </w:rPr>
      </w:pPr>
    </w:p>
    <w:p w14:paraId="4E129074" w14:textId="61C4BA03" w:rsidR="00396A74" w:rsidRDefault="00396A74" w:rsidP="00291FC1">
      <w:pPr>
        <w:pStyle w:val="TableofAuthorities"/>
        <w:tabs>
          <w:tab w:val="right" w:leader="dot" w:pos="7190"/>
        </w:tabs>
        <w:ind w:left="720" w:hanging="720"/>
        <w:rPr>
          <w:rFonts w:cs="Courier New"/>
          <w:noProof/>
          <w:szCs w:val="26"/>
        </w:rPr>
      </w:pPr>
      <w:r w:rsidRPr="00396A74">
        <w:rPr>
          <w:rFonts w:cs="Courier New"/>
          <w:i/>
          <w:iCs/>
          <w:noProof/>
          <w:szCs w:val="26"/>
        </w:rPr>
        <w:t>Daubert v. Merrell Dow Pharms., Inc.</w:t>
      </w:r>
      <w:r w:rsidRPr="00356710">
        <w:rPr>
          <w:rFonts w:cs="Courier New"/>
          <w:noProof/>
          <w:szCs w:val="26"/>
        </w:rPr>
        <w:t xml:space="preserve">, </w:t>
      </w:r>
    </w:p>
    <w:p w14:paraId="393C84F0" w14:textId="3A2EB6E8" w:rsidR="00396A74" w:rsidRDefault="001F4FA8" w:rsidP="00291FC1">
      <w:pPr>
        <w:pStyle w:val="TableofAuthorities"/>
        <w:tabs>
          <w:tab w:val="right" w:leader="dot" w:pos="7190"/>
        </w:tabs>
        <w:ind w:left="720" w:hanging="720"/>
        <w:rPr>
          <w:rFonts w:cs="Courier New"/>
          <w:i/>
          <w:iCs/>
          <w:noProof/>
          <w:szCs w:val="26"/>
        </w:rPr>
      </w:pPr>
      <w:r>
        <w:rPr>
          <w:rFonts w:cs="Courier New"/>
          <w:noProof/>
          <w:szCs w:val="26"/>
        </w:rPr>
        <w:tab/>
      </w:r>
      <w:r w:rsidR="00396A74" w:rsidRPr="00356710">
        <w:rPr>
          <w:rFonts w:cs="Courier New"/>
          <w:noProof/>
          <w:szCs w:val="26"/>
        </w:rPr>
        <w:t>509 U.S. 579 (1993)</w:t>
      </w:r>
      <w:r w:rsidR="00396A74">
        <w:rPr>
          <w:rFonts w:cs="Courier New"/>
          <w:noProof/>
          <w:szCs w:val="26"/>
        </w:rPr>
        <w:tab/>
        <w:t>9, 28</w:t>
      </w:r>
    </w:p>
    <w:p w14:paraId="4921AFB1" w14:textId="77777777" w:rsidR="00396A74" w:rsidRDefault="00396A74" w:rsidP="00291FC1">
      <w:pPr>
        <w:pStyle w:val="TableofAuthorities"/>
        <w:tabs>
          <w:tab w:val="right" w:leader="dot" w:pos="7190"/>
        </w:tabs>
        <w:ind w:left="720" w:hanging="720"/>
        <w:rPr>
          <w:i/>
          <w:iCs/>
          <w:noProof/>
          <w:szCs w:val="26"/>
        </w:rPr>
      </w:pPr>
    </w:p>
    <w:p w14:paraId="5E3E1883" w14:textId="77777777" w:rsidR="00442EDB" w:rsidRDefault="00231898" w:rsidP="00291FC1">
      <w:pPr>
        <w:pStyle w:val="TableofAuthorities"/>
        <w:tabs>
          <w:tab w:val="right" w:leader="dot" w:pos="7190"/>
        </w:tabs>
        <w:ind w:left="720" w:hanging="720"/>
        <w:rPr>
          <w:noProof/>
          <w:szCs w:val="26"/>
        </w:rPr>
      </w:pPr>
      <w:r w:rsidRPr="00291FC1">
        <w:rPr>
          <w:i/>
          <w:iCs/>
          <w:noProof/>
          <w:szCs w:val="26"/>
        </w:rPr>
        <w:t>General Electric Co. v. Joiner</w:t>
      </w:r>
      <w:r w:rsidRPr="00291FC1">
        <w:rPr>
          <w:noProof/>
          <w:szCs w:val="26"/>
        </w:rPr>
        <w:t xml:space="preserve">, </w:t>
      </w:r>
    </w:p>
    <w:p w14:paraId="56703046" w14:textId="2D2BBBF9"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522 U.S. 136 (1997)</w:t>
      </w:r>
      <w:r w:rsidR="00231898" w:rsidRPr="00291FC1">
        <w:rPr>
          <w:noProof/>
          <w:szCs w:val="26"/>
        </w:rPr>
        <w:tab/>
        <w:t>11</w:t>
      </w:r>
    </w:p>
    <w:p w14:paraId="7400BEF7" w14:textId="77777777" w:rsidR="00396A74" w:rsidRDefault="00396A74" w:rsidP="00291FC1">
      <w:pPr>
        <w:pStyle w:val="TableofAuthorities"/>
        <w:tabs>
          <w:tab w:val="right" w:leader="dot" w:pos="7190"/>
        </w:tabs>
        <w:ind w:left="720" w:hanging="720"/>
        <w:rPr>
          <w:i/>
          <w:iCs/>
          <w:noProof/>
          <w:szCs w:val="26"/>
        </w:rPr>
      </w:pPr>
    </w:p>
    <w:p w14:paraId="387CF3A6" w14:textId="77777777" w:rsidR="00442EDB" w:rsidRDefault="00231898" w:rsidP="00291FC1">
      <w:pPr>
        <w:pStyle w:val="TableofAuthorities"/>
        <w:tabs>
          <w:tab w:val="right" w:leader="dot" w:pos="7190"/>
        </w:tabs>
        <w:ind w:left="720" w:hanging="720"/>
        <w:rPr>
          <w:rFonts w:cs="Courier New"/>
          <w:noProof/>
          <w:szCs w:val="26"/>
        </w:rPr>
      </w:pPr>
      <w:r w:rsidRPr="00291FC1">
        <w:rPr>
          <w:rFonts w:cs="Courier New"/>
          <w:i/>
          <w:iCs/>
          <w:noProof/>
          <w:szCs w:val="26"/>
        </w:rPr>
        <w:t>Howerton v. Arai Helmet, Ltd.</w:t>
      </w:r>
      <w:r w:rsidRPr="00291FC1">
        <w:rPr>
          <w:rFonts w:cs="Courier New"/>
          <w:noProof/>
          <w:szCs w:val="26"/>
        </w:rPr>
        <w:t xml:space="preserve">, </w:t>
      </w:r>
    </w:p>
    <w:p w14:paraId="24E1C311" w14:textId="01D70332" w:rsidR="00231898" w:rsidRPr="00291FC1" w:rsidRDefault="001F4FA8" w:rsidP="00291FC1">
      <w:pPr>
        <w:pStyle w:val="TableofAuthorities"/>
        <w:tabs>
          <w:tab w:val="right" w:leader="dot" w:pos="7190"/>
        </w:tabs>
        <w:ind w:left="720" w:hanging="720"/>
        <w:rPr>
          <w:noProof/>
          <w:szCs w:val="26"/>
        </w:rPr>
      </w:pPr>
      <w:r>
        <w:rPr>
          <w:rFonts w:cs="Courier New"/>
          <w:noProof/>
          <w:szCs w:val="26"/>
        </w:rPr>
        <w:tab/>
      </w:r>
      <w:r w:rsidR="00231898" w:rsidRPr="00291FC1">
        <w:rPr>
          <w:rFonts w:cs="Courier New"/>
          <w:noProof/>
          <w:szCs w:val="26"/>
        </w:rPr>
        <w:t>358 N.C. 440 (2004)</w:t>
      </w:r>
      <w:r w:rsidR="00231898" w:rsidRPr="00291FC1">
        <w:rPr>
          <w:noProof/>
          <w:szCs w:val="26"/>
        </w:rPr>
        <w:tab/>
        <w:t>8</w:t>
      </w:r>
    </w:p>
    <w:p w14:paraId="5F52C10A" w14:textId="77777777" w:rsidR="00396A74" w:rsidRDefault="00396A74" w:rsidP="00291FC1">
      <w:pPr>
        <w:pStyle w:val="TableofAuthorities"/>
        <w:tabs>
          <w:tab w:val="right" w:leader="dot" w:pos="7190"/>
        </w:tabs>
        <w:ind w:left="720" w:hanging="720"/>
        <w:rPr>
          <w:i/>
          <w:iCs/>
          <w:noProof/>
          <w:szCs w:val="26"/>
        </w:rPr>
      </w:pPr>
    </w:p>
    <w:p w14:paraId="7715C36C" w14:textId="77777777" w:rsidR="00442EDB" w:rsidRDefault="00231898" w:rsidP="00291FC1">
      <w:pPr>
        <w:pStyle w:val="TableofAuthorities"/>
        <w:tabs>
          <w:tab w:val="right" w:leader="dot" w:pos="7190"/>
        </w:tabs>
        <w:ind w:left="720" w:hanging="720"/>
        <w:rPr>
          <w:noProof/>
          <w:szCs w:val="26"/>
        </w:rPr>
      </w:pPr>
      <w:r w:rsidRPr="00291FC1">
        <w:rPr>
          <w:i/>
          <w:iCs/>
          <w:noProof/>
          <w:szCs w:val="26"/>
        </w:rPr>
        <w:t>In re S.A.A.</w:t>
      </w:r>
      <w:r w:rsidRPr="00291FC1">
        <w:rPr>
          <w:noProof/>
          <w:szCs w:val="26"/>
        </w:rPr>
        <w:t xml:space="preserve">, </w:t>
      </w:r>
    </w:p>
    <w:p w14:paraId="59305466" w14:textId="30A2506F"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251 N.C. App. 131 (2016)</w:t>
      </w:r>
      <w:r w:rsidR="00231898" w:rsidRPr="00291FC1">
        <w:rPr>
          <w:noProof/>
          <w:szCs w:val="26"/>
        </w:rPr>
        <w:tab/>
        <w:t>33</w:t>
      </w:r>
    </w:p>
    <w:p w14:paraId="4001F5A3" w14:textId="77777777" w:rsidR="00396A74" w:rsidRDefault="00396A74" w:rsidP="00291FC1">
      <w:pPr>
        <w:pStyle w:val="TableofAuthorities"/>
        <w:tabs>
          <w:tab w:val="right" w:leader="dot" w:pos="7190"/>
        </w:tabs>
        <w:ind w:left="720" w:hanging="720"/>
        <w:rPr>
          <w:i/>
          <w:iCs/>
          <w:noProof/>
          <w:szCs w:val="26"/>
        </w:rPr>
      </w:pPr>
    </w:p>
    <w:p w14:paraId="56269ACC" w14:textId="77777777" w:rsidR="00442EDB" w:rsidRDefault="00231898" w:rsidP="00291FC1">
      <w:pPr>
        <w:pStyle w:val="TableofAuthorities"/>
        <w:tabs>
          <w:tab w:val="right" w:leader="dot" w:pos="7190"/>
        </w:tabs>
        <w:ind w:left="720" w:hanging="720"/>
        <w:rPr>
          <w:noProof/>
          <w:szCs w:val="26"/>
        </w:rPr>
      </w:pPr>
      <w:r w:rsidRPr="00291FC1">
        <w:rPr>
          <w:i/>
          <w:iCs/>
          <w:noProof/>
          <w:szCs w:val="26"/>
        </w:rPr>
        <w:t>Kumho Tire Co. v. Carmichael</w:t>
      </w:r>
      <w:r w:rsidRPr="00291FC1">
        <w:rPr>
          <w:noProof/>
          <w:szCs w:val="26"/>
        </w:rPr>
        <w:t xml:space="preserve">, </w:t>
      </w:r>
    </w:p>
    <w:p w14:paraId="2E22B595" w14:textId="2F380F12"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526 U.S. 137 (1999)</w:t>
      </w:r>
      <w:r w:rsidR="00231898" w:rsidRPr="00291FC1">
        <w:rPr>
          <w:noProof/>
          <w:szCs w:val="26"/>
        </w:rPr>
        <w:tab/>
        <w:t>11</w:t>
      </w:r>
      <w:r w:rsidR="00396A74">
        <w:rPr>
          <w:noProof/>
          <w:szCs w:val="26"/>
        </w:rPr>
        <w:t>, 12, 28</w:t>
      </w:r>
    </w:p>
    <w:p w14:paraId="7F0C8D10" w14:textId="77777777" w:rsidR="00396A74" w:rsidRDefault="00396A74" w:rsidP="00291FC1">
      <w:pPr>
        <w:pStyle w:val="TableofAuthorities"/>
        <w:tabs>
          <w:tab w:val="right" w:leader="dot" w:pos="7190"/>
        </w:tabs>
        <w:ind w:left="720" w:hanging="720"/>
        <w:rPr>
          <w:i/>
          <w:iCs/>
          <w:noProof/>
          <w:szCs w:val="26"/>
        </w:rPr>
      </w:pPr>
    </w:p>
    <w:p w14:paraId="7849C8E2" w14:textId="77777777" w:rsidR="00442EDB" w:rsidRDefault="00231898" w:rsidP="00291FC1">
      <w:pPr>
        <w:pStyle w:val="TableofAuthorities"/>
        <w:tabs>
          <w:tab w:val="right" w:leader="dot" w:pos="7190"/>
        </w:tabs>
        <w:ind w:left="720" w:hanging="720"/>
        <w:rPr>
          <w:noProof/>
          <w:szCs w:val="26"/>
        </w:rPr>
      </w:pPr>
      <w:r w:rsidRPr="00291FC1">
        <w:rPr>
          <w:i/>
          <w:iCs/>
          <w:noProof/>
          <w:szCs w:val="26"/>
        </w:rPr>
        <w:t>Manson v. Brathwaite</w:t>
      </w:r>
      <w:r w:rsidRPr="00291FC1">
        <w:rPr>
          <w:noProof/>
          <w:szCs w:val="26"/>
        </w:rPr>
        <w:t xml:space="preserve">, </w:t>
      </w:r>
    </w:p>
    <w:p w14:paraId="1004BA3F" w14:textId="14A6FE1B"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432 U.S. 98 (1977)</w:t>
      </w:r>
      <w:r w:rsidR="00231898" w:rsidRPr="00291FC1">
        <w:rPr>
          <w:noProof/>
          <w:szCs w:val="26"/>
        </w:rPr>
        <w:tab/>
        <w:t>15</w:t>
      </w:r>
    </w:p>
    <w:p w14:paraId="42754FA1" w14:textId="77777777" w:rsidR="00442EDB" w:rsidRDefault="00442EDB" w:rsidP="00291FC1">
      <w:pPr>
        <w:pStyle w:val="TableofAuthorities"/>
        <w:tabs>
          <w:tab w:val="right" w:leader="dot" w:pos="7190"/>
        </w:tabs>
        <w:ind w:left="720" w:hanging="720"/>
        <w:rPr>
          <w:noProof/>
          <w:szCs w:val="26"/>
        </w:rPr>
      </w:pPr>
    </w:p>
    <w:p w14:paraId="10CEE580"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Accor</w:t>
      </w:r>
      <w:r w:rsidRPr="00291FC1">
        <w:rPr>
          <w:noProof/>
          <w:szCs w:val="26"/>
        </w:rPr>
        <w:t xml:space="preserve">, </w:t>
      </w:r>
    </w:p>
    <w:p w14:paraId="4F56B713" w14:textId="656F201B"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277 N.C. 65 (1970)</w:t>
      </w:r>
      <w:r w:rsidR="00231898" w:rsidRPr="00291FC1">
        <w:rPr>
          <w:noProof/>
          <w:szCs w:val="26"/>
        </w:rPr>
        <w:tab/>
        <w:t>15</w:t>
      </w:r>
      <w:r w:rsidR="00442EDB">
        <w:rPr>
          <w:noProof/>
          <w:szCs w:val="26"/>
        </w:rPr>
        <w:t>, 16</w:t>
      </w:r>
    </w:p>
    <w:p w14:paraId="47EED6B6" w14:textId="77777777" w:rsidR="00442EDB" w:rsidRDefault="00442EDB" w:rsidP="00291FC1">
      <w:pPr>
        <w:pStyle w:val="TableofAuthorities"/>
        <w:tabs>
          <w:tab w:val="right" w:leader="dot" w:pos="7190"/>
        </w:tabs>
        <w:ind w:left="720" w:hanging="720"/>
        <w:rPr>
          <w:i/>
          <w:iCs/>
          <w:noProof/>
          <w:szCs w:val="26"/>
        </w:rPr>
      </w:pPr>
    </w:p>
    <w:p w14:paraId="7E1FED72"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Bagley</w:t>
      </w:r>
      <w:r w:rsidRPr="00291FC1">
        <w:rPr>
          <w:noProof/>
          <w:szCs w:val="26"/>
        </w:rPr>
        <w:t xml:space="preserve">, </w:t>
      </w:r>
    </w:p>
    <w:p w14:paraId="1EF512A0" w14:textId="27ADC02B"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183 N.C. App. 514 (2007)</w:t>
      </w:r>
      <w:r w:rsidR="00231898" w:rsidRPr="00291FC1">
        <w:rPr>
          <w:noProof/>
          <w:szCs w:val="26"/>
        </w:rPr>
        <w:tab/>
        <w:t>32</w:t>
      </w:r>
    </w:p>
    <w:p w14:paraId="64AC5FA4" w14:textId="77777777" w:rsidR="00442EDB" w:rsidRDefault="00442EDB" w:rsidP="00291FC1">
      <w:pPr>
        <w:pStyle w:val="TableofAuthorities"/>
        <w:tabs>
          <w:tab w:val="right" w:leader="dot" w:pos="7190"/>
        </w:tabs>
        <w:ind w:left="720" w:hanging="720"/>
        <w:rPr>
          <w:i/>
          <w:iCs/>
          <w:noProof/>
          <w:szCs w:val="26"/>
        </w:rPr>
      </w:pPr>
    </w:p>
    <w:p w14:paraId="57150256"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Bowman</w:t>
      </w:r>
      <w:r w:rsidRPr="00291FC1">
        <w:rPr>
          <w:noProof/>
          <w:szCs w:val="26"/>
        </w:rPr>
        <w:t xml:space="preserve">, </w:t>
      </w:r>
    </w:p>
    <w:p w14:paraId="3AD8569F" w14:textId="1A5BEA67"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84 N.C. App. 238 (1987)</w:t>
      </w:r>
      <w:r w:rsidR="00231898" w:rsidRPr="00291FC1">
        <w:rPr>
          <w:noProof/>
          <w:szCs w:val="26"/>
        </w:rPr>
        <w:tab/>
        <w:t>33</w:t>
      </w:r>
    </w:p>
    <w:p w14:paraId="37C1237D" w14:textId="77777777" w:rsidR="00442EDB" w:rsidRDefault="00442EDB" w:rsidP="00291FC1">
      <w:pPr>
        <w:pStyle w:val="TableofAuthorities"/>
        <w:tabs>
          <w:tab w:val="right" w:leader="dot" w:pos="7190"/>
        </w:tabs>
        <w:ind w:left="720" w:hanging="720"/>
        <w:rPr>
          <w:i/>
          <w:iCs/>
          <w:noProof/>
          <w:szCs w:val="26"/>
        </w:rPr>
      </w:pPr>
    </w:p>
    <w:p w14:paraId="262B09E5"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Brown</w:t>
      </w:r>
      <w:r w:rsidRPr="00291FC1">
        <w:rPr>
          <w:noProof/>
          <w:szCs w:val="26"/>
        </w:rPr>
        <w:t xml:space="preserve">, </w:t>
      </w:r>
    </w:p>
    <w:p w14:paraId="187FEB14" w14:textId="1D2930C0"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116 N.C. App. 445 (1994)</w:t>
      </w:r>
      <w:r w:rsidR="00231898" w:rsidRPr="00291FC1">
        <w:rPr>
          <w:noProof/>
          <w:szCs w:val="26"/>
        </w:rPr>
        <w:tab/>
        <w:t>17</w:t>
      </w:r>
    </w:p>
    <w:p w14:paraId="1D8E22EE" w14:textId="77777777" w:rsidR="00442EDB" w:rsidRDefault="00442EDB" w:rsidP="00291FC1">
      <w:pPr>
        <w:pStyle w:val="TableofAuthorities"/>
        <w:tabs>
          <w:tab w:val="right" w:leader="dot" w:pos="7190"/>
        </w:tabs>
        <w:ind w:left="720" w:hanging="720"/>
        <w:rPr>
          <w:i/>
          <w:iCs/>
          <w:noProof/>
          <w:szCs w:val="26"/>
        </w:rPr>
      </w:pPr>
    </w:p>
    <w:p w14:paraId="1FB9EEF4"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Brown</w:t>
      </w:r>
      <w:r w:rsidRPr="00291FC1">
        <w:rPr>
          <w:noProof/>
          <w:szCs w:val="26"/>
        </w:rPr>
        <w:t xml:space="preserve">, </w:t>
      </w:r>
    </w:p>
    <w:p w14:paraId="7E6A2585" w14:textId="4967E33E"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162 N.C. App. 333 (2004)</w:t>
      </w:r>
      <w:r w:rsidR="00231898" w:rsidRPr="00291FC1">
        <w:rPr>
          <w:noProof/>
          <w:szCs w:val="26"/>
        </w:rPr>
        <w:tab/>
        <w:t>32</w:t>
      </w:r>
      <w:r w:rsidR="00442EDB">
        <w:rPr>
          <w:noProof/>
          <w:szCs w:val="26"/>
        </w:rPr>
        <w:t>, 33</w:t>
      </w:r>
    </w:p>
    <w:p w14:paraId="2ABF09CF" w14:textId="77777777" w:rsidR="00442EDB" w:rsidRDefault="00442EDB" w:rsidP="00291FC1">
      <w:pPr>
        <w:pStyle w:val="TableofAuthorities"/>
        <w:tabs>
          <w:tab w:val="right" w:leader="dot" w:pos="7190"/>
        </w:tabs>
        <w:ind w:left="720" w:hanging="720"/>
        <w:rPr>
          <w:i/>
          <w:iCs/>
          <w:noProof/>
          <w:szCs w:val="26"/>
        </w:rPr>
      </w:pPr>
    </w:p>
    <w:p w14:paraId="0E086852"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Campbell</w:t>
      </w:r>
      <w:r w:rsidRPr="00291FC1">
        <w:rPr>
          <w:noProof/>
          <w:szCs w:val="26"/>
        </w:rPr>
        <w:t xml:space="preserve">, </w:t>
      </w:r>
    </w:p>
    <w:p w14:paraId="1194F457" w14:textId="3A083C44"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373 N.C. 216 (2019)</w:t>
      </w:r>
      <w:r w:rsidR="00231898" w:rsidRPr="00291FC1">
        <w:rPr>
          <w:noProof/>
          <w:szCs w:val="26"/>
        </w:rPr>
        <w:tab/>
        <w:t>35</w:t>
      </w:r>
      <w:r w:rsidR="00396A74">
        <w:rPr>
          <w:noProof/>
          <w:szCs w:val="26"/>
        </w:rPr>
        <w:t>, 36, 38</w:t>
      </w:r>
    </w:p>
    <w:p w14:paraId="4D53E9F6" w14:textId="77777777" w:rsidR="00442EDB" w:rsidRDefault="00442EDB" w:rsidP="00291FC1">
      <w:pPr>
        <w:pStyle w:val="TableofAuthorities"/>
        <w:tabs>
          <w:tab w:val="right" w:leader="dot" w:pos="7190"/>
        </w:tabs>
        <w:ind w:left="720" w:hanging="720"/>
        <w:rPr>
          <w:i/>
          <w:iCs/>
          <w:noProof/>
          <w:szCs w:val="26"/>
        </w:rPr>
      </w:pPr>
    </w:p>
    <w:p w14:paraId="7B25E758"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Chapman</w:t>
      </w:r>
      <w:r w:rsidRPr="00291FC1">
        <w:rPr>
          <w:noProof/>
          <w:szCs w:val="26"/>
        </w:rPr>
        <w:t xml:space="preserve">, </w:t>
      </w:r>
    </w:p>
    <w:p w14:paraId="1A6E7996" w14:textId="6FA8994E"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294 N.C. 407 (1978)</w:t>
      </w:r>
      <w:r w:rsidR="00231898" w:rsidRPr="00291FC1">
        <w:rPr>
          <w:noProof/>
          <w:szCs w:val="26"/>
        </w:rPr>
        <w:tab/>
        <w:t>17</w:t>
      </w:r>
      <w:r w:rsidR="00396A74">
        <w:rPr>
          <w:noProof/>
          <w:szCs w:val="26"/>
        </w:rPr>
        <w:t>, 18</w:t>
      </w:r>
    </w:p>
    <w:p w14:paraId="5C0438BB"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Fletcher</w:t>
      </w:r>
      <w:r w:rsidRPr="00291FC1">
        <w:rPr>
          <w:noProof/>
          <w:szCs w:val="26"/>
        </w:rPr>
        <w:t xml:space="preserve">, </w:t>
      </w:r>
    </w:p>
    <w:p w14:paraId="1B3B2A04" w14:textId="320E3C53"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370 N.C. 313 (2017)</w:t>
      </w:r>
      <w:r w:rsidR="00231898" w:rsidRPr="00291FC1">
        <w:rPr>
          <w:noProof/>
          <w:szCs w:val="26"/>
        </w:rPr>
        <w:tab/>
        <w:t>31</w:t>
      </w:r>
    </w:p>
    <w:p w14:paraId="48BFE209" w14:textId="77777777" w:rsidR="00442EDB" w:rsidRDefault="00442EDB" w:rsidP="00291FC1">
      <w:pPr>
        <w:pStyle w:val="TableofAuthorities"/>
        <w:tabs>
          <w:tab w:val="right" w:leader="dot" w:pos="7190"/>
        </w:tabs>
        <w:ind w:left="720" w:hanging="720"/>
        <w:rPr>
          <w:i/>
          <w:iCs/>
          <w:noProof/>
          <w:szCs w:val="26"/>
        </w:rPr>
      </w:pPr>
    </w:p>
    <w:p w14:paraId="2FC26D39"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Futrell</w:t>
      </w:r>
      <w:r w:rsidRPr="00291FC1">
        <w:rPr>
          <w:noProof/>
          <w:szCs w:val="26"/>
        </w:rPr>
        <w:t xml:space="preserve">, </w:t>
      </w:r>
    </w:p>
    <w:p w14:paraId="47C7899C" w14:textId="72EE1FF9"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112 N.C. App. 651 (1993)</w:t>
      </w:r>
      <w:r w:rsidR="00231898" w:rsidRPr="00291FC1">
        <w:rPr>
          <w:noProof/>
          <w:szCs w:val="26"/>
        </w:rPr>
        <w:tab/>
        <w:t>14</w:t>
      </w:r>
      <w:r w:rsidR="00396A74">
        <w:rPr>
          <w:noProof/>
          <w:szCs w:val="26"/>
        </w:rPr>
        <w:t>, 23, 28</w:t>
      </w:r>
    </w:p>
    <w:p w14:paraId="72B26CCE" w14:textId="77777777" w:rsidR="00442EDB" w:rsidRDefault="00442EDB" w:rsidP="00291FC1">
      <w:pPr>
        <w:pStyle w:val="TableofAuthorities"/>
        <w:tabs>
          <w:tab w:val="right" w:leader="dot" w:pos="7190"/>
        </w:tabs>
        <w:ind w:left="720" w:hanging="720"/>
        <w:rPr>
          <w:rFonts w:cs="Courier New"/>
          <w:i/>
          <w:iCs/>
          <w:noProof/>
          <w:szCs w:val="26"/>
        </w:rPr>
      </w:pPr>
    </w:p>
    <w:p w14:paraId="4A2CFF27" w14:textId="77777777" w:rsidR="00442EDB" w:rsidRDefault="00231898" w:rsidP="00291FC1">
      <w:pPr>
        <w:pStyle w:val="TableofAuthorities"/>
        <w:tabs>
          <w:tab w:val="right" w:leader="dot" w:pos="7190"/>
        </w:tabs>
        <w:ind w:left="720" w:hanging="720"/>
        <w:rPr>
          <w:rFonts w:cs="Courier New"/>
          <w:noProof/>
          <w:szCs w:val="26"/>
        </w:rPr>
      </w:pPr>
      <w:r w:rsidRPr="00291FC1">
        <w:rPr>
          <w:rFonts w:cs="Courier New"/>
          <w:i/>
          <w:iCs/>
          <w:noProof/>
          <w:szCs w:val="26"/>
        </w:rPr>
        <w:t>State v. Hennis</w:t>
      </w:r>
      <w:r w:rsidRPr="00291FC1">
        <w:rPr>
          <w:rFonts w:cs="Courier New"/>
          <w:noProof/>
          <w:szCs w:val="26"/>
        </w:rPr>
        <w:t xml:space="preserve">, </w:t>
      </w:r>
    </w:p>
    <w:p w14:paraId="4CF6FB50" w14:textId="344D8845" w:rsidR="00231898" w:rsidRPr="00291FC1" w:rsidRDefault="001F4FA8" w:rsidP="00291FC1">
      <w:pPr>
        <w:pStyle w:val="TableofAuthorities"/>
        <w:tabs>
          <w:tab w:val="right" w:leader="dot" w:pos="7190"/>
        </w:tabs>
        <w:ind w:left="720" w:hanging="720"/>
        <w:rPr>
          <w:noProof/>
          <w:szCs w:val="26"/>
        </w:rPr>
      </w:pPr>
      <w:r>
        <w:rPr>
          <w:rFonts w:cs="Courier New"/>
          <w:noProof/>
          <w:szCs w:val="26"/>
        </w:rPr>
        <w:tab/>
      </w:r>
      <w:r w:rsidR="00231898" w:rsidRPr="00291FC1">
        <w:rPr>
          <w:rFonts w:cs="Courier New"/>
          <w:noProof/>
          <w:szCs w:val="26"/>
        </w:rPr>
        <w:t>323 N.C. 279 (1988)</w:t>
      </w:r>
      <w:r w:rsidR="00231898" w:rsidRPr="00291FC1">
        <w:rPr>
          <w:noProof/>
          <w:szCs w:val="26"/>
        </w:rPr>
        <w:tab/>
        <w:t>9</w:t>
      </w:r>
    </w:p>
    <w:p w14:paraId="5702765D" w14:textId="77777777" w:rsidR="00442EDB" w:rsidRDefault="00442EDB" w:rsidP="00291FC1">
      <w:pPr>
        <w:pStyle w:val="TableofAuthorities"/>
        <w:tabs>
          <w:tab w:val="right" w:leader="dot" w:pos="7190"/>
        </w:tabs>
        <w:ind w:left="720" w:hanging="720"/>
        <w:rPr>
          <w:i/>
          <w:iCs/>
          <w:noProof/>
          <w:szCs w:val="26"/>
        </w:rPr>
      </w:pPr>
    </w:p>
    <w:p w14:paraId="6BE9B5C5"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Lawrence</w:t>
      </w:r>
      <w:r w:rsidRPr="00291FC1">
        <w:rPr>
          <w:noProof/>
          <w:szCs w:val="26"/>
        </w:rPr>
        <w:t xml:space="preserve">, </w:t>
      </w:r>
    </w:p>
    <w:p w14:paraId="3A141D81" w14:textId="3BC22929" w:rsidR="00231898" w:rsidRPr="00291FC1" w:rsidRDefault="00231898" w:rsidP="00291FC1">
      <w:pPr>
        <w:pStyle w:val="TableofAuthorities"/>
        <w:tabs>
          <w:tab w:val="right" w:leader="dot" w:pos="7190"/>
        </w:tabs>
        <w:ind w:left="720" w:firstLine="0"/>
        <w:rPr>
          <w:noProof/>
          <w:szCs w:val="26"/>
        </w:rPr>
      </w:pPr>
      <w:r w:rsidRPr="00291FC1">
        <w:rPr>
          <w:noProof/>
          <w:szCs w:val="26"/>
        </w:rPr>
        <w:t>365 N.C. 506 (2012)</w:t>
      </w:r>
      <w:r w:rsidRPr="00291FC1">
        <w:rPr>
          <w:noProof/>
          <w:szCs w:val="26"/>
        </w:rPr>
        <w:tab/>
        <w:t>31</w:t>
      </w:r>
    </w:p>
    <w:p w14:paraId="1C3DBA38" w14:textId="77777777" w:rsidR="00442EDB" w:rsidRDefault="00442EDB" w:rsidP="00291FC1">
      <w:pPr>
        <w:pStyle w:val="TableofAuthorities"/>
        <w:tabs>
          <w:tab w:val="right" w:leader="dot" w:pos="7190"/>
        </w:tabs>
        <w:ind w:left="720" w:hanging="720"/>
        <w:rPr>
          <w:rFonts w:cs="Courier New"/>
          <w:i/>
          <w:iCs/>
          <w:noProof/>
          <w:szCs w:val="26"/>
        </w:rPr>
      </w:pPr>
    </w:p>
    <w:p w14:paraId="17054190" w14:textId="77777777" w:rsidR="00442EDB" w:rsidRDefault="00231898" w:rsidP="00291FC1">
      <w:pPr>
        <w:pStyle w:val="TableofAuthorities"/>
        <w:tabs>
          <w:tab w:val="right" w:leader="dot" w:pos="7190"/>
        </w:tabs>
        <w:ind w:left="720" w:hanging="720"/>
        <w:rPr>
          <w:rFonts w:cs="Courier New"/>
          <w:noProof/>
          <w:szCs w:val="26"/>
        </w:rPr>
      </w:pPr>
      <w:r w:rsidRPr="00291FC1">
        <w:rPr>
          <w:rFonts w:cs="Courier New"/>
          <w:i/>
          <w:iCs/>
          <w:noProof/>
          <w:szCs w:val="26"/>
        </w:rPr>
        <w:t>State v.</w:t>
      </w:r>
      <w:r w:rsidRPr="00291FC1">
        <w:rPr>
          <w:rFonts w:cs="Courier New"/>
          <w:noProof/>
          <w:szCs w:val="26"/>
        </w:rPr>
        <w:t xml:space="preserve"> </w:t>
      </w:r>
      <w:r w:rsidRPr="00291FC1">
        <w:rPr>
          <w:rFonts w:cs="Courier New"/>
          <w:i/>
          <w:iCs/>
          <w:noProof/>
          <w:szCs w:val="26"/>
        </w:rPr>
        <w:t>McGrady</w:t>
      </w:r>
      <w:r w:rsidRPr="00291FC1">
        <w:rPr>
          <w:rFonts w:cs="Courier New"/>
          <w:noProof/>
          <w:szCs w:val="26"/>
        </w:rPr>
        <w:t xml:space="preserve">, </w:t>
      </w:r>
    </w:p>
    <w:p w14:paraId="52E605CE" w14:textId="1D719FCD" w:rsidR="00231898" w:rsidRPr="00291FC1" w:rsidRDefault="001F4FA8" w:rsidP="00291FC1">
      <w:pPr>
        <w:pStyle w:val="TableofAuthorities"/>
        <w:tabs>
          <w:tab w:val="right" w:leader="dot" w:pos="7190"/>
        </w:tabs>
        <w:ind w:left="720" w:hanging="720"/>
        <w:rPr>
          <w:noProof/>
          <w:szCs w:val="26"/>
        </w:rPr>
      </w:pPr>
      <w:r>
        <w:rPr>
          <w:rFonts w:cs="Courier New"/>
          <w:noProof/>
          <w:szCs w:val="26"/>
        </w:rPr>
        <w:tab/>
      </w:r>
      <w:r w:rsidR="00231898" w:rsidRPr="00291FC1">
        <w:rPr>
          <w:rFonts w:cs="Courier New"/>
          <w:noProof/>
          <w:szCs w:val="26"/>
        </w:rPr>
        <w:t>368 N.C. 880 (2016)</w:t>
      </w:r>
      <w:r w:rsidR="00231898" w:rsidRPr="00291FC1">
        <w:rPr>
          <w:noProof/>
          <w:szCs w:val="26"/>
        </w:rPr>
        <w:tab/>
      </w:r>
      <w:r w:rsidR="00396A74" w:rsidRPr="00291FC1">
        <w:rPr>
          <w:i/>
          <w:iCs/>
          <w:noProof/>
          <w:szCs w:val="26"/>
        </w:rPr>
        <w:t>passim</w:t>
      </w:r>
    </w:p>
    <w:p w14:paraId="1975BE8A" w14:textId="77777777" w:rsidR="00442EDB" w:rsidRDefault="00442EDB" w:rsidP="00291FC1">
      <w:pPr>
        <w:pStyle w:val="TableofAuthorities"/>
        <w:tabs>
          <w:tab w:val="right" w:leader="dot" w:pos="7190"/>
        </w:tabs>
        <w:ind w:left="720" w:hanging="720"/>
        <w:rPr>
          <w:i/>
          <w:iCs/>
          <w:noProof/>
          <w:szCs w:val="26"/>
        </w:rPr>
      </w:pPr>
    </w:p>
    <w:p w14:paraId="033CC8EB"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Moore</w:t>
      </w:r>
      <w:r w:rsidRPr="00291FC1">
        <w:rPr>
          <w:noProof/>
          <w:szCs w:val="26"/>
        </w:rPr>
        <w:t xml:space="preserve">, </w:t>
      </w:r>
    </w:p>
    <w:p w14:paraId="5D7980FB" w14:textId="2B0C420F"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312 N.C. 607 (1985)</w:t>
      </w:r>
      <w:r w:rsidR="00231898" w:rsidRPr="00291FC1">
        <w:rPr>
          <w:noProof/>
          <w:szCs w:val="26"/>
        </w:rPr>
        <w:tab/>
        <w:t>36</w:t>
      </w:r>
      <w:r w:rsidR="00396A74">
        <w:rPr>
          <w:noProof/>
          <w:szCs w:val="26"/>
        </w:rPr>
        <w:t>, 37</w:t>
      </w:r>
    </w:p>
    <w:p w14:paraId="195F6675" w14:textId="77777777" w:rsidR="00442EDB" w:rsidRDefault="00442EDB" w:rsidP="00291FC1">
      <w:pPr>
        <w:pStyle w:val="TableofAuthorities"/>
        <w:tabs>
          <w:tab w:val="right" w:leader="dot" w:pos="7190"/>
        </w:tabs>
        <w:ind w:left="720" w:hanging="720"/>
        <w:rPr>
          <w:i/>
          <w:iCs/>
          <w:noProof/>
          <w:szCs w:val="26"/>
        </w:rPr>
      </w:pPr>
    </w:p>
    <w:p w14:paraId="45BBC9ED"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Murphy</w:t>
      </w:r>
      <w:r w:rsidRPr="00291FC1">
        <w:rPr>
          <w:noProof/>
          <w:szCs w:val="26"/>
        </w:rPr>
        <w:t xml:space="preserve">, </w:t>
      </w:r>
    </w:p>
    <w:p w14:paraId="19561286" w14:textId="104EF0F9"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225 N.C. 115 (1945)</w:t>
      </w:r>
      <w:r w:rsidR="00231898" w:rsidRPr="00291FC1">
        <w:rPr>
          <w:noProof/>
          <w:szCs w:val="26"/>
        </w:rPr>
        <w:tab/>
        <w:t>36</w:t>
      </w:r>
    </w:p>
    <w:p w14:paraId="65FF9589" w14:textId="77777777" w:rsidR="00442EDB" w:rsidRDefault="00442EDB" w:rsidP="00291FC1">
      <w:pPr>
        <w:pStyle w:val="TableofAuthorities"/>
        <w:tabs>
          <w:tab w:val="right" w:leader="dot" w:pos="7190"/>
        </w:tabs>
        <w:ind w:left="720" w:hanging="720"/>
        <w:rPr>
          <w:rFonts w:cs="Courier New"/>
          <w:i/>
          <w:iCs/>
          <w:noProof/>
          <w:szCs w:val="26"/>
        </w:rPr>
      </w:pPr>
    </w:p>
    <w:p w14:paraId="02D11519" w14:textId="77777777" w:rsidR="00442EDB" w:rsidRDefault="00231898" w:rsidP="00291FC1">
      <w:pPr>
        <w:pStyle w:val="TableofAuthorities"/>
        <w:tabs>
          <w:tab w:val="right" w:leader="dot" w:pos="7190"/>
        </w:tabs>
        <w:ind w:left="720" w:hanging="720"/>
        <w:rPr>
          <w:rFonts w:cs="Courier New"/>
          <w:noProof/>
          <w:szCs w:val="26"/>
        </w:rPr>
      </w:pPr>
      <w:r w:rsidRPr="00291FC1">
        <w:rPr>
          <w:rFonts w:cs="Courier New"/>
          <w:i/>
          <w:iCs/>
          <w:noProof/>
          <w:szCs w:val="26"/>
        </w:rPr>
        <w:t>State v. Parker</w:t>
      </w:r>
      <w:r w:rsidRPr="00291FC1">
        <w:rPr>
          <w:rFonts w:cs="Courier New"/>
          <w:noProof/>
          <w:szCs w:val="26"/>
        </w:rPr>
        <w:t xml:space="preserve">, </w:t>
      </w:r>
    </w:p>
    <w:p w14:paraId="16116364" w14:textId="3F7F4AC9" w:rsidR="00231898" w:rsidRPr="00291FC1" w:rsidRDefault="001F4FA8" w:rsidP="00291FC1">
      <w:pPr>
        <w:pStyle w:val="TableofAuthorities"/>
        <w:tabs>
          <w:tab w:val="right" w:leader="dot" w:pos="7190"/>
        </w:tabs>
        <w:ind w:left="720" w:hanging="720"/>
        <w:rPr>
          <w:noProof/>
          <w:szCs w:val="26"/>
        </w:rPr>
      </w:pPr>
      <w:r>
        <w:rPr>
          <w:rFonts w:cs="Courier New"/>
          <w:noProof/>
          <w:szCs w:val="26"/>
        </w:rPr>
        <w:tab/>
      </w:r>
      <w:r w:rsidR="00231898" w:rsidRPr="00291FC1">
        <w:rPr>
          <w:rFonts w:cs="Courier New"/>
          <w:noProof/>
          <w:szCs w:val="26"/>
        </w:rPr>
        <w:t>315 N.C. 249 (1985)</w:t>
      </w:r>
      <w:r w:rsidR="00231898" w:rsidRPr="00291FC1">
        <w:rPr>
          <w:noProof/>
          <w:szCs w:val="26"/>
        </w:rPr>
        <w:tab/>
        <w:t>9</w:t>
      </w:r>
    </w:p>
    <w:p w14:paraId="5E9092BC" w14:textId="77777777" w:rsidR="00442EDB" w:rsidRDefault="00442EDB" w:rsidP="00291FC1">
      <w:pPr>
        <w:pStyle w:val="TableofAuthorities"/>
        <w:tabs>
          <w:tab w:val="right" w:leader="dot" w:pos="7190"/>
        </w:tabs>
        <w:ind w:left="720" w:hanging="720"/>
        <w:rPr>
          <w:i/>
          <w:iCs/>
          <w:noProof/>
          <w:szCs w:val="26"/>
        </w:rPr>
      </w:pPr>
    </w:p>
    <w:p w14:paraId="1F787DB4"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Patino</w:t>
      </w:r>
      <w:r w:rsidRPr="00291FC1">
        <w:rPr>
          <w:noProof/>
          <w:szCs w:val="26"/>
        </w:rPr>
        <w:t xml:space="preserve">, </w:t>
      </w:r>
    </w:p>
    <w:p w14:paraId="341EBC76" w14:textId="1164E20E"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207 N.C. App. 322 (2010)</w:t>
      </w:r>
      <w:r w:rsidR="00231898" w:rsidRPr="00291FC1">
        <w:rPr>
          <w:noProof/>
          <w:szCs w:val="26"/>
        </w:rPr>
        <w:tab/>
        <w:t>34</w:t>
      </w:r>
    </w:p>
    <w:p w14:paraId="7D4BB0CB" w14:textId="77777777" w:rsidR="00442EDB" w:rsidRDefault="00442EDB" w:rsidP="00291FC1">
      <w:pPr>
        <w:pStyle w:val="TableofAuthorities"/>
        <w:tabs>
          <w:tab w:val="right" w:leader="dot" w:pos="7190"/>
        </w:tabs>
        <w:ind w:left="720" w:hanging="720"/>
        <w:rPr>
          <w:i/>
          <w:iCs/>
          <w:noProof/>
          <w:szCs w:val="26"/>
        </w:rPr>
      </w:pPr>
    </w:p>
    <w:p w14:paraId="4A056BAE" w14:textId="77777777" w:rsidR="00442EDB" w:rsidRPr="00291FC1" w:rsidRDefault="00231898" w:rsidP="00291FC1">
      <w:pPr>
        <w:pStyle w:val="TableofAuthorities"/>
        <w:tabs>
          <w:tab w:val="right" w:leader="dot" w:pos="7190"/>
        </w:tabs>
        <w:ind w:left="720" w:hanging="720"/>
        <w:rPr>
          <w:noProof/>
          <w:szCs w:val="26"/>
        </w:rPr>
      </w:pPr>
      <w:bookmarkStart w:id="0" w:name="_Hlk119915490"/>
      <w:r w:rsidRPr="00291FC1">
        <w:rPr>
          <w:i/>
          <w:iCs/>
          <w:noProof/>
          <w:szCs w:val="26"/>
        </w:rPr>
        <w:t>State v. Phillips</w:t>
      </w:r>
      <w:r w:rsidRPr="00291FC1">
        <w:rPr>
          <w:noProof/>
          <w:szCs w:val="26"/>
        </w:rPr>
        <w:t xml:space="preserve">, </w:t>
      </w:r>
    </w:p>
    <w:p w14:paraId="1A30B923" w14:textId="6640EF2D" w:rsidR="00231898" w:rsidRPr="00291FC1" w:rsidRDefault="001F4FA8" w:rsidP="00291FC1">
      <w:pPr>
        <w:pStyle w:val="TableofAuthorities"/>
        <w:tabs>
          <w:tab w:val="right" w:leader="dot" w:pos="7190"/>
        </w:tabs>
        <w:ind w:left="720" w:hanging="720"/>
        <w:rPr>
          <w:noProof/>
          <w:szCs w:val="26"/>
        </w:rPr>
      </w:pPr>
      <w:r w:rsidRPr="00291FC1">
        <w:rPr>
          <w:noProof/>
          <w:szCs w:val="26"/>
        </w:rPr>
        <w:tab/>
      </w:r>
      <w:r w:rsidR="00231898" w:rsidRPr="00291FC1">
        <w:rPr>
          <w:noProof/>
          <w:szCs w:val="26"/>
        </w:rPr>
        <w:t>844 S.E.2d 651 (S.C. 2020)</w:t>
      </w:r>
      <w:bookmarkEnd w:id="0"/>
      <w:r w:rsidR="00231898" w:rsidRPr="00291FC1">
        <w:rPr>
          <w:noProof/>
          <w:szCs w:val="26"/>
        </w:rPr>
        <w:tab/>
        <w:t>14</w:t>
      </w:r>
      <w:r w:rsidR="00442EDB" w:rsidRPr="00291FC1">
        <w:rPr>
          <w:noProof/>
          <w:szCs w:val="26"/>
        </w:rPr>
        <w:t>, 23, 28</w:t>
      </w:r>
    </w:p>
    <w:p w14:paraId="7A1CEEB7" w14:textId="77777777" w:rsidR="00442EDB" w:rsidRDefault="00442EDB" w:rsidP="00291FC1">
      <w:pPr>
        <w:pStyle w:val="TableofAuthorities"/>
        <w:tabs>
          <w:tab w:val="right" w:leader="dot" w:pos="7190"/>
        </w:tabs>
        <w:ind w:left="720" w:hanging="720"/>
        <w:rPr>
          <w:i/>
          <w:iCs/>
          <w:noProof/>
          <w:szCs w:val="26"/>
        </w:rPr>
      </w:pPr>
    </w:p>
    <w:p w14:paraId="34784B30"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Piland</w:t>
      </w:r>
      <w:r w:rsidRPr="00291FC1">
        <w:rPr>
          <w:noProof/>
          <w:szCs w:val="26"/>
        </w:rPr>
        <w:t xml:space="preserve">, </w:t>
      </w:r>
    </w:p>
    <w:p w14:paraId="5A3B2504" w14:textId="6424851C"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263 N.C. App. 323, 338 (2018)</w:t>
      </w:r>
      <w:r w:rsidR="00231898" w:rsidRPr="00291FC1">
        <w:rPr>
          <w:noProof/>
          <w:szCs w:val="26"/>
        </w:rPr>
        <w:tab/>
        <w:t>22</w:t>
      </w:r>
      <w:r w:rsidR="00442EDB">
        <w:rPr>
          <w:noProof/>
          <w:szCs w:val="26"/>
        </w:rPr>
        <w:t>, 23</w:t>
      </w:r>
    </w:p>
    <w:p w14:paraId="463FD16C" w14:textId="77777777" w:rsidR="00442EDB" w:rsidRDefault="00442EDB" w:rsidP="00291FC1">
      <w:pPr>
        <w:pStyle w:val="TableofAuthorities"/>
        <w:tabs>
          <w:tab w:val="right" w:leader="dot" w:pos="7190"/>
        </w:tabs>
        <w:ind w:left="720" w:hanging="720"/>
        <w:rPr>
          <w:i/>
          <w:iCs/>
          <w:noProof/>
          <w:szCs w:val="26"/>
        </w:rPr>
      </w:pPr>
    </w:p>
    <w:p w14:paraId="5E35C11B"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Rose</w:t>
      </w:r>
      <w:r w:rsidRPr="00291FC1">
        <w:rPr>
          <w:noProof/>
          <w:szCs w:val="26"/>
        </w:rPr>
        <w:t xml:space="preserve">, </w:t>
      </w:r>
    </w:p>
    <w:p w14:paraId="2A07F83A" w14:textId="6813755C"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339 N.C. 172, 192 (1994)</w:t>
      </w:r>
      <w:r w:rsidR="00231898" w:rsidRPr="00291FC1">
        <w:rPr>
          <w:noProof/>
          <w:szCs w:val="26"/>
        </w:rPr>
        <w:tab/>
        <w:t>32</w:t>
      </w:r>
    </w:p>
    <w:p w14:paraId="7A5111F0" w14:textId="77777777" w:rsidR="00442EDB" w:rsidRDefault="00442EDB" w:rsidP="00291FC1">
      <w:pPr>
        <w:pStyle w:val="TableofAuthorities"/>
        <w:tabs>
          <w:tab w:val="right" w:leader="dot" w:pos="7190"/>
        </w:tabs>
        <w:ind w:left="720" w:hanging="720"/>
        <w:rPr>
          <w:i/>
          <w:iCs/>
          <w:noProof/>
          <w:szCs w:val="26"/>
        </w:rPr>
      </w:pPr>
    </w:p>
    <w:p w14:paraId="1C4B45B3"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Rudd</w:t>
      </w:r>
      <w:r w:rsidRPr="00291FC1">
        <w:rPr>
          <w:noProof/>
          <w:szCs w:val="26"/>
        </w:rPr>
        <w:t xml:space="preserve">, </w:t>
      </w:r>
    </w:p>
    <w:p w14:paraId="0ECA8085" w14:textId="4D8A43BB"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60 N.C. App. 425 (1983)</w:t>
      </w:r>
      <w:r w:rsidR="00231898" w:rsidRPr="00291FC1">
        <w:rPr>
          <w:noProof/>
          <w:szCs w:val="26"/>
        </w:rPr>
        <w:tab/>
        <w:t>17</w:t>
      </w:r>
      <w:r w:rsidR="00442EDB">
        <w:rPr>
          <w:noProof/>
          <w:szCs w:val="26"/>
        </w:rPr>
        <w:t>, 18</w:t>
      </w:r>
    </w:p>
    <w:p w14:paraId="53D9B574" w14:textId="77777777" w:rsidR="00442EDB" w:rsidRDefault="00442EDB">
      <w:pPr>
        <w:pStyle w:val="TableofAuthorities"/>
        <w:tabs>
          <w:tab w:val="right" w:leader="dot" w:pos="7190"/>
        </w:tabs>
        <w:rPr>
          <w:i/>
          <w:iCs/>
          <w:noProof/>
          <w:szCs w:val="26"/>
        </w:rPr>
      </w:pPr>
    </w:p>
    <w:p w14:paraId="1B83B4DD" w14:textId="77777777" w:rsidR="00442EDB" w:rsidRPr="00291FC1" w:rsidRDefault="00231898" w:rsidP="00291FC1">
      <w:pPr>
        <w:pStyle w:val="TableofAuthorities"/>
        <w:tabs>
          <w:tab w:val="right" w:leader="dot" w:pos="7190"/>
        </w:tabs>
        <w:ind w:left="720" w:hanging="720"/>
        <w:rPr>
          <w:noProof/>
          <w:szCs w:val="26"/>
        </w:rPr>
      </w:pPr>
      <w:r w:rsidRPr="00291FC1">
        <w:rPr>
          <w:i/>
          <w:iCs/>
          <w:noProof/>
          <w:szCs w:val="26"/>
        </w:rPr>
        <w:t>State v. Sasek</w:t>
      </w:r>
      <w:r w:rsidRPr="00291FC1">
        <w:rPr>
          <w:noProof/>
          <w:szCs w:val="26"/>
        </w:rPr>
        <w:t xml:space="preserve">, </w:t>
      </w:r>
    </w:p>
    <w:p w14:paraId="09B131AE" w14:textId="1DB1BBDF" w:rsidR="00231898" w:rsidRPr="00291FC1" w:rsidRDefault="001F4FA8" w:rsidP="00291FC1">
      <w:pPr>
        <w:pStyle w:val="TableofAuthorities"/>
        <w:tabs>
          <w:tab w:val="right" w:leader="dot" w:pos="7190"/>
        </w:tabs>
        <w:ind w:left="720" w:hanging="720"/>
        <w:rPr>
          <w:noProof/>
          <w:szCs w:val="26"/>
        </w:rPr>
      </w:pPr>
      <w:r w:rsidRPr="00291FC1">
        <w:rPr>
          <w:noProof/>
          <w:szCs w:val="26"/>
        </w:rPr>
        <w:tab/>
      </w:r>
      <w:r w:rsidR="00231898" w:rsidRPr="00291FC1">
        <w:rPr>
          <w:noProof/>
          <w:szCs w:val="26"/>
        </w:rPr>
        <w:t xml:space="preserve">271 N.C. App. 568 </w:t>
      </w:r>
      <w:r w:rsidR="00291FC1" w:rsidRPr="00291FC1">
        <w:rPr>
          <w:noProof/>
          <w:szCs w:val="26"/>
        </w:rPr>
        <w:t>(2020)</w:t>
      </w:r>
      <w:r w:rsidR="00231898" w:rsidRPr="00291FC1">
        <w:rPr>
          <w:noProof/>
          <w:szCs w:val="26"/>
        </w:rPr>
        <w:tab/>
        <w:t>22</w:t>
      </w:r>
      <w:r w:rsidR="00442EDB" w:rsidRPr="00291FC1">
        <w:rPr>
          <w:noProof/>
          <w:szCs w:val="26"/>
        </w:rPr>
        <w:t>, 23</w:t>
      </w:r>
    </w:p>
    <w:p w14:paraId="6CC7ACFD" w14:textId="77777777" w:rsidR="00442EDB" w:rsidRDefault="00231898" w:rsidP="00291FC1">
      <w:pPr>
        <w:pStyle w:val="TableofAuthorities"/>
        <w:keepNext/>
        <w:keepLines/>
        <w:tabs>
          <w:tab w:val="right" w:leader="dot" w:pos="7190"/>
        </w:tabs>
        <w:ind w:left="720" w:hanging="720"/>
        <w:rPr>
          <w:noProof/>
          <w:szCs w:val="26"/>
        </w:rPr>
      </w:pPr>
      <w:r w:rsidRPr="00291FC1">
        <w:rPr>
          <w:i/>
          <w:iCs/>
          <w:noProof/>
          <w:szCs w:val="26"/>
        </w:rPr>
        <w:t>State v. Slone</w:t>
      </w:r>
      <w:r w:rsidRPr="00291FC1">
        <w:rPr>
          <w:noProof/>
          <w:szCs w:val="26"/>
        </w:rPr>
        <w:t xml:space="preserve">, </w:t>
      </w:r>
    </w:p>
    <w:p w14:paraId="6DCB9F00" w14:textId="7C93368E" w:rsidR="00231898" w:rsidRPr="00291FC1" w:rsidRDefault="001F4FA8" w:rsidP="00291FC1">
      <w:pPr>
        <w:pStyle w:val="TableofAuthorities"/>
        <w:keepNext/>
        <w:keepLines/>
        <w:tabs>
          <w:tab w:val="right" w:leader="dot" w:pos="7190"/>
        </w:tabs>
        <w:ind w:left="720" w:hanging="720"/>
        <w:rPr>
          <w:noProof/>
          <w:szCs w:val="26"/>
        </w:rPr>
      </w:pPr>
      <w:r>
        <w:rPr>
          <w:noProof/>
          <w:szCs w:val="26"/>
        </w:rPr>
        <w:tab/>
      </w:r>
      <w:r w:rsidR="00231898" w:rsidRPr="00291FC1">
        <w:rPr>
          <w:noProof/>
          <w:szCs w:val="26"/>
        </w:rPr>
        <w:t>76 N.C. App. 628 (1985)</w:t>
      </w:r>
      <w:r w:rsidR="00231898" w:rsidRPr="00291FC1">
        <w:rPr>
          <w:noProof/>
          <w:szCs w:val="26"/>
        </w:rPr>
        <w:tab/>
        <w:t>33</w:t>
      </w:r>
    </w:p>
    <w:p w14:paraId="1CD06F83" w14:textId="77777777" w:rsidR="00442EDB" w:rsidRDefault="00442EDB">
      <w:pPr>
        <w:pStyle w:val="TableofAuthorities"/>
        <w:tabs>
          <w:tab w:val="right" w:leader="dot" w:pos="7190"/>
        </w:tabs>
        <w:rPr>
          <w:i/>
          <w:iCs/>
          <w:noProof/>
          <w:szCs w:val="26"/>
        </w:rPr>
      </w:pPr>
    </w:p>
    <w:p w14:paraId="2FF79056"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Smith</w:t>
      </w:r>
      <w:r w:rsidRPr="00291FC1">
        <w:rPr>
          <w:noProof/>
          <w:szCs w:val="26"/>
        </w:rPr>
        <w:t xml:space="preserve">, </w:t>
      </w:r>
    </w:p>
    <w:p w14:paraId="379FA515" w14:textId="36A0DE12"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134 N.C. App. 123 (1999)</w:t>
      </w:r>
      <w:r w:rsidR="00231898" w:rsidRPr="00291FC1">
        <w:rPr>
          <w:noProof/>
          <w:szCs w:val="26"/>
        </w:rPr>
        <w:tab/>
        <w:t>15</w:t>
      </w:r>
      <w:r w:rsidR="00442EDB">
        <w:rPr>
          <w:noProof/>
          <w:szCs w:val="26"/>
        </w:rPr>
        <w:t>, 21</w:t>
      </w:r>
    </w:p>
    <w:p w14:paraId="14908B27" w14:textId="77777777" w:rsidR="00442EDB" w:rsidRDefault="00442EDB" w:rsidP="00291FC1">
      <w:pPr>
        <w:pStyle w:val="TableofAuthorities"/>
        <w:tabs>
          <w:tab w:val="right" w:leader="dot" w:pos="7190"/>
        </w:tabs>
        <w:ind w:left="720" w:hanging="720"/>
        <w:rPr>
          <w:i/>
          <w:iCs/>
          <w:noProof/>
          <w:szCs w:val="26"/>
        </w:rPr>
      </w:pPr>
    </w:p>
    <w:p w14:paraId="0FB604A0"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Smith</w:t>
      </w:r>
      <w:r w:rsidRPr="00291FC1">
        <w:rPr>
          <w:noProof/>
          <w:szCs w:val="26"/>
        </w:rPr>
        <w:t xml:space="preserve">, </w:t>
      </w:r>
    </w:p>
    <w:p w14:paraId="028CE7A1" w14:textId="54743560"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300 N.C. 71 (1980)</w:t>
      </w:r>
      <w:r w:rsidR="00231898" w:rsidRPr="00291FC1">
        <w:rPr>
          <w:noProof/>
          <w:szCs w:val="26"/>
        </w:rPr>
        <w:tab/>
        <w:t>32</w:t>
      </w:r>
    </w:p>
    <w:p w14:paraId="44E20A9F" w14:textId="77777777" w:rsidR="00442EDB" w:rsidRDefault="00442EDB" w:rsidP="00291FC1">
      <w:pPr>
        <w:pStyle w:val="TableofAuthorities"/>
        <w:tabs>
          <w:tab w:val="right" w:leader="dot" w:pos="7190"/>
        </w:tabs>
        <w:ind w:left="720" w:hanging="720"/>
        <w:rPr>
          <w:i/>
          <w:iCs/>
          <w:noProof/>
          <w:szCs w:val="26"/>
        </w:rPr>
      </w:pPr>
    </w:p>
    <w:p w14:paraId="1F409D3F"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Stanford</w:t>
      </w:r>
      <w:r w:rsidRPr="00291FC1">
        <w:rPr>
          <w:noProof/>
          <w:szCs w:val="26"/>
        </w:rPr>
        <w:t xml:space="preserve">, </w:t>
      </w:r>
    </w:p>
    <w:p w14:paraId="729ECC86" w14:textId="09307FBE"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169 N.C. App. 214 (2005)</w:t>
      </w:r>
      <w:r w:rsidR="00231898" w:rsidRPr="00291FC1">
        <w:rPr>
          <w:noProof/>
          <w:szCs w:val="26"/>
        </w:rPr>
        <w:tab/>
        <w:t>34</w:t>
      </w:r>
      <w:r w:rsidR="00442EDB">
        <w:rPr>
          <w:noProof/>
          <w:szCs w:val="26"/>
        </w:rPr>
        <w:t>, 35</w:t>
      </w:r>
    </w:p>
    <w:p w14:paraId="56EC4E03" w14:textId="77777777" w:rsidR="00442EDB" w:rsidRDefault="00442EDB" w:rsidP="00291FC1">
      <w:pPr>
        <w:pStyle w:val="TableofAuthorities"/>
        <w:tabs>
          <w:tab w:val="right" w:leader="dot" w:pos="7190"/>
        </w:tabs>
        <w:ind w:left="720" w:hanging="720"/>
        <w:rPr>
          <w:i/>
          <w:iCs/>
          <w:noProof/>
          <w:szCs w:val="26"/>
        </w:rPr>
      </w:pPr>
    </w:p>
    <w:p w14:paraId="1BCEBE36" w14:textId="77777777" w:rsidR="00442EDB" w:rsidRDefault="00231898" w:rsidP="00291FC1">
      <w:pPr>
        <w:pStyle w:val="TableofAuthorities"/>
        <w:tabs>
          <w:tab w:val="right" w:leader="dot" w:pos="7190"/>
        </w:tabs>
        <w:ind w:left="720" w:hanging="720"/>
        <w:rPr>
          <w:noProof/>
          <w:szCs w:val="26"/>
        </w:rPr>
      </w:pPr>
      <w:r w:rsidRPr="00291FC1">
        <w:rPr>
          <w:i/>
          <w:iCs/>
          <w:noProof/>
          <w:szCs w:val="26"/>
        </w:rPr>
        <w:t>State v. Waddell</w:t>
      </w:r>
      <w:r w:rsidRPr="00291FC1">
        <w:rPr>
          <w:noProof/>
          <w:szCs w:val="26"/>
        </w:rPr>
        <w:t xml:space="preserve">, </w:t>
      </w:r>
    </w:p>
    <w:p w14:paraId="511923FF" w14:textId="24A143AA"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289 N.C. 19 (1975)</w:t>
      </w:r>
      <w:r w:rsidR="00231898" w:rsidRPr="00291FC1">
        <w:rPr>
          <w:noProof/>
          <w:szCs w:val="26"/>
        </w:rPr>
        <w:tab/>
        <w:t>15</w:t>
      </w:r>
      <w:r w:rsidR="00442EDB">
        <w:rPr>
          <w:noProof/>
          <w:szCs w:val="26"/>
        </w:rPr>
        <w:t>, 16</w:t>
      </w:r>
    </w:p>
    <w:p w14:paraId="5074CA3C" w14:textId="77777777" w:rsidR="00442EDB" w:rsidRDefault="00442EDB" w:rsidP="00291FC1">
      <w:pPr>
        <w:pStyle w:val="TableofAuthorities"/>
        <w:tabs>
          <w:tab w:val="right" w:leader="dot" w:pos="7190"/>
        </w:tabs>
        <w:ind w:left="720" w:hanging="720"/>
        <w:rPr>
          <w:rFonts w:cs="Courier New"/>
          <w:i/>
          <w:iCs/>
          <w:noProof/>
          <w:szCs w:val="26"/>
        </w:rPr>
      </w:pPr>
    </w:p>
    <w:p w14:paraId="41F1B089" w14:textId="77777777" w:rsidR="00442EDB" w:rsidRDefault="00231898" w:rsidP="00291FC1">
      <w:pPr>
        <w:pStyle w:val="TableofAuthorities"/>
        <w:tabs>
          <w:tab w:val="right" w:leader="dot" w:pos="7190"/>
        </w:tabs>
        <w:ind w:left="720" w:hanging="720"/>
        <w:rPr>
          <w:rFonts w:cs="Courier New"/>
          <w:noProof/>
          <w:szCs w:val="26"/>
        </w:rPr>
      </w:pPr>
      <w:r w:rsidRPr="00291FC1">
        <w:rPr>
          <w:rFonts w:cs="Courier New"/>
          <w:i/>
          <w:iCs/>
          <w:noProof/>
          <w:szCs w:val="26"/>
        </w:rPr>
        <w:t>State v.</w:t>
      </w:r>
      <w:r w:rsidRPr="00291FC1">
        <w:rPr>
          <w:rFonts w:cs="Courier New"/>
          <w:noProof/>
          <w:szCs w:val="26"/>
        </w:rPr>
        <w:t xml:space="preserve"> </w:t>
      </w:r>
      <w:r w:rsidRPr="00291FC1">
        <w:rPr>
          <w:rFonts w:cs="Courier New"/>
          <w:i/>
          <w:iCs/>
          <w:noProof/>
          <w:szCs w:val="26"/>
        </w:rPr>
        <w:t>Ward</w:t>
      </w:r>
      <w:r w:rsidRPr="00291FC1">
        <w:rPr>
          <w:rFonts w:cs="Courier New"/>
          <w:noProof/>
          <w:szCs w:val="26"/>
        </w:rPr>
        <w:t xml:space="preserve">, </w:t>
      </w:r>
    </w:p>
    <w:p w14:paraId="4C86CD05" w14:textId="15A01977" w:rsidR="00231898" w:rsidRPr="00291FC1" w:rsidRDefault="001F4FA8" w:rsidP="00291FC1">
      <w:pPr>
        <w:pStyle w:val="TableofAuthorities"/>
        <w:tabs>
          <w:tab w:val="right" w:leader="dot" w:pos="7190"/>
        </w:tabs>
        <w:ind w:left="720" w:hanging="720"/>
        <w:rPr>
          <w:noProof/>
          <w:szCs w:val="26"/>
        </w:rPr>
      </w:pPr>
      <w:r>
        <w:rPr>
          <w:rFonts w:cs="Courier New"/>
          <w:noProof/>
          <w:szCs w:val="26"/>
        </w:rPr>
        <w:tab/>
      </w:r>
      <w:r w:rsidR="00231898" w:rsidRPr="00291FC1">
        <w:rPr>
          <w:rFonts w:cs="Courier New"/>
          <w:noProof/>
          <w:szCs w:val="26"/>
        </w:rPr>
        <w:t>364 N.C. 133 (2010)</w:t>
      </w:r>
      <w:r w:rsidR="00231898" w:rsidRPr="00291FC1">
        <w:rPr>
          <w:noProof/>
          <w:szCs w:val="26"/>
        </w:rPr>
        <w:tab/>
        <w:t>10</w:t>
      </w:r>
      <w:r w:rsidR="00442EDB">
        <w:rPr>
          <w:noProof/>
          <w:szCs w:val="26"/>
        </w:rPr>
        <w:t>, 28</w:t>
      </w:r>
    </w:p>
    <w:p w14:paraId="0F1C0CA9" w14:textId="77777777" w:rsidR="00442EDB" w:rsidRDefault="00442EDB" w:rsidP="00291FC1">
      <w:pPr>
        <w:pStyle w:val="TableofAuthorities"/>
        <w:tabs>
          <w:tab w:val="right" w:leader="dot" w:pos="7190"/>
        </w:tabs>
        <w:ind w:left="720" w:hanging="720"/>
        <w:rPr>
          <w:i/>
          <w:iCs/>
          <w:noProof/>
          <w:szCs w:val="26"/>
        </w:rPr>
      </w:pPr>
    </w:p>
    <w:p w14:paraId="720FABD0" w14:textId="77777777" w:rsidR="00442EDB" w:rsidRDefault="00231898" w:rsidP="00291FC1">
      <w:pPr>
        <w:pStyle w:val="TableofAuthorities"/>
        <w:tabs>
          <w:tab w:val="right" w:leader="dot" w:pos="7190"/>
        </w:tabs>
        <w:ind w:left="720" w:hanging="720"/>
        <w:rPr>
          <w:noProof/>
          <w:szCs w:val="26"/>
        </w:rPr>
      </w:pPr>
      <w:r w:rsidRPr="00291FC1">
        <w:rPr>
          <w:i/>
          <w:iCs/>
          <w:noProof/>
          <w:szCs w:val="26"/>
        </w:rPr>
        <w:t>United States v. Holguin</w:t>
      </w:r>
      <w:r w:rsidRPr="00291FC1">
        <w:rPr>
          <w:noProof/>
          <w:szCs w:val="26"/>
        </w:rPr>
        <w:t xml:space="preserve">, </w:t>
      </w:r>
    </w:p>
    <w:p w14:paraId="6A741B6B" w14:textId="3223809E"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Nos. 19-50158, 19-50169, 19-50173, 2022 U.S. App. LEXIS 28477 (9th Cir. Oct. 13, 2022)</w:t>
      </w:r>
      <w:r w:rsidR="00231898" w:rsidRPr="00291FC1">
        <w:rPr>
          <w:noProof/>
          <w:szCs w:val="26"/>
        </w:rPr>
        <w:tab/>
      </w:r>
      <w:r w:rsidRPr="00291FC1">
        <w:rPr>
          <w:i/>
          <w:iCs/>
          <w:noProof/>
          <w:szCs w:val="26"/>
        </w:rPr>
        <w:t>passim</w:t>
      </w:r>
    </w:p>
    <w:p w14:paraId="4B6E2CE7" w14:textId="77777777" w:rsidR="00442EDB" w:rsidRDefault="00442EDB" w:rsidP="00291FC1">
      <w:pPr>
        <w:pStyle w:val="TableofAuthorities"/>
        <w:tabs>
          <w:tab w:val="right" w:leader="dot" w:pos="7190"/>
        </w:tabs>
        <w:ind w:left="720" w:hanging="720"/>
        <w:rPr>
          <w:i/>
          <w:iCs/>
          <w:noProof/>
          <w:szCs w:val="26"/>
        </w:rPr>
      </w:pPr>
    </w:p>
    <w:p w14:paraId="3BD0E236" w14:textId="77777777" w:rsidR="00442EDB" w:rsidRDefault="00231898" w:rsidP="00291FC1">
      <w:pPr>
        <w:pStyle w:val="TableofAuthorities"/>
        <w:tabs>
          <w:tab w:val="right" w:leader="dot" w:pos="7190"/>
        </w:tabs>
        <w:ind w:left="720" w:hanging="720"/>
        <w:rPr>
          <w:noProof/>
          <w:szCs w:val="26"/>
        </w:rPr>
      </w:pPr>
      <w:r w:rsidRPr="00291FC1">
        <w:rPr>
          <w:i/>
          <w:iCs/>
          <w:noProof/>
          <w:szCs w:val="26"/>
        </w:rPr>
        <w:t>United States v. Kenyon</w:t>
      </w:r>
      <w:r w:rsidRPr="00291FC1">
        <w:rPr>
          <w:noProof/>
          <w:szCs w:val="26"/>
        </w:rPr>
        <w:t xml:space="preserve">, </w:t>
      </w:r>
    </w:p>
    <w:p w14:paraId="034CD993" w14:textId="51BA78E0"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481 F.3d 1054 (8th Cir. 2007)</w:t>
      </w:r>
      <w:r w:rsidR="00231898" w:rsidRPr="00291FC1">
        <w:rPr>
          <w:noProof/>
          <w:szCs w:val="26"/>
        </w:rPr>
        <w:tab/>
        <w:t>13</w:t>
      </w:r>
    </w:p>
    <w:p w14:paraId="6C229EBB" w14:textId="77777777" w:rsidR="00442EDB" w:rsidRDefault="00442EDB" w:rsidP="00291FC1">
      <w:pPr>
        <w:pStyle w:val="TableofAuthorities"/>
        <w:tabs>
          <w:tab w:val="right" w:leader="dot" w:pos="7190"/>
        </w:tabs>
        <w:ind w:left="720" w:hanging="720"/>
        <w:rPr>
          <w:i/>
          <w:iCs/>
          <w:noProof/>
          <w:szCs w:val="26"/>
        </w:rPr>
      </w:pPr>
    </w:p>
    <w:p w14:paraId="58784364" w14:textId="77777777" w:rsidR="00442EDB" w:rsidRDefault="00231898" w:rsidP="00291FC1">
      <w:pPr>
        <w:pStyle w:val="TableofAuthorities"/>
        <w:tabs>
          <w:tab w:val="right" w:leader="dot" w:pos="7190"/>
        </w:tabs>
        <w:ind w:left="720" w:hanging="720"/>
        <w:rPr>
          <w:noProof/>
          <w:szCs w:val="26"/>
        </w:rPr>
      </w:pPr>
      <w:r w:rsidRPr="00291FC1">
        <w:rPr>
          <w:i/>
          <w:iCs/>
          <w:noProof/>
          <w:szCs w:val="26"/>
        </w:rPr>
        <w:t>United States v. Sepulveda</w:t>
      </w:r>
      <w:r w:rsidRPr="00291FC1">
        <w:rPr>
          <w:noProof/>
          <w:szCs w:val="26"/>
        </w:rPr>
        <w:t xml:space="preserve">, </w:t>
      </w:r>
    </w:p>
    <w:p w14:paraId="36439FFD" w14:textId="79BBF7AC"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15 F.3d 1161 (1st Cir. 1993)</w:t>
      </w:r>
      <w:r w:rsidR="00231898" w:rsidRPr="00291FC1">
        <w:rPr>
          <w:noProof/>
          <w:szCs w:val="26"/>
        </w:rPr>
        <w:tab/>
        <w:t>13</w:t>
      </w:r>
      <w:r w:rsidR="00442EDB">
        <w:rPr>
          <w:noProof/>
          <w:szCs w:val="26"/>
        </w:rPr>
        <w:t>, 14</w:t>
      </w:r>
    </w:p>
    <w:p w14:paraId="65D421ED" w14:textId="77777777" w:rsidR="00442EDB" w:rsidRDefault="00442EDB">
      <w:pPr>
        <w:pStyle w:val="TableofAuthorities"/>
        <w:tabs>
          <w:tab w:val="right" w:leader="dot" w:pos="7190"/>
        </w:tabs>
        <w:rPr>
          <w:i/>
          <w:iCs/>
          <w:noProof/>
          <w:szCs w:val="26"/>
        </w:rPr>
      </w:pPr>
    </w:p>
    <w:p w14:paraId="55921CDE" w14:textId="77777777" w:rsidR="00442EDB" w:rsidRDefault="00231898" w:rsidP="00291FC1">
      <w:pPr>
        <w:pStyle w:val="TableofAuthorities"/>
        <w:tabs>
          <w:tab w:val="right" w:leader="dot" w:pos="7190"/>
        </w:tabs>
        <w:ind w:left="720" w:hanging="720"/>
        <w:rPr>
          <w:noProof/>
          <w:szCs w:val="26"/>
        </w:rPr>
      </w:pPr>
      <w:r w:rsidRPr="00291FC1">
        <w:rPr>
          <w:i/>
          <w:iCs/>
          <w:noProof/>
          <w:szCs w:val="26"/>
        </w:rPr>
        <w:t>United States v. Wade</w:t>
      </w:r>
      <w:r w:rsidRPr="00291FC1">
        <w:rPr>
          <w:noProof/>
          <w:szCs w:val="26"/>
        </w:rPr>
        <w:t xml:space="preserve">, </w:t>
      </w:r>
    </w:p>
    <w:p w14:paraId="5B5D809B" w14:textId="3B197A92" w:rsidR="00231898" w:rsidRPr="00291FC1" w:rsidRDefault="001F4FA8" w:rsidP="00291FC1">
      <w:pPr>
        <w:pStyle w:val="TableofAuthorities"/>
        <w:tabs>
          <w:tab w:val="right" w:leader="dot" w:pos="7190"/>
        </w:tabs>
        <w:ind w:left="720" w:hanging="720"/>
        <w:rPr>
          <w:noProof/>
          <w:szCs w:val="26"/>
        </w:rPr>
      </w:pPr>
      <w:r>
        <w:rPr>
          <w:noProof/>
          <w:szCs w:val="26"/>
        </w:rPr>
        <w:tab/>
      </w:r>
      <w:r w:rsidR="00231898" w:rsidRPr="00291FC1">
        <w:rPr>
          <w:noProof/>
          <w:szCs w:val="26"/>
        </w:rPr>
        <w:t>388 U.S. 218 (1967)</w:t>
      </w:r>
      <w:r w:rsidR="00231898" w:rsidRPr="00291FC1">
        <w:rPr>
          <w:noProof/>
          <w:szCs w:val="26"/>
        </w:rPr>
        <w:tab/>
        <w:t>15</w:t>
      </w:r>
    </w:p>
    <w:p w14:paraId="2FBEB96E" w14:textId="42DC7944" w:rsidR="00442EDB" w:rsidRDefault="00442EDB" w:rsidP="00291FC1">
      <w:pPr>
        <w:tabs>
          <w:tab w:val="right" w:leader="dot" w:pos="7200"/>
        </w:tabs>
      </w:pPr>
    </w:p>
    <w:p w14:paraId="4FE48E78" w14:textId="048D8CBA" w:rsidR="00442EDB" w:rsidRPr="00291FC1" w:rsidRDefault="001F4FA8" w:rsidP="00291FC1">
      <w:pPr>
        <w:pStyle w:val="TableofAuthorities"/>
        <w:tabs>
          <w:tab w:val="right" w:leader="dot" w:pos="7190"/>
        </w:tabs>
        <w:jc w:val="center"/>
        <w:rPr>
          <w:b/>
          <w:bCs/>
          <w:noProof/>
          <w:szCs w:val="26"/>
          <w:u w:val="single"/>
        </w:rPr>
      </w:pPr>
      <w:r w:rsidRPr="00291FC1">
        <w:rPr>
          <w:b/>
          <w:bCs/>
          <w:noProof/>
          <w:szCs w:val="26"/>
          <w:u w:val="single"/>
        </w:rPr>
        <w:t>STATUTES</w:t>
      </w:r>
    </w:p>
    <w:p w14:paraId="5FC5B396" w14:textId="77777777" w:rsidR="00523CC6" w:rsidRDefault="00523CC6" w:rsidP="00523CC6">
      <w:pPr>
        <w:tabs>
          <w:tab w:val="right" w:leader="dot" w:pos="7200"/>
        </w:tabs>
      </w:pPr>
    </w:p>
    <w:p w14:paraId="613475BA" w14:textId="2A203D58" w:rsidR="00523CC6" w:rsidRDefault="00523CC6" w:rsidP="00523CC6">
      <w:pPr>
        <w:tabs>
          <w:tab w:val="right" w:leader="dot" w:pos="7200"/>
        </w:tabs>
      </w:pPr>
      <w:r w:rsidRPr="00523CC6">
        <w:t>N.C.G.S. § 7A-27</w:t>
      </w:r>
      <w:r>
        <w:tab/>
        <w:t>2</w:t>
      </w:r>
    </w:p>
    <w:p w14:paraId="455C78A3" w14:textId="77777777" w:rsidR="001F4FA8" w:rsidRPr="00291FC1" w:rsidRDefault="001F4FA8" w:rsidP="00291FC1">
      <w:pPr>
        <w:tabs>
          <w:tab w:val="right" w:leader="dot" w:pos="7200"/>
        </w:tabs>
      </w:pPr>
    </w:p>
    <w:p w14:paraId="10320676" w14:textId="46811BE0" w:rsidR="00442EDB" w:rsidRDefault="00442EDB">
      <w:pPr>
        <w:pStyle w:val="TableofAuthorities"/>
        <w:tabs>
          <w:tab w:val="right" w:leader="dot" w:pos="7190"/>
        </w:tabs>
        <w:rPr>
          <w:noProof/>
          <w:szCs w:val="26"/>
        </w:rPr>
      </w:pPr>
      <w:r w:rsidRPr="00356710">
        <w:rPr>
          <w:noProof/>
          <w:szCs w:val="26"/>
        </w:rPr>
        <w:t>N.C.G.S. § 8C-1, Rule 102</w:t>
      </w:r>
      <w:r w:rsidRPr="00356710">
        <w:rPr>
          <w:noProof/>
          <w:szCs w:val="26"/>
        </w:rPr>
        <w:tab/>
        <w:t>12</w:t>
      </w:r>
    </w:p>
    <w:p w14:paraId="67CFE29E" w14:textId="77777777" w:rsidR="00523CC6" w:rsidRDefault="00523CC6" w:rsidP="00523CC6">
      <w:pPr>
        <w:tabs>
          <w:tab w:val="right" w:leader="dot" w:pos="7200"/>
        </w:tabs>
      </w:pPr>
    </w:p>
    <w:p w14:paraId="18B03A21" w14:textId="6EC25D15" w:rsidR="00306FC4" w:rsidRDefault="00306FC4">
      <w:pPr>
        <w:tabs>
          <w:tab w:val="right" w:leader="dot" w:pos="7200"/>
        </w:tabs>
      </w:pPr>
      <w:r w:rsidRPr="00306FC4">
        <w:t>N.C.G.S. § 8C-1, Rule 702</w:t>
      </w:r>
      <w:r>
        <w:tab/>
      </w:r>
      <w:r w:rsidR="00523CC6">
        <w:t>11, 27, 29, 31</w:t>
      </w:r>
    </w:p>
    <w:p w14:paraId="71EBCC9C" w14:textId="77777777" w:rsidR="00523CC6" w:rsidRDefault="00523CC6" w:rsidP="00523CC6">
      <w:pPr>
        <w:tabs>
          <w:tab w:val="right" w:leader="dot" w:pos="7200"/>
        </w:tabs>
      </w:pPr>
    </w:p>
    <w:p w14:paraId="3763864A" w14:textId="3640CB41" w:rsidR="00523CC6" w:rsidRDefault="00523CC6" w:rsidP="00523CC6">
      <w:pPr>
        <w:tabs>
          <w:tab w:val="right" w:leader="dot" w:pos="7200"/>
        </w:tabs>
      </w:pPr>
      <w:r w:rsidRPr="00523CC6">
        <w:t>N.C.G.S. § 14-27.33</w:t>
      </w:r>
      <w:r>
        <w:tab/>
        <w:t>33</w:t>
      </w:r>
    </w:p>
    <w:p w14:paraId="7ECD8370" w14:textId="77777777" w:rsidR="00523CC6" w:rsidRDefault="00523CC6" w:rsidP="00523CC6">
      <w:pPr>
        <w:tabs>
          <w:tab w:val="right" w:leader="dot" w:pos="7200"/>
        </w:tabs>
      </w:pPr>
    </w:p>
    <w:p w14:paraId="0E24FFA0" w14:textId="7E8F6F14" w:rsidR="00523CC6" w:rsidRDefault="00523CC6" w:rsidP="00523CC6">
      <w:pPr>
        <w:tabs>
          <w:tab w:val="right" w:leader="dot" w:pos="7200"/>
        </w:tabs>
      </w:pPr>
      <w:r w:rsidRPr="00523CC6">
        <w:t>N.C.G.S. § 14-72</w:t>
      </w:r>
      <w:r>
        <w:tab/>
        <w:t>35</w:t>
      </w:r>
    </w:p>
    <w:p w14:paraId="2ABF6943" w14:textId="0D23ECD1" w:rsidR="00523CC6" w:rsidRDefault="00523CC6" w:rsidP="00523CC6">
      <w:pPr>
        <w:tabs>
          <w:tab w:val="right" w:leader="dot" w:pos="7200"/>
        </w:tabs>
      </w:pPr>
      <w:r w:rsidRPr="00523CC6">
        <w:t>N.C.G.S. § 15A-1443</w:t>
      </w:r>
      <w:r>
        <w:tab/>
        <w:t>31</w:t>
      </w:r>
    </w:p>
    <w:p w14:paraId="1EFB5382" w14:textId="77777777" w:rsidR="00523CC6" w:rsidRDefault="00523CC6" w:rsidP="00523CC6">
      <w:pPr>
        <w:tabs>
          <w:tab w:val="right" w:leader="dot" w:pos="7200"/>
        </w:tabs>
      </w:pPr>
    </w:p>
    <w:p w14:paraId="6CA8EB45" w14:textId="0C35F5D0" w:rsidR="00523CC6" w:rsidRDefault="00523CC6" w:rsidP="00523CC6">
      <w:pPr>
        <w:tabs>
          <w:tab w:val="right" w:leader="dot" w:pos="7200"/>
        </w:tabs>
      </w:pPr>
      <w:r w:rsidRPr="00523CC6">
        <w:t>N.C.G.S. § 15A-1444</w:t>
      </w:r>
      <w:r>
        <w:tab/>
        <w:t>2</w:t>
      </w:r>
    </w:p>
    <w:p w14:paraId="1631424B" w14:textId="77777777" w:rsidR="00523CC6" w:rsidRDefault="00523CC6" w:rsidP="00523CC6">
      <w:pPr>
        <w:tabs>
          <w:tab w:val="right" w:leader="dot" w:pos="7200"/>
        </w:tabs>
      </w:pPr>
    </w:p>
    <w:p w14:paraId="2D650109" w14:textId="54F6691F" w:rsidR="00523CC6" w:rsidRPr="00291FC1" w:rsidRDefault="00523CC6" w:rsidP="00291FC1">
      <w:pPr>
        <w:tabs>
          <w:tab w:val="right" w:leader="dot" w:pos="7200"/>
        </w:tabs>
        <w:jc w:val="center"/>
        <w:rPr>
          <w:b/>
          <w:bCs/>
          <w:u w:val="single"/>
        </w:rPr>
      </w:pPr>
      <w:r w:rsidRPr="00291FC1">
        <w:rPr>
          <w:b/>
          <w:bCs/>
          <w:u w:val="single"/>
        </w:rPr>
        <w:t>OTHER AUTHORITIES</w:t>
      </w:r>
    </w:p>
    <w:p w14:paraId="3E9B3B39" w14:textId="77777777" w:rsidR="00EF301E" w:rsidRDefault="00EF301E" w:rsidP="00523CC6">
      <w:pPr>
        <w:tabs>
          <w:tab w:val="right" w:leader="dot" w:pos="7200"/>
        </w:tabs>
      </w:pPr>
    </w:p>
    <w:p w14:paraId="0C2BB616" w14:textId="21A1287E" w:rsidR="00523CC6" w:rsidRDefault="00523CC6" w:rsidP="00291FC1">
      <w:pPr>
        <w:tabs>
          <w:tab w:val="right" w:leader="dot" w:pos="7200"/>
        </w:tabs>
        <w:ind w:left="720" w:hanging="720"/>
        <w:jc w:val="both"/>
      </w:pPr>
      <w:r w:rsidRPr="00523CC6">
        <w:t xml:space="preserve">Kimberly Schweitzer and Narina Nunez, </w:t>
      </w:r>
      <w:r w:rsidRPr="00291FC1">
        <w:rPr>
          <w:i/>
          <w:iCs/>
        </w:rPr>
        <w:t>What Evidence Matters Most to Jurors?  The Prevalence and Importance of Different Homicide Trial Evidence to Mock Jurors</w:t>
      </w:r>
      <w:r w:rsidRPr="00523CC6">
        <w:t>, 25(3) Psychiatry, Psych. &amp; L. 437 (2018)</w:t>
      </w:r>
      <w:r>
        <w:tab/>
        <w:t>15</w:t>
      </w:r>
    </w:p>
    <w:p w14:paraId="70A620E9" w14:textId="30498501" w:rsidR="00523CC6" w:rsidRDefault="00523CC6" w:rsidP="00523CC6">
      <w:pPr>
        <w:tabs>
          <w:tab w:val="right" w:leader="dot" w:pos="7200"/>
        </w:tabs>
      </w:pPr>
    </w:p>
    <w:p w14:paraId="0F8042AB" w14:textId="4B9F985C" w:rsidR="00523CC6" w:rsidRPr="00291FC1" w:rsidRDefault="00523CC6" w:rsidP="00291FC1">
      <w:pPr>
        <w:tabs>
          <w:tab w:val="right" w:leader="dot" w:pos="7200"/>
        </w:tabs>
        <w:jc w:val="center"/>
        <w:rPr>
          <w:b/>
          <w:bCs/>
          <w:u w:val="single"/>
        </w:rPr>
      </w:pPr>
      <w:r w:rsidRPr="00291FC1">
        <w:rPr>
          <w:b/>
          <w:bCs/>
          <w:u w:val="single"/>
        </w:rPr>
        <w:t>RULES</w:t>
      </w:r>
    </w:p>
    <w:p w14:paraId="62FC3863" w14:textId="77777777" w:rsidR="00EF301E" w:rsidRDefault="00EF301E" w:rsidP="00523CC6">
      <w:pPr>
        <w:tabs>
          <w:tab w:val="right" w:leader="dot" w:pos="7200"/>
        </w:tabs>
      </w:pPr>
    </w:p>
    <w:p w14:paraId="44A4D7AA" w14:textId="205087EF" w:rsidR="00523CC6" w:rsidRDefault="00523CC6" w:rsidP="00523CC6">
      <w:pPr>
        <w:tabs>
          <w:tab w:val="right" w:leader="dot" w:pos="7200"/>
        </w:tabs>
      </w:pPr>
      <w:r w:rsidRPr="00523CC6">
        <w:t>N.C.</w:t>
      </w:r>
      <w:r w:rsidR="00EF301E">
        <w:t xml:space="preserve"> </w:t>
      </w:r>
      <w:r w:rsidRPr="00523CC6">
        <w:t>R. App. P. 10(a)(1) (2022)</w:t>
      </w:r>
      <w:r>
        <w:tab/>
        <w:t>9</w:t>
      </w:r>
    </w:p>
    <w:p w14:paraId="490C738C" w14:textId="77777777" w:rsidR="00EF301E" w:rsidRDefault="00EF301E" w:rsidP="00523CC6">
      <w:pPr>
        <w:tabs>
          <w:tab w:val="right" w:leader="dot" w:pos="7200"/>
        </w:tabs>
      </w:pPr>
    </w:p>
    <w:p w14:paraId="1621792F" w14:textId="010C1EF6" w:rsidR="00523CC6" w:rsidRPr="00291FC1" w:rsidRDefault="00523CC6" w:rsidP="00291FC1">
      <w:pPr>
        <w:tabs>
          <w:tab w:val="right" w:leader="dot" w:pos="7200"/>
        </w:tabs>
      </w:pPr>
      <w:r w:rsidRPr="00523CC6">
        <w:t>N.C. R. Evid. 104(a)</w:t>
      </w:r>
      <w:r>
        <w:tab/>
        <w:t>10</w:t>
      </w:r>
    </w:p>
    <w:p w14:paraId="1FB14B5D" w14:textId="4B483008" w:rsidR="005A27EF" w:rsidRPr="00396A74" w:rsidRDefault="00231898" w:rsidP="00291FC1">
      <w:pPr>
        <w:tabs>
          <w:tab w:val="right" w:leader="dot" w:pos="7200"/>
        </w:tabs>
        <w:spacing w:after="120"/>
        <w:contextualSpacing/>
        <w:rPr>
          <w:b/>
          <w:bCs/>
          <w:szCs w:val="26"/>
          <w:u w:val="single"/>
        </w:rPr>
      </w:pPr>
      <w:r w:rsidRPr="00291FC1">
        <w:rPr>
          <w:szCs w:val="26"/>
        </w:rPr>
        <w:fldChar w:fldCharType="end"/>
      </w:r>
    </w:p>
    <w:p w14:paraId="138814B8" w14:textId="3269CB84" w:rsidR="005A27EF" w:rsidRDefault="005A27EF" w:rsidP="00932ADC">
      <w:pPr>
        <w:tabs>
          <w:tab w:val="left" w:pos="4680"/>
        </w:tabs>
        <w:spacing w:after="120"/>
        <w:contextualSpacing/>
        <w:rPr>
          <w:b/>
          <w:bCs/>
          <w:szCs w:val="26"/>
          <w:u w:val="single"/>
        </w:rPr>
        <w:sectPr w:rsidR="005A27EF" w:rsidSect="00291FC1">
          <w:headerReference w:type="first" r:id="rId9"/>
          <w:pgSz w:w="12240" w:h="15840"/>
          <w:pgMar w:top="1296" w:right="2520" w:bottom="1296" w:left="2520" w:header="720" w:footer="720" w:gutter="0"/>
          <w:pgNumType w:fmt="lowerRoman" w:start="1"/>
          <w:cols w:space="720"/>
          <w:titlePg/>
          <w:docGrid w:linePitch="381"/>
        </w:sectPr>
      </w:pPr>
    </w:p>
    <w:p w14:paraId="481DEF45" w14:textId="7629C6A7" w:rsidR="00932ADC" w:rsidRPr="00C3297D" w:rsidRDefault="00932ADC" w:rsidP="00932ADC">
      <w:pPr>
        <w:tabs>
          <w:tab w:val="left" w:pos="4680"/>
        </w:tabs>
        <w:spacing w:after="120"/>
        <w:contextualSpacing/>
        <w:rPr>
          <w:szCs w:val="26"/>
        </w:rPr>
      </w:pPr>
      <w:r w:rsidRPr="00C3297D">
        <w:rPr>
          <w:szCs w:val="26"/>
        </w:rPr>
        <w:t>No. COA</w:t>
      </w:r>
      <w:r w:rsidR="00DD071F">
        <w:rPr>
          <w:szCs w:val="26"/>
        </w:rPr>
        <w:t>22-632</w:t>
      </w:r>
      <w:r w:rsidR="00AD1E9A">
        <w:rPr>
          <w:szCs w:val="26"/>
        </w:rPr>
        <w:t xml:space="preserve">                                   </w:t>
      </w:r>
      <w:r w:rsidR="004E39C9" w:rsidRPr="00C3297D">
        <w:rPr>
          <w:szCs w:val="26"/>
        </w:rPr>
        <w:t>TWENTY-</w:t>
      </w:r>
      <w:r w:rsidR="00A61A43">
        <w:rPr>
          <w:szCs w:val="26"/>
        </w:rPr>
        <w:t>SIXTH</w:t>
      </w:r>
      <w:r w:rsidR="00787EE3">
        <w:rPr>
          <w:szCs w:val="26"/>
        </w:rPr>
        <w:t xml:space="preserve"> JUDICIAL</w:t>
      </w:r>
      <w:r w:rsidRPr="00C3297D">
        <w:rPr>
          <w:szCs w:val="26"/>
        </w:rPr>
        <w:t xml:space="preserve"> DISTRICT</w:t>
      </w:r>
    </w:p>
    <w:p w14:paraId="3F710867" w14:textId="77777777" w:rsidR="00932ADC" w:rsidRPr="00C3297D" w:rsidRDefault="00932ADC" w:rsidP="00932ADC">
      <w:pPr>
        <w:tabs>
          <w:tab w:val="left" w:pos="4680"/>
        </w:tabs>
        <w:spacing w:after="120"/>
        <w:contextualSpacing/>
        <w:rPr>
          <w:szCs w:val="26"/>
        </w:rPr>
      </w:pPr>
    </w:p>
    <w:p w14:paraId="6E5C2531" w14:textId="77777777" w:rsidR="00932ADC" w:rsidRPr="00C3297D" w:rsidRDefault="00932ADC" w:rsidP="00932ADC">
      <w:pPr>
        <w:tabs>
          <w:tab w:val="left" w:pos="4680"/>
        </w:tabs>
        <w:spacing w:after="120"/>
        <w:contextualSpacing/>
        <w:jc w:val="center"/>
        <w:rPr>
          <w:szCs w:val="26"/>
        </w:rPr>
      </w:pPr>
      <w:r w:rsidRPr="00C3297D">
        <w:rPr>
          <w:szCs w:val="26"/>
        </w:rPr>
        <w:t>NORTH CAROLINA COURT OF APPEALS</w:t>
      </w:r>
    </w:p>
    <w:p w14:paraId="600BB778" w14:textId="77777777" w:rsidR="00932ADC" w:rsidRPr="00C3297D" w:rsidRDefault="00932ADC" w:rsidP="00932ADC">
      <w:pPr>
        <w:spacing w:after="120"/>
        <w:jc w:val="center"/>
        <w:rPr>
          <w:szCs w:val="26"/>
        </w:rPr>
      </w:pPr>
      <w:r w:rsidRPr="00C3297D">
        <w:rPr>
          <w:szCs w:val="26"/>
        </w:rPr>
        <w:t>****************************************************</w:t>
      </w:r>
    </w:p>
    <w:p w14:paraId="3C8A5B5F" w14:textId="77777777" w:rsidR="00932ADC" w:rsidRPr="00C3297D" w:rsidRDefault="00932ADC" w:rsidP="00932ADC">
      <w:pPr>
        <w:tabs>
          <w:tab w:val="left" w:pos="4680"/>
        </w:tabs>
        <w:jc w:val="both"/>
        <w:rPr>
          <w:rFonts w:eastAsia="Times New Roman"/>
          <w:szCs w:val="26"/>
        </w:rPr>
      </w:pPr>
      <w:r w:rsidRPr="00C3297D">
        <w:rPr>
          <w:rFonts w:eastAsia="Times New Roman"/>
          <w:szCs w:val="26"/>
        </w:rPr>
        <w:t>STATE OF NORTH CAROLINA</w:t>
      </w:r>
      <w:r w:rsidRPr="00C3297D">
        <w:rPr>
          <w:rFonts w:eastAsia="Times New Roman"/>
          <w:szCs w:val="26"/>
        </w:rPr>
        <w:tab/>
        <w:t>)</w:t>
      </w:r>
    </w:p>
    <w:p w14:paraId="22E0311E" w14:textId="77777777" w:rsidR="00932ADC" w:rsidRPr="00C3297D" w:rsidRDefault="00932ADC" w:rsidP="00932ADC">
      <w:pPr>
        <w:tabs>
          <w:tab w:val="left" w:pos="4680"/>
        </w:tabs>
        <w:jc w:val="both"/>
        <w:rPr>
          <w:rFonts w:eastAsia="Times New Roman"/>
          <w:szCs w:val="26"/>
        </w:rPr>
      </w:pPr>
      <w:r w:rsidRPr="00C3297D">
        <w:rPr>
          <w:rFonts w:eastAsia="Times New Roman"/>
          <w:szCs w:val="26"/>
        </w:rPr>
        <w:tab/>
        <w:t>)</w:t>
      </w:r>
    </w:p>
    <w:p w14:paraId="0DC90B11" w14:textId="41068578" w:rsidR="00932ADC" w:rsidRPr="00C3297D" w:rsidRDefault="00932ADC" w:rsidP="00932ADC">
      <w:pPr>
        <w:tabs>
          <w:tab w:val="left" w:pos="4680"/>
          <w:tab w:val="left" w:pos="5310"/>
        </w:tabs>
        <w:jc w:val="both"/>
        <w:rPr>
          <w:szCs w:val="26"/>
        </w:rPr>
      </w:pPr>
      <w:r w:rsidRPr="00C3297D">
        <w:rPr>
          <w:szCs w:val="26"/>
        </w:rPr>
        <w:t xml:space="preserve">                      v.</w:t>
      </w:r>
      <w:r w:rsidRPr="00C3297D">
        <w:rPr>
          <w:szCs w:val="26"/>
        </w:rPr>
        <w:tab/>
        <w:t xml:space="preserve">) </w:t>
      </w:r>
      <w:r w:rsidRPr="00C3297D">
        <w:rPr>
          <w:szCs w:val="26"/>
        </w:rPr>
        <w:tab/>
      </w:r>
      <w:r w:rsidRPr="00C3297D">
        <w:rPr>
          <w:szCs w:val="26"/>
          <w:u w:val="single"/>
        </w:rPr>
        <w:t xml:space="preserve">From </w:t>
      </w:r>
      <w:r w:rsidR="00A61A43">
        <w:rPr>
          <w:szCs w:val="26"/>
          <w:u w:val="single"/>
        </w:rPr>
        <w:t>Mecklenburg</w:t>
      </w:r>
      <w:r w:rsidR="001D1AEE">
        <w:rPr>
          <w:szCs w:val="26"/>
          <w:u w:val="single"/>
        </w:rPr>
        <w:t xml:space="preserve"> County</w:t>
      </w:r>
      <w:r w:rsidRPr="00C3297D">
        <w:rPr>
          <w:szCs w:val="26"/>
          <w:u w:val="single"/>
        </w:rPr>
        <w:t xml:space="preserve">  </w:t>
      </w:r>
    </w:p>
    <w:p w14:paraId="74BA435E" w14:textId="77777777" w:rsidR="00932ADC" w:rsidRPr="00C3297D" w:rsidRDefault="00932ADC" w:rsidP="00932ADC">
      <w:pPr>
        <w:tabs>
          <w:tab w:val="left" w:pos="4680"/>
          <w:tab w:val="left" w:pos="5310"/>
        </w:tabs>
        <w:rPr>
          <w:szCs w:val="26"/>
        </w:rPr>
      </w:pPr>
      <w:r w:rsidRPr="00C3297D">
        <w:rPr>
          <w:szCs w:val="26"/>
        </w:rPr>
        <w:tab/>
        <w:t xml:space="preserve">) </w:t>
      </w:r>
      <w:r w:rsidRPr="00C3297D">
        <w:rPr>
          <w:szCs w:val="26"/>
        </w:rPr>
        <w:tab/>
      </w:r>
    </w:p>
    <w:p w14:paraId="28B77632" w14:textId="1AAA940E" w:rsidR="00932ADC" w:rsidRPr="00C3297D" w:rsidRDefault="00A61A43" w:rsidP="00932ADC">
      <w:pPr>
        <w:tabs>
          <w:tab w:val="left" w:pos="4680"/>
          <w:tab w:val="left" w:pos="5400"/>
        </w:tabs>
        <w:spacing w:after="120"/>
        <w:jc w:val="both"/>
        <w:rPr>
          <w:szCs w:val="26"/>
        </w:rPr>
      </w:pPr>
      <w:proofErr w:type="spellStart"/>
      <w:r>
        <w:rPr>
          <w:szCs w:val="26"/>
        </w:rPr>
        <w:t>TAIQUAN</w:t>
      </w:r>
      <w:proofErr w:type="spellEnd"/>
      <w:r>
        <w:rPr>
          <w:szCs w:val="26"/>
        </w:rPr>
        <w:t xml:space="preserve"> RODGERS</w:t>
      </w:r>
      <w:r w:rsidR="00932ADC" w:rsidRPr="00C3297D">
        <w:rPr>
          <w:szCs w:val="26"/>
        </w:rPr>
        <w:tab/>
        <w:t>)</w:t>
      </w:r>
      <w:r w:rsidR="00932ADC" w:rsidRPr="00C3297D">
        <w:rPr>
          <w:szCs w:val="26"/>
        </w:rPr>
        <w:tab/>
      </w:r>
    </w:p>
    <w:p w14:paraId="213E182F" w14:textId="77777777" w:rsidR="00932ADC" w:rsidRPr="00C3297D" w:rsidRDefault="00932ADC" w:rsidP="00932ADC">
      <w:pPr>
        <w:contextualSpacing/>
        <w:jc w:val="center"/>
        <w:rPr>
          <w:rFonts w:eastAsia="Times New Roman" w:cs="Courier New"/>
          <w:szCs w:val="26"/>
        </w:rPr>
      </w:pPr>
      <w:r w:rsidRPr="00C3297D">
        <w:rPr>
          <w:rFonts w:eastAsia="Times New Roman" w:cs="Courier New"/>
          <w:szCs w:val="26"/>
        </w:rPr>
        <w:t>***************************************</w:t>
      </w:r>
    </w:p>
    <w:p w14:paraId="66328981" w14:textId="77777777" w:rsidR="00932ADC" w:rsidRPr="00C3297D" w:rsidRDefault="00932ADC" w:rsidP="00932ADC">
      <w:pPr>
        <w:contextualSpacing/>
        <w:jc w:val="center"/>
        <w:rPr>
          <w:szCs w:val="26"/>
        </w:rPr>
      </w:pPr>
      <w:r w:rsidRPr="00C3297D">
        <w:rPr>
          <w:szCs w:val="26"/>
        </w:rPr>
        <w:t>DEFENDANT-APPELLANT’S BRIEF</w:t>
      </w:r>
    </w:p>
    <w:p w14:paraId="3BD2102D" w14:textId="77777777" w:rsidR="00932ADC" w:rsidRPr="00C3297D" w:rsidRDefault="00932ADC" w:rsidP="00932ADC">
      <w:pPr>
        <w:jc w:val="center"/>
        <w:rPr>
          <w:rFonts w:eastAsia="Times New Roman" w:cs="Courier New"/>
          <w:szCs w:val="26"/>
        </w:rPr>
      </w:pPr>
      <w:r w:rsidRPr="00C3297D">
        <w:rPr>
          <w:rFonts w:eastAsia="Times New Roman" w:cs="Courier New"/>
          <w:szCs w:val="26"/>
        </w:rPr>
        <w:t>***************************************</w:t>
      </w:r>
    </w:p>
    <w:p w14:paraId="6EF78E2A" w14:textId="77777777" w:rsidR="00D90728" w:rsidRPr="00C3297D" w:rsidRDefault="00D90728" w:rsidP="004E39C9">
      <w:pPr>
        <w:jc w:val="center"/>
        <w:rPr>
          <w:b/>
          <w:bCs/>
          <w:szCs w:val="26"/>
          <w:u w:val="single"/>
        </w:rPr>
      </w:pPr>
    </w:p>
    <w:p w14:paraId="441F9A9C" w14:textId="323B2A1B" w:rsidR="00CE2FF6" w:rsidRPr="00D350F6" w:rsidRDefault="00D90728" w:rsidP="00D350F6">
      <w:pPr>
        <w:pStyle w:val="Heading1"/>
      </w:pPr>
      <w:bookmarkStart w:id="1" w:name="_Toc101777062"/>
      <w:r w:rsidRPr="00D350F6">
        <w:t>ISSUE</w:t>
      </w:r>
      <w:r w:rsidR="00A61A43" w:rsidRPr="00D350F6">
        <w:t>S</w:t>
      </w:r>
      <w:r w:rsidRPr="00D350F6">
        <w:t xml:space="preserve"> PRESENTED</w:t>
      </w:r>
      <w:bookmarkEnd w:id="1"/>
    </w:p>
    <w:p w14:paraId="2066AC6F" w14:textId="1DF1D3FA" w:rsidR="00D90728" w:rsidRPr="00C3297D" w:rsidRDefault="00D90728" w:rsidP="004E39C9">
      <w:pPr>
        <w:jc w:val="center"/>
        <w:rPr>
          <w:b/>
          <w:bCs/>
          <w:szCs w:val="26"/>
          <w:u w:val="single"/>
        </w:rPr>
      </w:pPr>
    </w:p>
    <w:p w14:paraId="5CA9FDD3" w14:textId="48DA806E" w:rsidR="00577B48" w:rsidRDefault="0075739C" w:rsidP="00577B48">
      <w:pPr>
        <w:pStyle w:val="Heading2"/>
        <w:numPr>
          <w:ilvl w:val="0"/>
          <w:numId w:val="12"/>
        </w:numPr>
      </w:pPr>
      <w:r>
        <w:t>Whether t</w:t>
      </w:r>
      <w:r w:rsidR="00577B48" w:rsidRPr="00C3297D">
        <w:t xml:space="preserve">he trial court </w:t>
      </w:r>
      <w:r w:rsidR="00577B48">
        <w:t xml:space="preserve">erred by admitting Sealy’s DNA opinion testimony </w:t>
      </w:r>
      <w:r w:rsidR="00FD7E8F">
        <w:t>without</w:t>
      </w:r>
      <w:r w:rsidR="00577B48">
        <w:t xml:space="preserve"> fulfill</w:t>
      </w:r>
      <w:r w:rsidR="00FD7E8F">
        <w:t>ing</w:t>
      </w:r>
      <w:r w:rsidR="00577B48">
        <w:t xml:space="preserve"> its gatekeeping duty to determine the reliability of the DNA testimony under Rule of Evidence 702 and </w:t>
      </w:r>
      <w:r w:rsidR="00577B48" w:rsidRPr="009457BC">
        <w:rPr>
          <w:i/>
          <w:iCs/>
        </w:rPr>
        <w:t>State v. McGrady</w:t>
      </w:r>
      <w:r w:rsidR="009565CA">
        <w:rPr>
          <w:i/>
          <w:iCs/>
        </w:rPr>
        <w:fldChar w:fldCharType="begin"/>
      </w:r>
      <w:r w:rsidR="009565CA">
        <w:instrText xml:space="preserve"> TA \l "</w:instrText>
      </w:r>
      <w:r w:rsidR="009565CA" w:rsidRPr="00275109">
        <w:rPr>
          <w:i/>
          <w:iCs/>
        </w:rPr>
        <w:instrText>State v. McGrady</w:instrText>
      </w:r>
      <w:r w:rsidR="009565CA">
        <w:instrText xml:space="preserve">" \s "State v. McGrady" \c 1 </w:instrText>
      </w:r>
      <w:r w:rsidR="009565CA">
        <w:rPr>
          <w:i/>
          <w:iCs/>
        </w:rPr>
        <w:fldChar w:fldCharType="end"/>
      </w:r>
      <w:r w:rsidR="00577B48" w:rsidRPr="00C3297D">
        <w:t>.</w:t>
      </w:r>
    </w:p>
    <w:p w14:paraId="6C61DDF0" w14:textId="018C36A7" w:rsidR="007A43F9" w:rsidRPr="00C3297D" w:rsidRDefault="007A43F9" w:rsidP="00D90728">
      <w:pPr>
        <w:rPr>
          <w:b/>
          <w:bCs/>
          <w:szCs w:val="26"/>
        </w:rPr>
      </w:pPr>
    </w:p>
    <w:p w14:paraId="0C248B70" w14:textId="6422DD48" w:rsidR="00577B48" w:rsidRDefault="0075739C" w:rsidP="00577B48">
      <w:pPr>
        <w:pStyle w:val="Heading2"/>
        <w:numPr>
          <w:ilvl w:val="0"/>
          <w:numId w:val="12"/>
        </w:numPr>
      </w:pPr>
      <w:r>
        <w:t xml:space="preserve">Whether the </w:t>
      </w:r>
      <w:r w:rsidR="00577B48">
        <w:t>trial court erred in denying Mr. Rodgers’s motions to dismiss because the evidence of sexual battery and larceny was insufficient to support the verdicts.</w:t>
      </w:r>
    </w:p>
    <w:p w14:paraId="49AA0AF5" w14:textId="77777777" w:rsidR="00241A96" w:rsidRDefault="00241A96">
      <w:pPr>
        <w:spacing w:after="160" w:line="259" w:lineRule="auto"/>
        <w:rPr>
          <w:b/>
          <w:bCs/>
          <w:szCs w:val="26"/>
          <w:u w:val="single"/>
        </w:rPr>
      </w:pPr>
      <w:r>
        <w:rPr>
          <w:b/>
          <w:bCs/>
          <w:szCs w:val="26"/>
          <w:u w:val="single"/>
        </w:rPr>
        <w:br w:type="page"/>
      </w:r>
    </w:p>
    <w:p w14:paraId="713113C4" w14:textId="693191DC" w:rsidR="00404197" w:rsidRPr="007B043B" w:rsidRDefault="007A43F9" w:rsidP="007B043B">
      <w:pPr>
        <w:pStyle w:val="Heading1"/>
      </w:pPr>
      <w:bookmarkStart w:id="2" w:name="_Toc101777063"/>
      <w:r w:rsidRPr="00D350F6">
        <w:t>STATEMENT OF THE CASE</w:t>
      </w:r>
      <w:bookmarkEnd w:id="2"/>
    </w:p>
    <w:p w14:paraId="0AEF9495" w14:textId="296AB7DD" w:rsidR="000E528B" w:rsidRPr="00C3297D" w:rsidRDefault="00DB0796" w:rsidP="007B043B">
      <w:pPr>
        <w:spacing w:line="480" w:lineRule="auto"/>
        <w:ind w:firstLine="720"/>
        <w:contextualSpacing/>
        <w:jc w:val="both"/>
        <w:rPr>
          <w:rFonts w:eastAsia="Times New Roman" w:cs="Courier New"/>
          <w:bCs/>
          <w:szCs w:val="26"/>
        </w:rPr>
      </w:pPr>
      <w:r>
        <w:rPr>
          <w:rFonts w:eastAsia="Times New Roman" w:cs="Courier New"/>
          <w:bCs/>
          <w:szCs w:val="26"/>
        </w:rPr>
        <w:t>On</w:t>
      </w:r>
      <w:r w:rsidR="001B4C1F">
        <w:rPr>
          <w:rFonts w:eastAsia="Times New Roman" w:cs="Courier New"/>
          <w:bCs/>
          <w:szCs w:val="26"/>
        </w:rPr>
        <w:t xml:space="preserve"> </w:t>
      </w:r>
      <w:r w:rsidR="00A61A43">
        <w:rPr>
          <w:rFonts w:eastAsia="Times New Roman" w:cs="Courier New"/>
          <w:bCs/>
          <w:szCs w:val="26"/>
        </w:rPr>
        <w:t>30</w:t>
      </w:r>
      <w:r w:rsidR="001B4C1F">
        <w:rPr>
          <w:rFonts w:eastAsia="Times New Roman" w:cs="Courier New"/>
          <w:bCs/>
          <w:szCs w:val="26"/>
        </w:rPr>
        <w:t xml:space="preserve"> September 20</w:t>
      </w:r>
      <w:r w:rsidR="00A61A43">
        <w:rPr>
          <w:rFonts w:eastAsia="Times New Roman" w:cs="Courier New"/>
          <w:bCs/>
          <w:szCs w:val="26"/>
        </w:rPr>
        <w:t>19</w:t>
      </w:r>
      <w:r w:rsidR="001B4C1F">
        <w:rPr>
          <w:rFonts w:eastAsia="Times New Roman" w:cs="Courier New"/>
          <w:bCs/>
          <w:szCs w:val="26"/>
        </w:rPr>
        <w:t xml:space="preserve">, a </w:t>
      </w:r>
      <w:r w:rsidR="00A61A43">
        <w:rPr>
          <w:rFonts w:eastAsia="Times New Roman" w:cs="Courier New"/>
          <w:bCs/>
          <w:szCs w:val="26"/>
        </w:rPr>
        <w:t>Mecklenburg</w:t>
      </w:r>
      <w:r w:rsidR="001B4C1F">
        <w:rPr>
          <w:rFonts w:eastAsia="Times New Roman" w:cs="Courier New"/>
          <w:bCs/>
          <w:szCs w:val="26"/>
        </w:rPr>
        <w:t xml:space="preserve"> County Grand Jury indicted Mr. </w:t>
      </w:r>
      <w:r w:rsidR="00A61A43">
        <w:rPr>
          <w:rFonts w:eastAsia="Times New Roman" w:cs="Courier New"/>
          <w:bCs/>
          <w:szCs w:val="26"/>
        </w:rPr>
        <w:t>Rodgers</w:t>
      </w:r>
      <w:r w:rsidR="000B3D0C">
        <w:rPr>
          <w:rFonts w:eastAsia="Times New Roman" w:cs="Courier New"/>
          <w:bCs/>
          <w:szCs w:val="26"/>
        </w:rPr>
        <w:t xml:space="preserve"> on one count </w:t>
      </w:r>
      <w:r w:rsidR="00A61A43">
        <w:rPr>
          <w:rFonts w:eastAsia="Times New Roman" w:cs="Courier New"/>
          <w:bCs/>
          <w:szCs w:val="26"/>
        </w:rPr>
        <w:t xml:space="preserve">each </w:t>
      </w:r>
      <w:r w:rsidR="000B3D0C">
        <w:rPr>
          <w:rFonts w:eastAsia="Times New Roman" w:cs="Courier New"/>
          <w:bCs/>
          <w:szCs w:val="26"/>
        </w:rPr>
        <w:t xml:space="preserve">of </w:t>
      </w:r>
      <w:r w:rsidR="00A61A43">
        <w:rPr>
          <w:rFonts w:eastAsia="Times New Roman" w:cs="Courier New"/>
          <w:bCs/>
          <w:szCs w:val="26"/>
        </w:rPr>
        <w:t>felony larceny after breaking and entering, first</w:t>
      </w:r>
      <w:r w:rsidR="00FD7E8F">
        <w:rPr>
          <w:rFonts w:eastAsia="Times New Roman" w:cs="Courier New"/>
          <w:bCs/>
          <w:szCs w:val="26"/>
        </w:rPr>
        <w:t>-</w:t>
      </w:r>
      <w:r w:rsidR="00A61A43">
        <w:rPr>
          <w:rFonts w:eastAsia="Times New Roman" w:cs="Courier New"/>
          <w:bCs/>
          <w:szCs w:val="26"/>
        </w:rPr>
        <w:t>degree burglary, and misdemeanor sexual battery</w:t>
      </w:r>
      <w:r w:rsidR="00531A11">
        <w:rPr>
          <w:rFonts w:eastAsia="Times New Roman" w:cs="Courier New"/>
          <w:bCs/>
          <w:szCs w:val="26"/>
        </w:rPr>
        <w:t>.  (R p</w:t>
      </w:r>
      <w:r w:rsidR="00475F7D">
        <w:rPr>
          <w:rFonts w:eastAsia="Times New Roman" w:cs="Courier New"/>
          <w:bCs/>
          <w:szCs w:val="26"/>
        </w:rPr>
        <w:t>p 8-10</w:t>
      </w:r>
      <w:proofErr w:type="gramStart"/>
      <w:r w:rsidR="00B44641">
        <w:rPr>
          <w:rFonts w:eastAsia="Times New Roman" w:cs="Courier New"/>
          <w:bCs/>
          <w:szCs w:val="26"/>
        </w:rPr>
        <w:t xml:space="preserve">)  </w:t>
      </w:r>
      <w:r w:rsidR="000E528B">
        <w:rPr>
          <w:rFonts w:eastAsia="Times New Roman" w:cs="Courier New"/>
          <w:bCs/>
          <w:szCs w:val="26"/>
        </w:rPr>
        <w:t>Mr.</w:t>
      </w:r>
      <w:proofErr w:type="gramEnd"/>
      <w:r w:rsidR="000E528B">
        <w:rPr>
          <w:rFonts w:eastAsia="Times New Roman" w:cs="Courier New"/>
          <w:bCs/>
          <w:szCs w:val="26"/>
        </w:rPr>
        <w:t xml:space="preserve"> </w:t>
      </w:r>
      <w:r w:rsidR="00A61A43">
        <w:rPr>
          <w:rFonts w:eastAsia="Times New Roman" w:cs="Courier New"/>
          <w:bCs/>
          <w:szCs w:val="26"/>
        </w:rPr>
        <w:t>Rodgers</w:t>
      </w:r>
      <w:r w:rsidR="000E528B">
        <w:rPr>
          <w:rFonts w:eastAsia="Times New Roman" w:cs="Courier New"/>
          <w:bCs/>
          <w:szCs w:val="26"/>
        </w:rPr>
        <w:t xml:space="preserve">’s case </w:t>
      </w:r>
      <w:r w:rsidR="00A73F28">
        <w:rPr>
          <w:rFonts w:eastAsia="Times New Roman" w:cs="Courier New"/>
          <w:bCs/>
          <w:szCs w:val="26"/>
        </w:rPr>
        <w:t>was tried</w:t>
      </w:r>
      <w:r w:rsidR="000E528B">
        <w:rPr>
          <w:rFonts w:eastAsia="Times New Roman" w:cs="Courier New"/>
          <w:bCs/>
          <w:szCs w:val="26"/>
        </w:rPr>
        <w:t xml:space="preserve"> </w:t>
      </w:r>
      <w:r w:rsidR="00A61A43">
        <w:rPr>
          <w:rFonts w:eastAsia="Times New Roman" w:cs="Courier New"/>
          <w:bCs/>
          <w:szCs w:val="26"/>
        </w:rPr>
        <w:t>between</w:t>
      </w:r>
      <w:r w:rsidR="00FE50C3">
        <w:rPr>
          <w:rFonts w:eastAsia="Times New Roman" w:cs="Courier New"/>
          <w:bCs/>
          <w:szCs w:val="26"/>
        </w:rPr>
        <w:t xml:space="preserve"> </w:t>
      </w:r>
      <w:r w:rsidR="00A61A43">
        <w:rPr>
          <w:rFonts w:eastAsia="Times New Roman" w:cs="Courier New"/>
          <w:bCs/>
          <w:szCs w:val="26"/>
        </w:rPr>
        <w:t>30</w:t>
      </w:r>
      <w:r w:rsidR="006704A5">
        <w:rPr>
          <w:rFonts w:eastAsia="Times New Roman" w:cs="Courier New"/>
          <w:bCs/>
          <w:szCs w:val="26"/>
        </w:rPr>
        <w:t xml:space="preserve"> </w:t>
      </w:r>
      <w:r w:rsidR="00A61A43">
        <w:rPr>
          <w:rFonts w:eastAsia="Times New Roman" w:cs="Courier New"/>
          <w:bCs/>
          <w:szCs w:val="26"/>
        </w:rPr>
        <w:t>November and 7 December</w:t>
      </w:r>
      <w:r w:rsidR="00FE50C3">
        <w:rPr>
          <w:rFonts w:eastAsia="Times New Roman" w:cs="Courier New"/>
          <w:bCs/>
          <w:szCs w:val="26"/>
        </w:rPr>
        <w:t xml:space="preserve"> </w:t>
      </w:r>
      <w:r w:rsidR="006704A5">
        <w:rPr>
          <w:rFonts w:eastAsia="Times New Roman" w:cs="Courier New"/>
          <w:bCs/>
          <w:szCs w:val="26"/>
        </w:rPr>
        <w:t xml:space="preserve">2021 in </w:t>
      </w:r>
      <w:r w:rsidR="00A61A43">
        <w:rPr>
          <w:rFonts w:eastAsia="Times New Roman" w:cs="Courier New"/>
          <w:bCs/>
          <w:szCs w:val="26"/>
        </w:rPr>
        <w:t>Mecklenburg</w:t>
      </w:r>
      <w:r w:rsidR="006704A5">
        <w:rPr>
          <w:rFonts w:eastAsia="Times New Roman" w:cs="Courier New"/>
          <w:bCs/>
          <w:szCs w:val="26"/>
        </w:rPr>
        <w:t xml:space="preserve"> County Superior Court, Judge </w:t>
      </w:r>
      <w:r w:rsidR="00A61A43">
        <w:rPr>
          <w:rFonts w:eastAsia="Times New Roman" w:cs="Courier New"/>
          <w:bCs/>
          <w:szCs w:val="26"/>
        </w:rPr>
        <w:t>Robert C. Ervin</w:t>
      </w:r>
      <w:r w:rsidR="006704A5">
        <w:rPr>
          <w:rFonts w:eastAsia="Times New Roman" w:cs="Courier New"/>
          <w:bCs/>
          <w:szCs w:val="26"/>
        </w:rPr>
        <w:t xml:space="preserve"> presiding.  </w:t>
      </w:r>
      <w:r w:rsidR="00FE5BF3">
        <w:rPr>
          <w:rFonts w:eastAsia="Times New Roman" w:cs="Courier New"/>
          <w:bCs/>
          <w:szCs w:val="26"/>
        </w:rPr>
        <w:t>(T p 1</w:t>
      </w:r>
      <w:proofErr w:type="gramStart"/>
      <w:r w:rsidR="00FE5BF3">
        <w:rPr>
          <w:rFonts w:eastAsia="Times New Roman" w:cs="Courier New"/>
          <w:bCs/>
          <w:szCs w:val="26"/>
        </w:rPr>
        <w:t>)</w:t>
      </w:r>
      <w:r w:rsidR="008C722B">
        <w:rPr>
          <w:rFonts w:eastAsia="Times New Roman" w:cs="Courier New"/>
          <w:bCs/>
          <w:szCs w:val="26"/>
        </w:rPr>
        <w:t xml:space="preserve">  </w:t>
      </w:r>
      <w:r w:rsidR="00A73F28">
        <w:rPr>
          <w:rFonts w:eastAsia="Times New Roman" w:cs="Courier New"/>
          <w:bCs/>
          <w:szCs w:val="26"/>
        </w:rPr>
        <w:t>A</w:t>
      </w:r>
      <w:proofErr w:type="gramEnd"/>
      <w:r w:rsidR="00A73F28">
        <w:rPr>
          <w:rFonts w:eastAsia="Times New Roman" w:cs="Courier New"/>
          <w:bCs/>
          <w:szCs w:val="26"/>
        </w:rPr>
        <w:t xml:space="preserve"> </w:t>
      </w:r>
      <w:r w:rsidR="00EF089A">
        <w:rPr>
          <w:rFonts w:eastAsia="Times New Roman" w:cs="Courier New"/>
          <w:bCs/>
          <w:szCs w:val="26"/>
        </w:rPr>
        <w:t xml:space="preserve">jury found Mr. </w:t>
      </w:r>
      <w:r w:rsidR="00A61A43">
        <w:rPr>
          <w:rFonts w:eastAsia="Times New Roman" w:cs="Courier New"/>
          <w:bCs/>
          <w:szCs w:val="26"/>
        </w:rPr>
        <w:t>Rodgers</w:t>
      </w:r>
      <w:r w:rsidR="00EF089A">
        <w:rPr>
          <w:rFonts w:eastAsia="Times New Roman" w:cs="Courier New"/>
          <w:bCs/>
          <w:szCs w:val="26"/>
        </w:rPr>
        <w:t xml:space="preserve"> guilty of </w:t>
      </w:r>
      <w:r w:rsidR="00A61A43">
        <w:rPr>
          <w:rFonts w:eastAsia="Times New Roman" w:cs="Courier New"/>
          <w:bCs/>
          <w:szCs w:val="26"/>
        </w:rPr>
        <w:t>all three counts on</w:t>
      </w:r>
      <w:r w:rsidR="0062632E">
        <w:rPr>
          <w:rFonts w:eastAsia="Times New Roman" w:cs="Courier New"/>
          <w:bCs/>
          <w:szCs w:val="26"/>
        </w:rPr>
        <w:t xml:space="preserve"> </w:t>
      </w:r>
      <w:r w:rsidR="00A61A43">
        <w:rPr>
          <w:rFonts w:eastAsia="Times New Roman" w:cs="Courier New"/>
          <w:bCs/>
          <w:szCs w:val="26"/>
        </w:rPr>
        <w:t>7</w:t>
      </w:r>
      <w:r w:rsidR="0062632E">
        <w:rPr>
          <w:rFonts w:eastAsia="Times New Roman" w:cs="Courier New"/>
          <w:bCs/>
          <w:szCs w:val="26"/>
        </w:rPr>
        <w:t xml:space="preserve"> </w:t>
      </w:r>
      <w:r w:rsidR="00A61A43">
        <w:rPr>
          <w:rFonts w:eastAsia="Times New Roman" w:cs="Courier New"/>
          <w:bCs/>
          <w:szCs w:val="26"/>
        </w:rPr>
        <w:t>December</w:t>
      </w:r>
      <w:r w:rsidR="0062632E">
        <w:rPr>
          <w:rFonts w:eastAsia="Times New Roman" w:cs="Courier New"/>
          <w:bCs/>
          <w:szCs w:val="26"/>
        </w:rPr>
        <w:t xml:space="preserve"> 2021.  (</w:t>
      </w:r>
      <w:r w:rsidR="00475F7D">
        <w:rPr>
          <w:rFonts w:eastAsia="Times New Roman" w:cs="Courier New"/>
          <w:bCs/>
          <w:szCs w:val="26"/>
        </w:rPr>
        <w:t>R pp 61-63</w:t>
      </w:r>
      <w:proofErr w:type="gramStart"/>
      <w:r w:rsidR="0062632E">
        <w:rPr>
          <w:rFonts w:eastAsia="Times New Roman" w:cs="Courier New"/>
          <w:bCs/>
          <w:szCs w:val="26"/>
        </w:rPr>
        <w:t xml:space="preserve">)  </w:t>
      </w:r>
      <w:r w:rsidR="003315BF">
        <w:rPr>
          <w:rFonts w:eastAsia="Times New Roman" w:cs="Courier New"/>
          <w:bCs/>
          <w:szCs w:val="26"/>
        </w:rPr>
        <w:t>The</w:t>
      </w:r>
      <w:proofErr w:type="gramEnd"/>
      <w:r w:rsidR="003315BF">
        <w:rPr>
          <w:rFonts w:eastAsia="Times New Roman" w:cs="Courier New"/>
          <w:bCs/>
          <w:szCs w:val="26"/>
        </w:rPr>
        <w:t xml:space="preserve"> trial court </w:t>
      </w:r>
      <w:r w:rsidR="00A61A43">
        <w:rPr>
          <w:rFonts w:eastAsia="Times New Roman" w:cs="Courier New"/>
          <w:bCs/>
          <w:szCs w:val="26"/>
        </w:rPr>
        <w:t>sentenced Mr. Rodgers to 11 to 23 months imprisonment on the larceny after breaking and entering charge, 97 to 129 months on the first</w:t>
      </w:r>
      <w:r w:rsidR="00FD7E8F">
        <w:rPr>
          <w:rFonts w:eastAsia="Times New Roman" w:cs="Courier New"/>
          <w:bCs/>
          <w:szCs w:val="26"/>
        </w:rPr>
        <w:t>-</w:t>
      </w:r>
      <w:r w:rsidR="00A61A43">
        <w:rPr>
          <w:rFonts w:eastAsia="Times New Roman" w:cs="Courier New"/>
          <w:bCs/>
          <w:szCs w:val="26"/>
        </w:rPr>
        <w:t>degree burglary charge, and 150 days suspended with 36 months of supervised probation on the sexual battery charge</w:t>
      </w:r>
      <w:r w:rsidR="00BD697C">
        <w:rPr>
          <w:rFonts w:eastAsia="Times New Roman" w:cs="Courier New"/>
          <w:bCs/>
          <w:szCs w:val="26"/>
        </w:rPr>
        <w:t>.  (</w:t>
      </w:r>
      <w:r w:rsidR="00475F7D">
        <w:rPr>
          <w:rFonts w:eastAsia="Times New Roman" w:cs="Courier New"/>
          <w:bCs/>
          <w:szCs w:val="26"/>
        </w:rPr>
        <w:t>R pp 67-72</w:t>
      </w:r>
      <w:proofErr w:type="gramStart"/>
      <w:r w:rsidR="00BD697C">
        <w:rPr>
          <w:rFonts w:eastAsia="Times New Roman" w:cs="Courier New"/>
          <w:bCs/>
          <w:szCs w:val="26"/>
        </w:rPr>
        <w:t>)</w:t>
      </w:r>
      <w:r w:rsidR="002B5282">
        <w:rPr>
          <w:rFonts w:eastAsia="Times New Roman" w:cs="Courier New"/>
          <w:bCs/>
          <w:szCs w:val="26"/>
        </w:rPr>
        <w:t xml:space="preserve">  </w:t>
      </w:r>
      <w:r w:rsidR="00A61A43">
        <w:rPr>
          <w:rFonts w:eastAsia="Times New Roman" w:cs="Courier New"/>
          <w:bCs/>
          <w:szCs w:val="26"/>
        </w:rPr>
        <w:t>The</w:t>
      </w:r>
      <w:proofErr w:type="gramEnd"/>
      <w:r w:rsidR="00A61A43">
        <w:rPr>
          <w:rFonts w:eastAsia="Times New Roman" w:cs="Courier New"/>
          <w:bCs/>
          <w:szCs w:val="26"/>
        </w:rPr>
        <w:t xml:space="preserve"> trial court also ordered Mr. Rodgers to register as a sex offender for </w:t>
      </w:r>
      <w:r w:rsidR="0075739C">
        <w:rPr>
          <w:rFonts w:eastAsia="Times New Roman" w:cs="Courier New"/>
          <w:bCs/>
          <w:szCs w:val="26"/>
        </w:rPr>
        <w:t xml:space="preserve">30 </w:t>
      </w:r>
      <w:r w:rsidR="00A61A43">
        <w:rPr>
          <w:rFonts w:eastAsia="Times New Roman" w:cs="Courier New"/>
          <w:bCs/>
          <w:szCs w:val="26"/>
        </w:rPr>
        <w:t>years.  (</w:t>
      </w:r>
      <w:r w:rsidR="00475F7D">
        <w:rPr>
          <w:rFonts w:eastAsia="Times New Roman" w:cs="Courier New"/>
          <w:bCs/>
          <w:szCs w:val="26"/>
        </w:rPr>
        <w:t>R pp 75, 77</w:t>
      </w:r>
      <w:proofErr w:type="gramStart"/>
      <w:r w:rsidR="00A61A43">
        <w:rPr>
          <w:rFonts w:eastAsia="Times New Roman" w:cs="Courier New"/>
          <w:bCs/>
          <w:szCs w:val="26"/>
        </w:rPr>
        <w:t xml:space="preserve">)  </w:t>
      </w:r>
      <w:r w:rsidR="002B5282">
        <w:rPr>
          <w:rFonts w:eastAsia="Times New Roman" w:cs="Courier New"/>
          <w:bCs/>
          <w:szCs w:val="26"/>
        </w:rPr>
        <w:t>Mr.</w:t>
      </w:r>
      <w:proofErr w:type="gramEnd"/>
      <w:r w:rsidR="002B5282">
        <w:rPr>
          <w:rFonts w:eastAsia="Times New Roman" w:cs="Courier New"/>
          <w:bCs/>
          <w:szCs w:val="26"/>
        </w:rPr>
        <w:t xml:space="preserve"> </w:t>
      </w:r>
      <w:r w:rsidR="00A61A43">
        <w:rPr>
          <w:rFonts w:eastAsia="Times New Roman" w:cs="Courier New"/>
          <w:bCs/>
          <w:szCs w:val="26"/>
        </w:rPr>
        <w:t>Rodgers</w:t>
      </w:r>
      <w:r w:rsidR="002B5282">
        <w:rPr>
          <w:rFonts w:eastAsia="Times New Roman" w:cs="Courier New"/>
          <w:bCs/>
          <w:szCs w:val="26"/>
        </w:rPr>
        <w:t xml:space="preserve"> entered </w:t>
      </w:r>
      <w:r w:rsidR="00A61A43">
        <w:rPr>
          <w:rFonts w:eastAsia="Times New Roman" w:cs="Courier New"/>
          <w:bCs/>
          <w:szCs w:val="26"/>
        </w:rPr>
        <w:t>written</w:t>
      </w:r>
      <w:r w:rsidR="002B5282">
        <w:rPr>
          <w:rFonts w:eastAsia="Times New Roman" w:cs="Courier New"/>
          <w:bCs/>
          <w:szCs w:val="26"/>
        </w:rPr>
        <w:t xml:space="preserve"> </w:t>
      </w:r>
      <w:r w:rsidR="00E836E7">
        <w:rPr>
          <w:rFonts w:eastAsia="Times New Roman" w:cs="Courier New"/>
          <w:bCs/>
          <w:szCs w:val="26"/>
        </w:rPr>
        <w:t xml:space="preserve">notice </w:t>
      </w:r>
      <w:r w:rsidR="002B5282">
        <w:rPr>
          <w:rFonts w:eastAsia="Times New Roman" w:cs="Courier New"/>
          <w:bCs/>
          <w:szCs w:val="26"/>
        </w:rPr>
        <w:t xml:space="preserve">of </w:t>
      </w:r>
      <w:r w:rsidR="00E836E7">
        <w:rPr>
          <w:rFonts w:eastAsia="Times New Roman" w:cs="Courier New"/>
          <w:bCs/>
          <w:szCs w:val="26"/>
        </w:rPr>
        <w:t xml:space="preserve">appeal </w:t>
      </w:r>
      <w:r w:rsidR="00A61A43">
        <w:rPr>
          <w:rFonts w:eastAsia="Times New Roman" w:cs="Courier New"/>
          <w:bCs/>
          <w:szCs w:val="26"/>
        </w:rPr>
        <w:t>on 8 December 2021</w:t>
      </w:r>
      <w:r w:rsidR="002A61A1">
        <w:rPr>
          <w:rFonts w:eastAsia="Times New Roman" w:cs="Courier New"/>
          <w:bCs/>
          <w:szCs w:val="26"/>
        </w:rPr>
        <w:t>.  (</w:t>
      </w:r>
      <w:r w:rsidR="00475F7D">
        <w:rPr>
          <w:rFonts w:eastAsia="Times New Roman" w:cs="Courier New"/>
          <w:bCs/>
          <w:szCs w:val="26"/>
        </w:rPr>
        <w:t>R p 79</w:t>
      </w:r>
      <w:r w:rsidR="002A61A1">
        <w:rPr>
          <w:rFonts w:eastAsia="Times New Roman" w:cs="Courier New"/>
          <w:bCs/>
          <w:szCs w:val="26"/>
        </w:rPr>
        <w:t>)</w:t>
      </w:r>
    </w:p>
    <w:p w14:paraId="58315C28" w14:textId="2DB583C8" w:rsidR="00ED38D1" w:rsidRPr="007B043B" w:rsidRDefault="007A43F9" w:rsidP="007B043B">
      <w:pPr>
        <w:pStyle w:val="Heading1"/>
      </w:pPr>
      <w:bookmarkStart w:id="3" w:name="_Toc101777064"/>
      <w:r w:rsidRPr="00D350F6">
        <w:t>STATEMENT OF THE GROUNDS FOR APPELLATE REVIEW</w:t>
      </w:r>
      <w:bookmarkEnd w:id="3"/>
    </w:p>
    <w:p w14:paraId="7F5EAEF9" w14:textId="15C9E623" w:rsidR="00006C36" w:rsidRPr="00C3297D" w:rsidRDefault="00ED38D1" w:rsidP="007B043B">
      <w:pPr>
        <w:spacing w:line="480" w:lineRule="auto"/>
        <w:contextualSpacing/>
        <w:jc w:val="both"/>
        <w:rPr>
          <w:szCs w:val="26"/>
        </w:rPr>
      </w:pPr>
      <w:r w:rsidRPr="00C3297D">
        <w:rPr>
          <w:szCs w:val="26"/>
        </w:rPr>
        <w:tab/>
        <w:t xml:space="preserve">Mr. </w:t>
      </w:r>
      <w:r w:rsidR="00A61A43">
        <w:rPr>
          <w:szCs w:val="26"/>
        </w:rPr>
        <w:t>Rodgers</w:t>
      </w:r>
      <w:r w:rsidRPr="00C3297D">
        <w:rPr>
          <w:szCs w:val="26"/>
        </w:rPr>
        <w:t xml:space="preserve"> appeals from final </w:t>
      </w:r>
      <w:r w:rsidR="00A73F28">
        <w:rPr>
          <w:szCs w:val="26"/>
        </w:rPr>
        <w:t>j</w:t>
      </w:r>
      <w:r w:rsidR="00A73F28" w:rsidRPr="00C3297D">
        <w:rPr>
          <w:szCs w:val="26"/>
        </w:rPr>
        <w:t>udgment</w:t>
      </w:r>
      <w:r w:rsidR="00A61A43">
        <w:rPr>
          <w:szCs w:val="26"/>
        </w:rPr>
        <w:t>s</w:t>
      </w:r>
      <w:r w:rsidR="00A73F28" w:rsidRPr="00C3297D">
        <w:rPr>
          <w:szCs w:val="26"/>
        </w:rPr>
        <w:t xml:space="preserve"> </w:t>
      </w:r>
      <w:r w:rsidRPr="00C3297D">
        <w:rPr>
          <w:szCs w:val="26"/>
        </w:rPr>
        <w:t>of the Superior Court pursuant to N.C.G.S. §§ 7A-27</w:t>
      </w:r>
      <w:r w:rsidR="00851BF2">
        <w:rPr>
          <w:szCs w:val="26"/>
        </w:rPr>
        <w:t>(b)(1)</w:t>
      </w:r>
      <w:r w:rsidR="00B20CCB">
        <w:rPr>
          <w:szCs w:val="26"/>
        </w:rPr>
        <w:fldChar w:fldCharType="begin"/>
      </w:r>
      <w:r w:rsidR="00B20CCB">
        <w:instrText xml:space="preserve"> TA \l "</w:instrText>
      </w:r>
      <w:r w:rsidR="00B20CCB" w:rsidRPr="009E67A3">
        <w:rPr>
          <w:szCs w:val="26"/>
        </w:rPr>
        <w:instrText>N.C.G.S. §§ 7A-27(b)(1)</w:instrText>
      </w:r>
      <w:r w:rsidR="00B20CCB">
        <w:instrText xml:space="preserve">" \s "N.C.G.S. §§ 7A-27(b)(1)" \c 2 </w:instrText>
      </w:r>
      <w:r w:rsidR="00B20CCB">
        <w:rPr>
          <w:szCs w:val="26"/>
        </w:rPr>
        <w:fldChar w:fldCharType="end"/>
      </w:r>
      <w:r w:rsidRPr="00C3297D">
        <w:rPr>
          <w:szCs w:val="26"/>
        </w:rPr>
        <w:t xml:space="preserve"> and </w:t>
      </w:r>
      <w:r w:rsidRPr="00B828C1">
        <w:rPr>
          <w:szCs w:val="26"/>
        </w:rPr>
        <w:t>15A-</w:t>
      </w:r>
      <w:r w:rsidR="003E344B">
        <w:rPr>
          <w:szCs w:val="26"/>
        </w:rPr>
        <w:t>1444</w:t>
      </w:r>
      <w:r w:rsidR="006A064A">
        <w:rPr>
          <w:szCs w:val="26"/>
        </w:rPr>
        <w:t>(</w:t>
      </w:r>
      <w:r w:rsidR="003E344B">
        <w:rPr>
          <w:szCs w:val="26"/>
        </w:rPr>
        <w:t>a</w:t>
      </w:r>
      <w:r w:rsidR="006A064A">
        <w:rPr>
          <w:szCs w:val="26"/>
        </w:rPr>
        <w:t>)</w:t>
      </w:r>
      <w:r w:rsidR="00B20CCB">
        <w:rPr>
          <w:szCs w:val="26"/>
        </w:rPr>
        <w:fldChar w:fldCharType="begin"/>
      </w:r>
      <w:r w:rsidR="00B20CCB">
        <w:instrText xml:space="preserve"> TA \l "</w:instrText>
      </w:r>
      <w:r w:rsidR="00B20CCB" w:rsidRPr="009E67A3">
        <w:rPr>
          <w:szCs w:val="26"/>
        </w:rPr>
        <w:instrText>15A-1444(a)</w:instrText>
      </w:r>
      <w:r w:rsidR="00B20CCB">
        <w:instrText xml:space="preserve">" \s "15A-1444(a)" \c 2 </w:instrText>
      </w:r>
      <w:r w:rsidR="00B20CCB">
        <w:rPr>
          <w:szCs w:val="26"/>
        </w:rPr>
        <w:fldChar w:fldCharType="end"/>
      </w:r>
      <w:r w:rsidRPr="00C3297D">
        <w:rPr>
          <w:szCs w:val="26"/>
        </w:rPr>
        <w:t>.</w:t>
      </w:r>
      <w:r w:rsidR="00D7553B" w:rsidRPr="00C3297D">
        <w:rPr>
          <w:szCs w:val="26"/>
        </w:rPr>
        <w:t xml:space="preserve"> </w:t>
      </w:r>
    </w:p>
    <w:p w14:paraId="11220555" w14:textId="429B4965" w:rsidR="007A43F9" w:rsidRPr="00D350F6" w:rsidRDefault="007A43F9" w:rsidP="00D350F6">
      <w:pPr>
        <w:pStyle w:val="Heading1"/>
      </w:pPr>
      <w:bookmarkStart w:id="4" w:name="_Toc101777065"/>
      <w:r w:rsidRPr="00D350F6">
        <w:t>STATEMENT OF THE FACTS</w:t>
      </w:r>
      <w:bookmarkEnd w:id="4"/>
    </w:p>
    <w:p w14:paraId="4FA77D03" w14:textId="75B04E0B" w:rsidR="000319C0" w:rsidRPr="000319C0" w:rsidRDefault="000319C0" w:rsidP="008F625A">
      <w:pPr>
        <w:spacing w:line="480" w:lineRule="auto"/>
        <w:ind w:firstLine="720"/>
        <w:contextualSpacing/>
        <w:jc w:val="both"/>
        <w:rPr>
          <w:szCs w:val="26"/>
        </w:rPr>
      </w:pPr>
      <w:r w:rsidRPr="004C7CCA">
        <w:rPr>
          <w:rStyle w:val="CommentReference"/>
          <w:sz w:val="26"/>
          <w:szCs w:val="26"/>
        </w:rPr>
        <w:t xml:space="preserve">The only evidence connecting </w:t>
      </w:r>
      <w:proofErr w:type="spellStart"/>
      <w:r w:rsidRPr="004C7CCA">
        <w:rPr>
          <w:rStyle w:val="CommentReference"/>
          <w:sz w:val="26"/>
          <w:szCs w:val="26"/>
        </w:rPr>
        <w:t>Taiquan</w:t>
      </w:r>
      <w:proofErr w:type="spellEnd"/>
      <w:r w:rsidRPr="004C7CCA">
        <w:rPr>
          <w:rStyle w:val="CommentReference"/>
          <w:sz w:val="26"/>
          <w:szCs w:val="26"/>
        </w:rPr>
        <w:t xml:space="preserve"> Rodgers to </w:t>
      </w:r>
      <w:r w:rsidR="00AB3E0C">
        <w:rPr>
          <w:rStyle w:val="CommentReference"/>
          <w:sz w:val="26"/>
          <w:szCs w:val="26"/>
        </w:rPr>
        <w:t xml:space="preserve">a </w:t>
      </w:r>
      <w:r w:rsidR="0075739C">
        <w:rPr>
          <w:rStyle w:val="CommentReference"/>
          <w:sz w:val="26"/>
          <w:szCs w:val="26"/>
        </w:rPr>
        <w:t>break in at</w:t>
      </w:r>
      <w:r w:rsidRPr="004C7CCA">
        <w:rPr>
          <w:rStyle w:val="CommentReference"/>
          <w:sz w:val="26"/>
          <w:szCs w:val="26"/>
        </w:rPr>
        <w:t xml:space="preserve"> </w:t>
      </w:r>
      <w:proofErr w:type="spellStart"/>
      <w:r w:rsidR="00E63A81">
        <w:rPr>
          <w:rStyle w:val="CommentReference"/>
          <w:sz w:val="26"/>
          <w:szCs w:val="26"/>
        </w:rPr>
        <w:t>T.</w:t>
      </w:r>
      <w:r w:rsidRPr="004C7CCA">
        <w:rPr>
          <w:rStyle w:val="CommentReference"/>
          <w:sz w:val="26"/>
          <w:szCs w:val="26"/>
        </w:rPr>
        <w:t>L</w:t>
      </w:r>
      <w:r w:rsidR="00591A1B">
        <w:rPr>
          <w:rStyle w:val="CommentReference"/>
          <w:sz w:val="26"/>
          <w:szCs w:val="26"/>
        </w:rPr>
        <w:t>.</w:t>
      </w:r>
      <w:r w:rsidR="0075739C">
        <w:rPr>
          <w:rStyle w:val="CommentReference"/>
          <w:sz w:val="26"/>
          <w:szCs w:val="26"/>
        </w:rPr>
        <w:t>’s</w:t>
      </w:r>
      <w:proofErr w:type="spellEnd"/>
      <w:r w:rsidR="00591A1B">
        <w:rPr>
          <w:rStyle w:val="FootnoteReference"/>
          <w:szCs w:val="26"/>
        </w:rPr>
        <w:footnoteReference w:id="1"/>
      </w:r>
      <w:r w:rsidR="0075739C">
        <w:rPr>
          <w:rStyle w:val="CommentReference"/>
          <w:sz w:val="26"/>
          <w:szCs w:val="26"/>
        </w:rPr>
        <w:t xml:space="preserve"> home</w:t>
      </w:r>
      <w:r w:rsidRPr="004C7CCA">
        <w:rPr>
          <w:rStyle w:val="CommentReference"/>
          <w:sz w:val="26"/>
          <w:szCs w:val="26"/>
        </w:rPr>
        <w:t xml:space="preserve"> was </w:t>
      </w:r>
      <w:r w:rsidR="003F3465">
        <w:rPr>
          <w:rStyle w:val="CommentReference"/>
          <w:sz w:val="26"/>
          <w:szCs w:val="26"/>
        </w:rPr>
        <w:t>opinion testimony</w:t>
      </w:r>
      <w:r w:rsidRPr="004C7CCA">
        <w:rPr>
          <w:rStyle w:val="CommentReference"/>
          <w:sz w:val="26"/>
          <w:szCs w:val="26"/>
        </w:rPr>
        <w:t xml:space="preserve"> from Charlotte</w:t>
      </w:r>
      <w:r w:rsidR="006C6CBA">
        <w:rPr>
          <w:rStyle w:val="CommentReference"/>
          <w:sz w:val="26"/>
          <w:szCs w:val="26"/>
        </w:rPr>
        <w:t>-</w:t>
      </w:r>
      <w:r w:rsidRPr="004C7CCA">
        <w:rPr>
          <w:rStyle w:val="CommentReference"/>
          <w:sz w:val="26"/>
          <w:szCs w:val="26"/>
        </w:rPr>
        <w:t>Mecklenburg Police Department</w:t>
      </w:r>
      <w:r w:rsidR="006C6CBA">
        <w:rPr>
          <w:rStyle w:val="CommentReference"/>
          <w:sz w:val="26"/>
          <w:szCs w:val="26"/>
        </w:rPr>
        <w:t xml:space="preserve"> (CMPD)</w:t>
      </w:r>
      <w:r w:rsidRPr="004C7CCA">
        <w:rPr>
          <w:rStyle w:val="CommentReference"/>
          <w:sz w:val="26"/>
          <w:szCs w:val="26"/>
        </w:rPr>
        <w:t xml:space="preserve"> analyst Jennifer Sealy</w:t>
      </w:r>
      <w:r w:rsidR="0075739C">
        <w:rPr>
          <w:rStyle w:val="CommentReference"/>
          <w:sz w:val="26"/>
          <w:szCs w:val="26"/>
        </w:rPr>
        <w:t xml:space="preserve">. </w:t>
      </w:r>
      <w:r w:rsidR="00096415">
        <w:rPr>
          <w:rStyle w:val="CommentReference"/>
          <w:sz w:val="26"/>
          <w:szCs w:val="26"/>
        </w:rPr>
        <w:t xml:space="preserve"> </w:t>
      </w:r>
      <w:r w:rsidR="0075739C">
        <w:rPr>
          <w:rStyle w:val="CommentReference"/>
          <w:sz w:val="26"/>
          <w:szCs w:val="26"/>
        </w:rPr>
        <w:t xml:space="preserve">Over Mr. Rogers’s </w:t>
      </w:r>
      <w:r w:rsidR="00AB1E7C">
        <w:rPr>
          <w:rStyle w:val="CommentReference"/>
          <w:sz w:val="26"/>
          <w:szCs w:val="26"/>
        </w:rPr>
        <w:t xml:space="preserve">Rule 702 </w:t>
      </w:r>
      <w:r w:rsidR="0075739C">
        <w:rPr>
          <w:rStyle w:val="CommentReference"/>
          <w:sz w:val="26"/>
          <w:szCs w:val="26"/>
        </w:rPr>
        <w:t xml:space="preserve">objection and without allowing defense counsel the opportunity to </w:t>
      </w:r>
      <w:proofErr w:type="spellStart"/>
      <w:r w:rsidR="0075739C">
        <w:rPr>
          <w:rStyle w:val="CommentReference"/>
          <w:sz w:val="26"/>
          <w:szCs w:val="26"/>
        </w:rPr>
        <w:t>voir</w:t>
      </w:r>
      <w:proofErr w:type="spellEnd"/>
      <w:r w:rsidR="0075739C">
        <w:rPr>
          <w:rStyle w:val="CommentReference"/>
          <w:sz w:val="26"/>
          <w:szCs w:val="26"/>
        </w:rPr>
        <w:t xml:space="preserve"> dire</w:t>
      </w:r>
      <w:r w:rsidR="00BD39B6">
        <w:rPr>
          <w:rStyle w:val="CommentReference"/>
          <w:sz w:val="26"/>
          <w:szCs w:val="26"/>
        </w:rPr>
        <w:t xml:space="preserve"> the witness</w:t>
      </w:r>
      <w:r w:rsidR="0075739C">
        <w:rPr>
          <w:rStyle w:val="CommentReference"/>
          <w:sz w:val="26"/>
          <w:szCs w:val="26"/>
        </w:rPr>
        <w:t xml:space="preserve">, the trial court allowed Sealy to </w:t>
      </w:r>
      <w:r w:rsidR="00AB1E7C">
        <w:rPr>
          <w:rStyle w:val="CommentReference"/>
          <w:sz w:val="26"/>
          <w:szCs w:val="26"/>
        </w:rPr>
        <w:t>opine</w:t>
      </w:r>
      <w:r w:rsidR="0075739C">
        <w:rPr>
          <w:rStyle w:val="CommentReference"/>
          <w:sz w:val="26"/>
          <w:szCs w:val="26"/>
        </w:rPr>
        <w:t xml:space="preserve"> </w:t>
      </w:r>
      <w:r w:rsidRPr="004C7CCA">
        <w:rPr>
          <w:rStyle w:val="CommentReference"/>
          <w:sz w:val="26"/>
          <w:szCs w:val="26"/>
        </w:rPr>
        <w:t>that Mr. Rodger’s DNA was consistent with a touch DNA sample</w:t>
      </w:r>
      <w:r w:rsidR="00D45656">
        <w:rPr>
          <w:rStyle w:val="CommentReference"/>
          <w:sz w:val="26"/>
          <w:szCs w:val="26"/>
        </w:rPr>
        <w:t xml:space="preserve">—containing a </w:t>
      </w:r>
      <w:r w:rsidR="006E2A32">
        <w:rPr>
          <w:rStyle w:val="CommentReference"/>
          <w:sz w:val="26"/>
          <w:szCs w:val="26"/>
        </w:rPr>
        <w:t>very small</w:t>
      </w:r>
      <w:r w:rsidR="00D45656">
        <w:rPr>
          <w:rStyle w:val="CommentReference"/>
          <w:sz w:val="26"/>
          <w:szCs w:val="26"/>
        </w:rPr>
        <w:t xml:space="preserve"> amount of DNA—</w:t>
      </w:r>
      <w:r w:rsidRPr="004C7CCA">
        <w:rPr>
          <w:rStyle w:val="CommentReference"/>
          <w:sz w:val="26"/>
          <w:szCs w:val="26"/>
        </w:rPr>
        <w:t xml:space="preserve">collected from </w:t>
      </w:r>
      <w:r w:rsidR="00F55616">
        <w:rPr>
          <w:rStyle w:val="CommentReference"/>
          <w:sz w:val="26"/>
          <w:szCs w:val="26"/>
        </w:rPr>
        <w:t>the suspected point of entry</w:t>
      </w:r>
      <w:r w:rsidRPr="004C7CCA">
        <w:rPr>
          <w:rStyle w:val="CommentReference"/>
          <w:sz w:val="26"/>
          <w:szCs w:val="26"/>
        </w:rPr>
        <w:t xml:space="preserve">. </w:t>
      </w:r>
      <w:r w:rsidR="004C7CCA">
        <w:rPr>
          <w:rStyle w:val="CommentReference"/>
          <w:sz w:val="26"/>
          <w:szCs w:val="26"/>
        </w:rPr>
        <w:t xml:space="preserve"> </w:t>
      </w:r>
      <w:r w:rsidR="00CE64EC">
        <w:rPr>
          <w:rStyle w:val="CommentReference"/>
          <w:sz w:val="26"/>
          <w:szCs w:val="26"/>
        </w:rPr>
        <w:t>(</w:t>
      </w:r>
      <w:r w:rsidR="00CD4928">
        <w:rPr>
          <w:szCs w:val="26"/>
        </w:rPr>
        <w:t>T p 594</w:t>
      </w:r>
      <w:r w:rsidR="00CE64EC">
        <w:rPr>
          <w:rStyle w:val="CommentReference"/>
          <w:sz w:val="26"/>
          <w:szCs w:val="26"/>
        </w:rPr>
        <w:t xml:space="preserve">)  </w:t>
      </w:r>
    </w:p>
    <w:p w14:paraId="27C6AC68" w14:textId="7E607039" w:rsidR="00B54154" w:rsidRDefault="00E007BC" w:rsidP="008F625A">
      <w:pPr>
        <w:spacing w:line="480" w:lineRule="auto"/>
        <w:ind w:firstLine="720"/>
        <w:contextualSpacing/>
        <w:jc w:val="both"/>
        <w:rPr>
          <w:szCs w:val="26"/>
        </w:rPr>
      </w:pPr>
      <w:r>
        <w:rPr>
          <w:szCs w:val="26"/>
        </w:rPr>
        <w:t>On</w:t>
      </w:r>
      <w:r w:rsidR="00CE64EC">
        <w:rPr>
          <w:szCs w:val="26"/>
        </w:rPr>
        <w:t xml:space="preserve"> </w:t>
      </w:r>
      <w:r w:rsidR="00405C36">
        <w:rPr>
          <w:szCs w:val="26"/>
        </w:rPr>
        <w:t xml:space="preserve">12 August 2019, </w:t>
      </w:r>
      <w:r w:rsidR="006E2A32">
        <w:rPr>
          <w:szCs w:val="26"/>
        </w:rPr>
        <w:t xml:space="preserve">someone entered </w:t>
      </w:r>
      <w:proofErr w:type="spellStart"/>
      <w:r w:rsidR="00591A1B">
        <w:rPr>
          <w:szCs w:val="26"/>
        </w:rPr>
        <w:t>T.L.</w:t>
      </w:r>
      <w:r w:rsidR="006E2A32">
        <w:rPr>
          <w:szCs w:val="26"/>
        </w:rPr>
        <w:t>’s</w:t>
      </w:r>
      <w:proofErr w:type="spellEnd"/>
      <w:r w:rsidR="006E2A32">
        <w:rPr>
          <w:szCs w:val="26"/>
        </w:rPr>
        <w:t xml:space="preserve"> home on</w:t>
      </w:r>
      <w:r w:rsidR="00C84D24">
        <w:rPr>
          <w:szCs w:val="26"/>
        </w:rPr>
        <w:t xml:space="preserve"> Hoskins Ridge Lane</w:t>
      </w:r>
      <w:r w:rsidR="00405C36">
        <w:rPr>
          <w:szCs w:val="26"/>
        </w:rPr>
        <w:t xml:space="preserve"> </w:t>
      </w:r>
      <w:r w:rsidR="00C84D24">
        <w:rPr>
          <w:szCs w:val="26"/>
        </w:rPr>
        <w:t>in Charlotte</w:t>
      </w:r>
      <w:r w:rsidR="006E2A32">
        <w:rPr>
          <w:szCs w:val="26"/>
        </w:rPr>
        <w:t xml:space="preserve">.  T.L. was asleep in bed in her room with her two sons.  She </w:t>
      </w:r>
      <w:r w:rsidR="00F55616">
        <w:rPr>
          <w:szCs w:val="26"/>
        </w:rPr>
        <w:t>felt</w:t>
      </w:r>
      <w:r w:rsidR="008F625A">
        <w:rPr>
          <w:szCs w:val="26"/>
        </w:rPr>
        <w:t xml:space="preserve"> someone touching her side and buttocks on </w:t>
      </w:r>
      <w:r w:rsidR="00346D6E">
        <w:rPr>
          <w:szCs w:val="26"/>
        </w:rPr>
        <w:t>the</w:t>
      </w:r>
      <w:r w:rsidR="008F625A">
        <w:rPr>
          <w:szCs w:val="26"/>
        </w:rPr>
        <w:t xml:space="preserve"> right side</w:t>
      </w:r>
      <w:r w:rsidR="00346D6E">
        <w:rPr>
          <w:szCs w:val="26"/>
        </w:rPr>
        <w:t xml:space="preserve"> over her shorts</w:t>
      </w:r>
      <w:r w:rsidR="008F625A">
        <w:rPr>
          <w:szCs w:val="26"/>
        </w:rPr>
        <w:t xml:space="preserve">.  (T </w:t>
      </w:r>
      <w:r w:rsidR="00346D6E">
        <w:rPr>
          <w:szCs w:val="26"/>
        </w:rPr>
        <w:t>p</w:t>
      </w:r>
      <w:r w:rsidR="008F625A">
        <w:rPr>
          <w:szCs w:val="26"/>
        </w:rPr>
        <w:t>p 354</w:t>
      </w:r>
      <w:r w:rsidR="00346D6E">
        <w:rPr>
          <w:szCs w:val="26"/>
        </w:rPr>
        <w:t>, 356</w:t>
      </w:r>
      <w:proofErr w:type="gramStart"/>
      <w:r w:rsidR="008F625A">
        <w:rPr>
          <w:szCs w:val="26"/>
        </w:rPr>
        <w:t xml:space="preserve">)  </w:t>
      </w:r>
      <w:r w:rsidR="00342EB4">
        <w:rPr>
          <w:szCs w:val="26"/>
        </w:rPr>
        <w:t>As</w:t>
      </w:r>
      <w:proofErr w:type="gramEnd"/>
      <w:r w:rsidR="008F625A">
        <w:rPr>
          <w:szCs w:val="26"/>
        </w:rPr>
        <w:t xml:space="preserve"> </w:t>
      </w:r>
      <w:r w:rsidR="00591A1B">
        <w:rPr>
          <w:szCs w:val="26"/>
        </w:rPr>
        <w:t>T.L.</w:t>
      </w:r>
      <w:r w:rsidR="008F625A">
        <w:rPr>
          <w:szCs w:val="26"/>
        </w:rPr>
        <w:t xml:space="preserve"> turned over to see who was touching her, “the person was walking out of [her] room.”  (T p 355)    </w:t>
      </w:r>
      <w:r w:rsidR="00591A1B">
        <w:rPr>
          <w:szCs w:val="26"/>
        </w:rPr>
        <w:t>T.L.</w:t>
      </w:r>
      <w:r w:rsidR="008F625A">
        <w:rPr>
          <w:szCs w:val="26"/>
        </w:rPr>
        <w:t xml:space="preserve"> initially thought the person could have been her cousin because her cousin was the only </w:t>
      </w:r>
      <w:r w:rsidR="00472363">
        <w:rPr>
          <w:szCs w:val="26"/>
        </w:rPr>
        <w:t xml:space="preserve">other </w:t>
      </w:r>
      <w:r w:rsidR="008F625A">
        <w:rPr>
          <w:szCs w:val="26"/>
        </w:rPr>
        <w:t>person with a key to her home.  (T p 357</w:t>
      </w:r>
      <w:proofErr w:type="gramStart"/>
      <w:r w:rsidR="008F625A">
        <w:rPr>
          <w:szCs w:val="26"/>
        </w:rPr>
        <w:t>)  By</w:t>
      </w:r>
      <w:proofErr w:type="gramEnd"/>
      <w:r w:rsidR="008F625A">
        <w:rPr>
          <w:szCs w:val="26"/>
        </w:rPr>
        <w:t xml:space="preserve"> the time </w:t>
      </w:r>
      <w:r w:rsidR="00591A1B">
        <w:rPr>
          <w:szCs w:val="26"/>
        </w:rPr>
        <w:t>T.L.</w:t>
      </w:r>
      <w:r w:rsidR="008F625A">
        <w:rPr>
          <w:szCs w:val="26"/>
        </w:rPr>
        <w:t xml:space="preserve"> got out of bed to determine what was happening, the person “was already, like, two steps from walking out the front door[.]”</w:t>
      </w:r>
      <w:r w:rsidR="00F55616">
        <w:rPr>
          <w:szCs w:val="26"/>
        </w:rPr>
        <w:t xml:space="preserve"> </w:t>
      </w:r>
      <w:r w:rsidR="00472363">
        <w:rPr>
          <w:szCs w:val="26"/>
        </w:rPr>
        <w:t xml:space="preserve"> </w:t>
      </w:r>
      <w:r w:rsidR="00591A1B">
        <w:rPr>
          <w:szCs w:val="26"/>
        </w:rPr>
        <w:t>T.L.</w:t>
      </w:r>
      <w:r w:rsidR="00F55616">
        <w:rPr>
          <w:szCs w:val="26"/>
        </w:rPr>
        <w:t xml:space="preserve"> did not see anything in the intruder’s hands.</w:t>
      </w:r>
      <w:r w:rsidR="008F625A">
        <w:rPr>
          <w:szCs w:val="26"/>
        </w:rPr>
        <w:t xml:space="preserve"> </w:t>
      </w:r>
      <w:r w:rsidR="004C0D50">
        <w:rPr>
          <w:szCs w:val="26"/>
        </w:rPr>
        <w:t xml:space="preserve"> (T p </w:t>
      </w:r>
      <w:r w:rsidR="00E355B1">
        <w:rPr>
          <w:szCs w:val="26"/>
        </w:rPr>
        <w:t>379</w:t>
      </w:r>
      <w:r w:rsidR="004C0D50">
        <w:rPr>
          <w:szCs w:val="26"/>
        </w:rPr>
        <w:t>)</w:t>
      </w:r>
      <w:r w:rsidR="008F625A">
        <w:rPr>
          <w:szCs w:val="26"/>
        </w:rPr>
        <w:t xml:space="preserve"> </w:t>
      </w:r>
      <w:r w:rsidR="00591A1B">
        <w:rPr>
          <w:szCs w:val="26"/>
        </w:rPr>
        <w:t>T.L.</w:t>
      </w:r>
      <w:r w:rsidR="008F625A">
        <w:rPr>
          <w:szCs w:val="26"/>
        </w:rPr>
        <w:t xml:space="preserve"> followed the person out of the front door, heard her fence rattle</w:t>
      </w:r>
      <w:r w:rsidR="00346D6E">
        <w:rPr>
          <w:szCs w:val="26"/>
        </w:rPr>
        <w:t xml:space="preserve">, and </w:t>
      </w:r>
      <w:r w:rsidR="008F625A">
        <w:rPr>
          <w:szCs w:val="26"/>
        </w:rPr>
        <w:t>called police.  (T p 357)</w:t>
      </w:r>
    </w:p>
    <w:p w14:paraId="6F2CCA7B" w14:textId="5BEF7C5B" w:rsidR="00601FFA" w:rsidRDefault="00591A1B" w:rsidP="00601FFA">
      <w:pPr>
        <w:spacing w:line="480" w:lineRule="auto"/>
        <w:ind w:firstLine="720"/>
        <w:contextualSpacing/>
        <w:jc w:val="both"/>
        <w:rPr>
          <w:szCs w:val="26"/>
        </w:rPr>
      </w:pPr>
      <w:r>
        <w:rPr>
          <w:szCs w:val="26"/>
        </w:rPr>
        <w:t>T.L.</w:t>
      </w:r>
      <w:r w:rsidR="00353D05">
        <w:rPr>
          <w:szCs w:val="26"/>
        </w:rPr>
        <w:t xml:space="preserve"> never saw the </w:t>
      </w:r>
      <w:r w:rsidR="00346D6E">
        <w:rPr>
          <w:szCs w:val="26"/>
        </w:rPr>
        <w:t xml:space="preserve">intruder’s </w:t>
      </w:r>
      <w:r w:rsidR="00353D05">
        <w:rPr>
          <w:szCs w:val="26"/>
        </w:rPr>
        <w:t xml:space="preserve">face </w:t>
      </w:r>
      <w:r w:rsidR="00BD39B6">
        <w:rPr>
          <w:szCs w:val="26"/>
        </w:rPr>
        <w:t>and assumed it was a male because</w:t>
      </w:r>
      <w:r w:rsidR="00346D6E">
        <w:rPr>
          <w:szCs w:val="26"/>
        </w:rPr>
        <w:t xml:space="preserve"> of</w:t>
      </w:r>
      <w:r w:rsidR="00BD39B6">
        <w:rPr>
          <w:szCs w:val="26"/>
        </w:rPr>
        <w:t xml:space="preserve"> the person’s height.</w:t>
      </w:r>
      <w:r w:rsidR="00353D05">
        <w:rPr>
          <w:szCs w:val="26"/>
        </w:rPr>
        <w:t xml:space="preserve">  (T p</w:t>
      </w:r>
      <w:r w:rsidR="00BD39B6">
        <w:rPr>
          <w:szCs w:val="26"/>
        </w:rPr>
        <w:t>p</w:t>
      </w:r>
      <w:r w:rsidR="00353D05">
        <w:rPr>
          <w:szCs w:val="26"/>
        </w:rPr>
        <w:t xml:space="preserve"> 356</w:t>
      </w:r>
      <w:r w:rsidR="00BD39B6">
        <w:rPr>
          <w:szCs w:val="26"/>
        </w:rPr>
        <w:t>, 385</w:t>
      </w:r>
      <w:proofErr w:type="gramStart"/>
      <w:r w:rsidR="00353D05">
        <w:rPr>
          <w:szCs w:val="26"/>
        </w:rPr>
        <w:t xml:space="preserve">)  </w:t>
      </w:r>
      <w:r w:rsidR="00346D6E">
        <w:rPr>
          <w:szCs w:val="26"/>
        </w:rPr>
        <w:t>T</w:t>
      </w:r>
      <w:r w:rsidR="00353D05">
        <w:rPr>
          <w:szCs w:val="26"/>
        </w:rPr>
        <w:t>he</w:t>
      </w:r>
      <w:proofErr w:type="gramEnd"/>
      <w:r w:rsidR="00353D05">
        <w:rPr>
          <w:szCs w:val="26"/>
        </w:rPr>
        <w:t xml:space="preserve"> person </w:t>
      </w:r>
      <w:r w:rsidR="006051B2">
        <w:rPr>
          <w:szCs w:val="26"/>
        </w:rPr>
        <w:t>wore</w:t>
      </w:r>
      <w:r w:rsidR="00353D05">
        <w:rPr>
          <w:szCs w:val="26"/>
        </w:rPr>
        <w:t xml:space="preserve"> a hoodie with designs on it and burgundy pants.  (T p 358</w:t>
      </w:r>
      <w:proofErr w:type="gramStart"/>
      <w:r w:rsidR="00353D05">
        <w:rPr>
          <w:szCs w:val="26"/>
        </w:rPr>
        <w:t xml:space="preserve">)  </w:t>
      </w:r>
      <w:r w:rsidR="009360BE">
        <w:rPr>
          <w:szCs w:val="26"/>
        </w:rPr>
        <w:t>There</w:t>
      </w:r>
      <w:proofErr w:type="gramEnd"/>
      <w:r w:rsidR="009360BE">
        <w:rPr>
          <w:szCs w:val="26"/>
        </w:rPr>
        <w:t xml:space="preserve"> was no evidence from the State </w:t>
      </w:r>
      <w:r w:rsidR="00346D6E">
        <w:rPr>
          <w:szCs w:val="26"/>
        </w:rPr>
        <w:t xml:space="preserve">that </w:t>
      </w:r>
      <w:r w:rsidR="009360BE">
        <w:rPr>
          <w:szCs w:val="26"/>
        </w:rPr>
        <w:t xml:space="preserve">Mr. Rodgers owned any clothing matching this description.  </w:t>
      </w:r>
      <w:r>
        <w:rPr>
          <w:szCs w:val="26"/>
        </w:rPr>
        <w:t>T.L.</w:t>
      </w:r>
      <w:r w:rsidR="0024508F">
        <w:rPr>
          <w:szCs w:val="26"/>
        </w:rPr>
        <w:t xml:space="preserve"> could not see the person’s hair or determine the person’s race because the hood was up</w:t>
      </w:r>
      <w:r w:rsidR="00342EB4">
        <w:rPr>
          <w:szCs w:val="26"/>
        </w:rPr>
        <w:t>,</w:t>
      </w:r>
      <w:r w:rsidR="0024508F">
        <w:rPr>
          <w:szCs w:val="26"/>
        </w:rPr>
        <w:t xml:space="preserve"> and she only saw the person from behind.  (T p 384</w:t>
      </w:r>
      <w:proofErr w:type="gramStart"/>
      <w:r w:rsidR="0024508F">
        <w:rPr>
          <w:szCs w:val="26"/>
        </w:rPr>
        <w:t xml:space="preserve">)  </w:t>
      </w:r>
      <w:r w:rsidR="00601FFA">
        <w:rPr>
          <w:szCs w:val="26"/>
        </w:rPr>
        <w:t>T.L.</w:t>
      </w:r>
      <w:proofErr w:type="gramEnd"/>
      <w:r w:rsidR="00601FFA">
        <w:rPr>
          <w:szCs w:val="26"/>
        </w:rPr>
        <w:t xml:space="preserve"> did not identify Mr. Rodgers as the person who touched her and did not recognize him in open court.  (T p 380) </w:t>
      </w:r>
    </w:p>
    <w:p w14:paraId="00A6CD49" w14:textId="5044EEBB" w:rsidR="00C52820" w:rsidRDefault="004C0D50" w:rsidP="008F625A">
      <w:pPr>
        <w:spacing w:line="480" w:lineRule="auto"/>
        <w:ind w:firstLine="720"/>
        <w:contextualSpacing/>
        <w:jc w:val="both"/>
        <w:rPr>
          <w:szCs w:val="26"/>
        </w:rPr>
      </w:pPr>
      <w:r>
        <w:rPr>
          <w:szCs w:val="26"/>
        </w:rPr>
        <w:t>On the night</w:t>
      </w:r>
      <w:r w:rsidR="00C52820">
        <w:rPr>
          <w:szCs w:val="26"/>
        </w:rPr>
        <w:t xml:space="preserve"> of the incident, </w:t>
      </w:r>
      <w:proofErr w:type="spellStart"/>
      <w:r w:rsidR="00591A1B">
        <w:rPr>
          <w:szCs w:val="26"/>
        </w:rPr>
        <w:t>T.L.</w:t>
      </w:r>
      <w:r>
        <w:rPr>
          <w:szCs w:val="26"/>
        </w:rPr>
        <w:t>’s</w:t>
      </w:r>
      <w:proofErr w:type="spellEnd"/>
      <w:r>
        <w:rPr>
          <w:szCs w:val="26"/>
        </w:rPr>
        <w:t xml:space="preserve"> neighbor, </w:t>
      </w:r>
      <w:proofErr w:type="spellStart"/>
      <w:r>
        <w:rPr>
          <w:szCs w:val="26"/>
        </w:rPr>
        <w:t>Chinomso</w:t>
      </w:r>
      <w:proofErr w:type="spellEnd"/>
      <w:r>
        <w:rPr>
          <w:szCs w:val="26"/>
        </w:rPr>
        <w:t xml:space="preserve"> </w:t>
      </w:r>
      <w:proofErr w:type="spellStart"/>
      <w:r w:rsidR="00C52820">
        <w:rPr>
          <w:szCs w:val="26"/>
        </w:rPr>
        <w:t>Nwigwe</w:t>
      </w:r>
      <w:proofErr w:type="spellEnd"/>
      <w:r>
        <w:rPr>
          <w:szCs w:val="26"/>
        </w:rPr>
        <w:t xml:space="preserve">, </w:t>
      </w:r>
      <w:r w:rsidR="00C52820">
        <w:rPr>
          <w:szCs w:val="26"/>
        </w:rPr>
        <w:t xml:space="preserve">was returning home from </w:t>
      </w:r>
      <w:r>
        <w:rPr>
          <w:szCs w:val="26"/>
        </w:rPr>
        <w:t>work</w:t>
      </w:r>
      <w:r w:rsidR="00C52820">
        <w:rPr>
          <w:szCs w:val="26"/>
        </w:rPr>
        <w:t xml:space="preserve">.  As he was about to park his car, </w:t>
      </w:r>
      <w:proofErr w:type="spellStart"/>
      <w:r w:rsidR="00C52820">
        <w:rPr>
          <w:szCs w:val="26"/>
        </w:rPr>
        <w:t>Nwigwe</w:t>
      </w:r>
      <w:proofErr w:type="spellEnd"/>
      <w:r w:rsidR="00C52820">
        <w:rPr>
          <w:szCs w:val="26"/>
        </w:rPr>
        <w:t xml:space="preserve"> saw </w:t>
      </w:r>
      <w:r>
        <w:rPr>
          <w:szCs w:val="26"/>
        </w:rPr>
        <w:t>someone</w:t>
      </w:r>
      <w:r w:rsidR="00C52820">
        <w:rPr>
          <w:szCs w:val="26"/>
        </w:rPr>
        <w:t xml:space="preserve"> “speedily” emerge from between houses, get into a car, and “zoom” off.  (T p 397</w:t>
      </w:r>
      <w:proofErr w:type="gramStart"/>
      <w:r w:rsidR="00C52820">
        <w:rPr>
          <w:szCs w:val="26"/>
        </w:rPr>
        <w:t xml:space="preserve">)  </w:t>
      </w:r>
      <w:proofErr w:type="spellStart"/>
      <w:r w:rsidR="00C52820">
        <w:rPr>
          <w:szCs w:val="26"/>
        </w:rPr>
        <w:t>Nwigwe</w:t>
      </w:r>
      <w:proofErr w:type="spellEnd"/>
      <w:proofErr w:type="gramEnd"/>
      <w:r w:rsidR="00C52820">
        <w:rPr>
          <w:szCs w:val="26"/>
        </w:rPr>
        <w:t xml:space="preserve"> thought the person was male because of the speed with which the person moved.  (T pp 397-98</w:t>
      </w:r>
      <w:proofErr w:type="gramStart"/>
      <w:r w:rsidR="00C52820">
        <w:rPr>
          <w:szCs w:val="26"/>
        </w:rPr>
        <w:t xml:space="preserve">)  </w:t>
      </w:r>
      <w:r>
        <w:rPr>
          <w:szCs w:val="26"/>
        </w:rPr>
        <w:t>Later</w:t>
      </w:r>
      <w:proofErr w:type="gramEnd"/>
      <w:r w:rsidR="00C87842">
        <w:rPr>
          <w:szCs w:val="26"/>
        </w:rPr>
        <w:t xml:space="preserve">, </w:t>
      </w:r>
      <w:proofErr w:type="spellStart"/>
      <w:r w:rsidR="00C87842" w:rsidRPr="00C87842">
        <w:rPr>
          <w:szCs w:val="26"/>
        </w:rPr>
        <w:t>Nwigwe</w:t>
      </w:r>
      <w:proofErr w:type="spellEnd"/>
      <w:r w:rsidR="00C87842" w:rsidRPr="00C87842">
        <w:rPr>
          <w:szCs w:val="26"/>
        </w:rPr>
        <w:t xml:space="preserve"> spoke to </w:t>
      </w:r>
      <w:r w:rsidR="00591A1B">
        <w:rPr>
          <w:szCs w:val="26"/>
        </w:rPr>
        <w:t>T.L.</w:t>
      </w:r>
      <w:r>
        <w:rPr>
          <w:szCs w:val="26"/>
        </w:rPr>
        <w:t xml:space="preserve"> and told her he</w:t>
      </w:r>
      <w:r w:rsidR="00C52820">
        <w:rPr>
          <w:szCs w:val="26"/>
        </w:rPr>
        <w:t xml:space="preserve"> was not sure if the person</w:t>
      </w:r>
      <w:r>
        <w:rPr>
          <w:szCs w:val="26"/>
        </w:rPr>
        <w:t xml:space="preserve"> he had seen</w:t>
      </w:r>
      <w:r w:rsidR="00C52820">
        <w:rPr>
          <w:szCs w:val="26"/>
        </w:rPr>
        <w:t xml:space="preserve"> was a man or a woman.  (T p 400</w:t>
      </w:r>
      <w:proofErr w:type="gramStart"/>
      <w:r w:rsidR="00C52820">
        <w:rPr>
          <w:szCs w:val="26"/>
        </w:rPr>
        <w:t>)</w:t>
      </w:r>
      <w:r w:rsidR="00CE64EC">
        <w:rPr>
          <w:szCs w:val="26"/>
        </w:rPr>
        <w:t xml:space="preserve">  </w:t>
      </w:r>
      <w:proofErr w:type="spellStart"/>
      <w:r w:rsidR="00CE64EC">
        <w:rPr>
          <w:szCs w:val="26"/>
        </w:rPr>
        <w:t>Nwigwe</w:t>
      </w:r>
      <w:proofErr w:type="spellEnd"/>
      <w:proofErr w:type="gramEnd"/>
      <w:r w:rsidR="00CE64EC">
        <w:rPr>
          <w:szCs w:val="26"/>
        </w:rPr>
        <w:t xml:space="preserve"> </w:t>
      </w:r>
      <w:r w:rsidR="00E355B1">
        <w:rPr>
          <w:szCs w:val="26"/>
        </w:rPr>
        <w:t>never identified</w:t>
      </w:r>
      <w:r w:rsidR="00CE64EC">
        <w:rPr>
          <w:szCs w:val="26"/>
        </w:rPr>
        <w:t xml:space="preserve"> Mr. Rodgers as the person he saw that night.  </w:t>
      </w:r>
    </w:p>
    <w:p w14:paraId="1913157A" w14:textId="0D829ABC" w:rsidR="00F12C59" w:rsidRDefault="00591A1B" w:rsidP="008F625A">
      <w:pPr>
        <w:spacing w:line="480" w:lineRule="auto"/>
        <w:ind w:firstLine="720"/>
        <w:contextualSpacing/>
        <w:jc w:val="both"/>
        <w:rPr>
          <w:szCs w:val="26"/>
        </w:rPr>
      </w:pPr>
      <w:proofErr w:type="spellStart"/>
      <w:r>
        <w:rPr>
          <w:szCs w:val="26"/>
        </w:rPr>
        <w:t>T.L.</w:t>
      </w:r>
      <w:r w:rsidR="00B96B6A">
        <w:rPr>
          <w:szCs w:val="26"/>
        </w:rPr>
        <w:t>’s</w:t>
      </w:r>
      <w:proofErr w:type="spellEnd"/>
      <w:r w:rsidR="00B96B6A">
        <w:rPr>
          <w:szCs w:val="26"/>
        </w:rPr>
        <w:t xml:space="preserve"> neighbor, </w:t>
      </w:r>
      <w:r w:rsidR="00DC1876">
        <w:rPr>
          <w:szCs w:val="26"/>
        </w:rPr>
        <w:t>Nelson Garcia</w:t>
      </w:r>
      <w:r w:rsidR="00B96B6A">
        <w:rPr>
          <w:szCs w:val="26"/>
        </w:rPr>
        <w:t xml:space="preserve">, </w:t>
      </w:r>
      <w:r w:rsidR="00DC1876">
        <w:rPr>
          <w:szCs w:val="26"/>
        </w:rPr>
        <w:t xml:space="preserve">had a Nest surveillance camera </w:t>
      </w:r>
      <w:r w:rsidR="00346D6E">
        <w:rPr>
          <w:szCs w:val="26"/>
        </w:rPr>
        <w:t>monitoring from</w:t>
      </w:r>
      <w:r w:rsidR="00DC1876">
        <w:rPr>
          <w:szCs w:val="26"/>
        </w:rPr>
        <w:t xml:space="preserve"> his front porch </w:t>
      </w:r>
      <w:r w:rsidR="006051B2">
        <w:rPr>
          <w:szCs w:val="26"/>
        </w:rPr>
        <w:t xml:space="preserve">on </w:t>
      </w:r>
      <w:r w:rsidR="00DC1876">
        <w:rPr>
          <w:szCs w:val="26"/>
        </w:rPr>
        <w:t>the night of the incident.  (T p 401-02</w:t>
      </w:r>
      <w:proofErr w:type="gramStart"/>
      <w:r w:rsidR="00DC1876">
        <w:rPr>
          <w:szCs w:val="26"/>
        </w:rPr>
        <w:t xml:space="preserve">)  </w:t>
      </w:r>
      <w:r w:rsidR="00131F77">
        <w:rPr>
          <w:szCs w:val="26"/>
        </w:rPr>
        <w:t>T</w:t>
      </w:r>
      <w:r w:rsidR="00B96B6A">
        <w:rPr>
          <w:szCs w:val="26"/>
        </w:rPr>
        <w:t>he</w:t>
      </w:r>
      <w:proofErr w:type="gramEnd"/>
      <w:r w:rsidR="00B96B6A">
        <w:rPr>
          <w:szCs w:val="26"/>
        </w:rPr>
        <w:t xml:space="preserve"> State played a clip from the</w:t>
      </w:r>
      <w:r w:rsidR="00B56B73">
        <w:rPr>
          <w:szCs w:val="26"/>
        </w:rPr>
        <w:t xml:space="preserve"> Nest</w:t>
      </w:r>
      <w:r w:rsidR="00B96B6A">
        <w:rPr>
          <w:szCs w:val="26"/>
        </w:rPr>
        <w:t xml:space="preserve"> video showing</w:t>
      </w:r>
      <w:r w:rsidR="00131F77">
        <w:rPr>
          <w:szCs w:val="26"/>
        </w:rPr>
        <w:t xml:space="preserve"> an individual </w:t>
      </w:r>
      <w:r w:rsidR="00825FFB">
        <w:rPr>
          <w:szCs w:val="26"/>
        </w:rPr>
        <w:t xml:space="preserve">with a hooded sweatshirt </w:t>
      </w:r>
      <w:r w:rsidR="00131F77">
        <w:rPr>
          <w:szCs w:val="26"/>
        </w:rPr>
        <w:t>running between houses in the dark</w:t>
      </w:r>
      <w:r w:rsidR="00B96B6A">
        <w:rPr>
          <w:szCs w:val="26"/>
        </w:rPr>
        <w:t xml:space="preserve"> at approximately 1:45 a.m</w:t>
      </w:r>
      <w:r w:rsidR="00131F77">
        <w:rPr>
          <w:szCs w:val="26"/>
        </w:rPr>
        <w:t>.</w:t>
      </w:r>
      <w:r w:rsidR="00131F77">
        <w:rPr>
          <w:rStyle w:val="FootnoteReference"/>
          <w:szCs w:val="26"/>
        </w:rPr>
        <w:footnoteReference w:id="2"/>
      </w:r>
      <w:r w:rsidR="00131F77">
        <w:rPr>
          <w:szCs w:val="26"/>
        </w:rPr>
        <w:t xml:space="preserve">  (</w:t>
      </w:r>
      <w:r w:rsidR="00475F7D">
        <w:rPr>
          <w:szCs w:val="26"/>
        </w:rPr>
        <w:t>State’s Ex. 18</w:t>
      </w:r>
      <w:r w:rsidR="00131F77">
        <w:rPr>
          <w:szCs w:val="26"/>
        </w:rPr>
        <w:t>)</w:t>
      </w:r>
      <w:r w:rsidR="00DC1876">
        <w:rPr>
          <w:szCs w:val="26"/>
        </w:rPr>
        <w:t xml:space="preserve">  </w:t>
      </w:r>
      <w:r w:rsidR="00F12C59">
        <w:rPr>
          <w:szCs w:val="26"/>
        </w:rPr>
        <w:t xml:space="preserve"> </w:t>
      </w:r>
      <w:r w:rsidR="00825FFB">
        <w:rPr>
          <w:szCs w:val="26"/>
        </w:rPr>
        <w:t xml:space="preserve">The video only shows the individual from behind and does not show the individual’s head or face because the hood was up.  </w:t>
      </w:r>
      <w:r w:rsidR="00131F77">
        <w:rPr>
          <w:szCs w:val="26"/>
        </w:rPr>
        <w:t>Mr. Garcia did not recognize the person in the video and did not identify Mr. Rodgers in open court.  (T p</w:t>
      </w:r>
      <w:r w:rsidR="00B96B6A">
        <w:rPr>
          <w:szCs w:val="26"/>
        </w:rPr>
        <w:t>p</w:t>
      </w:r>
      <w:r w:rsidR="00131F77">
        <w:rPr>
          <w:szCs w:val="26"/>
        </w:rPr>
        <w:t xml:space="preserve"> 42</w:t>
      </w:r>
      <w:r w:rsidR="00B96B6A">
        <w:rPr>
          <w:szCs w:val="26"/>
        </w:rPr>
        <w:t>3-2</w:t>
      </w:r>
      <w:r w:rsidR="00131F77">
        <w:rPr>
          <w:szCs w:val="26"/>
        </w:rPr>
        <w:t>5)</w:t>
      </w:r>
    </w:p>
    <w:p w14:paraId="1FF1F07C" w14:textId="1E51AC23" w:rsidR="0095609D" w:rsidRDefault="00C07199" w:rsidP="0095609D">
      <w:pPr>
        <w:spacing w:line="480" w:lineRule="auto"/>
        <w:contextualSpacing/>
        <w:jc w:val="both"/>
        <w:rPr>
          <w:szCs w:val="26"/>
        </w:rPr>
      </w:pPr>
      <w:r w:rsidRPr="00074E55">
        <w:rPr>
          <w:szCs w:val="26"/>
        </w:rPr>
        <w:tab/>
      </w:r>
      <w:r w:rsidR="00B56B73">
        <w:rPr>
          <w:szCs w:val="26"/>
        </w:rPr>
        <w:t>A</w:t>
      </w:r>
      <w:r w:rsidR="0095609D">
        <w:rPr>
          <w:szCs w:val="26"/>
        </w:rPr>
        <w:t xml:space="preserve"> crime scene technician </w:t>
      </w:r>
      <w:r w:rsidR="00B56B73">
        <w:rPr>
          <w:szCs w:val="26"/>
        </w:rPr>
        <w:t xml:space="preserve">collected </w:t>
      </w:r>
      <w:proofErr w:type="spellStart"/>
      <w:r w:rsidR="00591A1B">
        <w:rPr>
          <w:szCs w:val="26"/>
        </w:rPr>
        <w:t>T.L.</w:t>
      </w:r>
      <w:r w:rsidR="00B56B73">
        <w:rPr>
          <w:szCs w:val="26"/>
        </w:rPr>
        <w:t>’s</w:t>
      </w:r>
      <w:proofErr w:type="spellEnd"/>
      <w:r w:rsidR="00B56B73">
        <w:rPr>
          <w:szCs w:val="26"/>
        </w:rPr>
        <w:t xml:space="preserve"> shorts, </w:t>
      </w:r>
      <w:r w:rsidR="00096A1C">
        <w:rPr>
          <w:szCs w:val="26"/>
        </w:rPr>
        <w:t>took photographs</w:t>
      </w:r>
      <w:r w:rsidR="00B56B73">
        <w:rPr>
          <w:szCs w:val="26"/>
        </w:rPr>
        <w:t xml:space="preserve"> of the scene,</w:t>
      </w:r>
      <w:r w:rsidR="00096A1C">
        <w:rPr>
          <w:szCs w:val="26"/>
        </w:rPr>
        <w:t xml:space="preserve"> and processed disturbed areas for possible fingerprint and DNA evidence.</w:t>
      </w:r>
      <w:r w:rsidR="0095609D">
        <w:rPr>
          <w:szCs w:val="26"/>
        </w:rPr>
        <w:t xml:space="preserve">  (T p</w:t>
      </w:r>
      <w:r w:rsidR="00096A1C">
        <w:rPr>
          <w:szCs w:val="26"/>
        </w:rPr>
        <w:t>p</w:t>
      </w:r>
      <w:r w:rsidR="0095609D">
        <w:rPr>
          <w:szCs w:val="26"/>
        </w:rPr>
        <w:t xml:space="preserve"> </w:t>
      </w:r>
      <w:r w:rsidR="00096A1C">
        <w:rPr>
          <w:szCs w:val="26"/>
        </w:rPr>
        <w:t xml:space="preserve">449-50, </w:t>
      </w:r>
      <w:r w:rsidR="0095609D">
        <w:rPr>
          <w:szCs w:val="26"/>
        </w:rPr>
        <w:t>452</w:t>
      </w:r>
      <w:proofErr w:type="gramStart"/>
      <w:r w:rsidR="0095609D">
        <w:rPr>
          <w:szCs w:val="26"/>
        </w:rPr>
        <w:t xml:space="preserve">)  </w:t>
      </w:r>
      <w:r w:rsidR="00B56B73">
        <w:rPr>
          <w:szCs w:val="26"/>
        </w:rPr>
        <w:t>The</w:t>
      </w:r>
      <w:proofErr w:type="gramEnd"/>
      <w:r w:rsidR="00B56B73">
        <w:rPr>
          <w:szCs w:val="26"/>
        </w:rPr>
        <w:t xml:space="preserve"> technician </w:t>
      </w:r>
      <w:r w:rsidR="00427684">
        <w:rPr>
          <w:szCs w:val="26"/>
        </w:rPr>
        <w:t xml:space="preserve">collected </w:t>
      </w:r>
      <w:r w:rsidR="00DE0E20">
        <w:rPr>
          <w:szCs w:val="26"/>
        </w:rPr>
        <w:t xml:space="preserve">DNA samples </w:t>
      </w:r>
      <w:r w:rsidR="00096A1C">
        <w:rPr>
          <w:szCs w:val="26"/>
        </w:rPr>
        <w:t>from</w:t>
      </w:r>
      <w:r w:rsidR="00B56B73">
        <w:rPr>
          <w:szCs w:val="26"/>
        </w:rPr>
        <w:t xml:space="preserve"> </w:t>
      </w:r>
      <w:r w:rsidR="00DE0E20">
        <w:rPr>
          <w:szCs w:val="26"/>
        </w:rPr>
        <w:t xml:space="preserve">the window </w:t>
      </w:r>
      <w:r w:rsidR="00096A1C">
        <w:rPr>
          <w:szCs w:val="26"/>
        </w:rPr>
        <w:t>thought to be the point of entry</w:t>
      </w:r>
      <w:r w:rsidR="0044762D">
        <w:rPr>
          <w:szCs w:val="26"/>
        </w:rPr>
        <w:t xml:space="preserve"> </w:t>
      </w:r>
      <w:r w:rsidR="00B30570">
        <w:rPr>
          <w:szCs w:val="26"/>
        </w:rPr>
        <w:t>and</w:t>
      </w:r>
      <w:r w:rsidR="00E833FC">
        <w:rPr>
          <w:szCs w:val="26"/>
        </w:rPr>
        <w:t xml:space="preserve"> </w:t>
      </w:r>
      <w:r w:rsidR="00096A1C">
        <w:rPr>
          <w:szCs w:val="26"/>
        </w:rPr>
        <w:t xml:space="preserve"> from the inside knob and deadbolt on the front door.</w:t>
      </w:r>
      <w:r w:rsidR="00DE0E20">
        <w:rPr>
          <w:szCs w:val="26"/>
        </w:rPr>
        <w:t xml:space="preserve">  </w:t>
      </w:r>
      <w:r w:rsidR="00B30570">
        <w:rPr>
          <w:szCs w:val="26"/>
        </w:rPr>
        <w:t>(T p</w:t>
      </w:r>
      <w:r w:rsidR="006E2A32">
        <w:rPr>
          <w:szCs w:val="26"/>
        </w:rPr>
        <w:t>p 455,</w:t>
      </w:r>
      <w:r w:rsidR="00B30570">
        <w:rPr>
          <w:szCs w:val="26"/>
        </w:rPr>
        <w:t xml:space="preserve"> 472)</w:t>
      </w:r>
      <w:r w:rsidR="00DE0E20">
        <w:rPr>
          <w:szCs w:val="26"/>
        </w:rPr>
        <w:t xml:space="preserve">  </w:t>
      </w:r>
    </w:p>
    <w:p w14:paraId="632FF75B" w14:textId="0887EF54" w:rsidR="009C0FF4" w:rsidRDefault="009C0FF4" w:rsidP="00EE1825">
      <w:pPr>
        <w:spacing w:line="480" w:lineRule="auto"/>
        <w:ind w:firstLine="720"/>
        <w:contextualSpacing/>
        <w:jc w:val="both"/>
        <w:rPr>
          <w:szCs w:val="26"/>
        </w:rPr>
      </w:pPr>
      <w:r>
        <w:rPr>
          <w:szCs w:val="26"/>
        </w:rPr>
        <w:t xml:space="preserve">Of the latent fingerprints obtained, three were analyzed: one was </w:t>
      </w:r>
      <w:proofErr w:type="spellStart"/>
      <w:r w:rsidR="00591A1B">
        <w:rPr>
          <w:szCs w:val="26"/>
        </w:rPr>
        <w:t>T.L.</w:t>
      </w:r>
      <w:r>
        <w:rPr>
          <w:szCs w:val="26"/>
        </w:rPr>
        <w:t>’s</w:t>
      </w:r>
      <w:proofErr w:type="spellEnd"/>
      <w:r w:rsidR="005E3FCE">
        <w:rPr>
          <w:szCs w:val="26"/>
        </w:rPr>
        <w:t>;</w:t>
      </w:r>
      <w:r>
        <w:rPr>
          <w:szCs w:val="26"/>
        </w:rPr>
        <w:t xml:space="preserve"> Mr. Rogers was excluded as a source of the other two prints. (T pp 495, 498-99)</w:t>
      </w:r>
    </w:p>
    <w:p w14:paraId="77BE3B66" w14:textId="0DABC569" w:rsidR="00601FFA" w:rsidRDefault="00601FFA" w:rsidP="00601FFA">
      <w:pPr>
        <w:spacing w:line="480" w:lineRule="auto"/>
        <w:ind w:firstLine="720"/>
        <w:contextualSpacing/>
        <w:jc w:val="both"/>
        <w:rPr>
          <w:szCs w:val="26"/>
        </w:rPr>
      </w:pPr>
      <w:r>
        <w:rPr>
          <w:szCs w:val="26"/>
        </w:rPr>
        <w:t xml:space="preserve">After police began their investigation of the incident, T.L. called family members to come </w:t>
      </w:r>
      <w:r w:rsidR="005E3FCE">
        <w:rPr>
          <w:szCs w:val="26"/>
        </w:rPr>
        <w:t>get her</w:t>
      </w:r>
      <w:r>
        <w:rPr>
          <w:szCs w:val="26"/>
        </w:rPr>
        <w:t xml:space="preserve"> and her sons while police conducted the investigation.  The next day, T.L. noticed that her pocketbook and some video games were missing.  (T p 378</w:t>
      </w:r>
      <w:proofErr w:type="gramStart"/>
      <w:r>
        <w:rPr>
          <w:szCs w:val="26"/>
        </w:rPr>
        <w:t>)  T.L.</w:t>
      </w:r>
      <w:proofErr w:type="gramEnd"/>
      <w:r>
        <w:rPr>
          <w:szCs w:val="26"/>
        </w:rPr>
        <w:t xml:space="preserve"> did not see the </w:t>
      </w:r>
      <w:r w:rsidR="00346D6E">
        <w:rPr>
          <w:szCs w:val="26"/>
        </w:rPr>
        <w:t xml:space="preserve">intruder </w:t>
      </w:r>
      <w:r>
        <w:rPr>
          <w:szCs w:val="26"/>
        </w:rPr>
        <w:t>carrying anything when she followed the person out of her home.  (T p 379</w:t>
      </w:r>
      <w:proofErr w:type="gramStart"/>
      <w:r>
        <w:rPr>
          <w:szCs w:val="26"/>
        </w:rPr>
        <w:t xml:space="preserve">)  </w:t>
      </w:r>
      <w:r w:rsidRPr="00463714">
        <w:rPr>
          <w:szCs w:val="26"/>
        </w:rPr>
        <w:t>The</w:t>
      </w:r>
      <w:proofErr w:type="gramEnd"/>
      <w:r w:rsidRPr="00463714">
        <w:rPr>
          <w:szCs w:val="26"/>
        </w:rPr>
        <w:t xml:space="preserve"> State presented no evidence that </w:t>
      </w:r>
      <w:r>
        <w:rPr>
          <w:szCs w:val="26"/>
        </w:rPr>
        <w:t xml:space="preserve">Mr. Rogers ever had </w:t>
      </w:r>
      <w:r w:rsidRPr="00463714">
        <w:rPr>
          <w:szCs w:val="26"/>
        </w:rPr>
        <w:t>any of the stolen items</w:t>
      </w:r>
      <w:r>
        <w:rPr>
          <w:szCs w:val="26"/>
        </w:rPr>
        <w:t xml:space="preserve">.  </w:t>
      </w:r>
    </w:p>
    <w:p w14:paraId="135A7245" w14:textId="4103B6CA" w:rsidR="002D666D" w:rsidRDefault="00600542" w:rsidP="002D666D">
      <w:pPr>
        <w:spacing w:line="480" w:lineRule="auto"/>
        <w:ind w:firstLine="720"/>
        <w:contextualSpacing/>
        <w:jc w:val="both"/>
        <w:rPr>
          <w:szCs w:val="26"/>
        </w:rPr>
      </w:pPr>
      <w:r>
        <w:rPr>
          <w:szCs w:val="26"/>
        </w:rPr>
        <w:t xml:space="preserve">The </w:t>
      </w:r>
      <w:r w:rsidR="00F14D92">
        <w:rPr>
          <w:szCs w:val="26"/>
        </w:rPr>
        <w:t>only evidence tying Mr. Rodgers to the crimes came from</w:t>
      </w:r>
      <w:r w:rsidR="006E2A32">
        <w:rPr>
          <w:szCs w:val="26"/>
        </w:rPr>
        <w:t xml:space="preserve"> CMPD analyst</w:t>
      </w:r>
      <w:r w:rsidR="00E355B1">
        <w:rPr>
          <w:szCs w:val="26"/>
        </w:rPr>
        <w:t xml:space="preserve"> Jennifer </w:t>
      </w:r>
      <w:r w:rsidR="002727F2">
        <w:rPr>
          <w:szCs w:val="26"/>
        </w:rPr>
        <w:t>Sealy</w:t>
      </w:r>
      <w:r w:rsidR="006A7A0F">
        <w:rPr>
          <w:szCs w:val="26"/>
        </w:rPr>
        <w:t>.  (T p 567</w:t>
      </w:r>
      <w:proofErr w:type="gramStart"/>
      <w:r w:rsidR="006A7A0F">
        <w:rPr>
          <w:szCs w:val="26"/>
        </w:rPr>
        <w:t>)  Sealy</w:t>
      </w:r>
      <w:proofErr w:type="gramEnd"/>
      <w:r w:rsidR="006A7A0F">
        <w:rPr>
          <w:szCs w:val="26"/>
        </w:rPr>
        <w:t xml:space="preserve"> explained generally what DNA is and how a person might or might not leave behind DNA from simply touching something.  (T pp 568-71</w:t>
      </w:r>
      <w:proofErr w:type="gramStart"/>
      <w:r w:rsidR="006A7A0F">
        <w:rPr>
          <w:szCs w:val="26"/>
        </w:rPr>
        <w:t xml:space="preserve">)  </w:t>
      </w:r>
      <w:r w:rsidR="000F37AD">
        <w:rPr>
          <w:szCs w:val="26"/>
        </w:rPr>
        <w:t>On</w:t>
      </w:r>
      <w:proofErr w:type="gramEnd"/>
      <w:r w:rsidR="000F37AD">
        <w:rPr>
          <w:szCs w:val="26"/>
        </w:rPr>
        <w:t xml:space="preserve"> direct examination, Sealy testified to the difference between single source and mixture DNA samples.  She </w:t>
      </w:r>
      <w:r w:rsidR="008271D7">
        <w:rPr>
          <w:szCs w:val="26"/>
        </w:rPr>
        <w:t>then</w:t>
      </w:r>
      <w:r w:rsidR="000F37AD">
        <w:rPr>
          <w:szCs w:val="26"/>
        </w:rPr>
        <w:t xml:space="preserve"> testified generally about the </w:t>
      </w:r>
      <w:r w:rsidR="00CE64EC">
        <w:rPr>
          <w:szCs w:val="26"/>
        </w:rPr>
        <w:t>police c</w:t>
      </w:r>
      <w:r w:rsidR="000F37AD">
        <w:rPr>
          <w:szCs w:val="26"/>
        </w:rPr>
        <w:t xml:space="preserve">rime </w:t>
      </w:r>
      <w:r w:rsidR="00CE64EC">
        <w:rPr>
          <w:szCs w:val="26"/>
        </w:rPr>
        <w:t>l</w:t>
      </w:r>
      <w:r w:rsidR="000F37AD">
        <w:rPr>
          <w:szCs w:val="26"/>
        </w:rPr>
        <w:t>ab’s DNA testing protocols</w:t>
      </w:r>
      <w:r w:rsidR="009C0FF4">
        <w:rPr>
          <w:szCs w:val="26"/>
        </w:rPr>
        <w:t>.</w:t>
      </w:r>
      <w:r w:rsidR="000F37AD">
        <w:rPr>
          <w:szCs w:val="26"/>
        </w:rPr>
        <w:t xml:space="preserve"> </w:t>
      </w:r>
      <w:r w:rsidR="009C0FF4">
        <w:rPr>
          <w:szCs w:val="26"/>
        </w:rPr>
        <w:t>S</w:t>
      </w:r>
      <w:r w:rsidR="000F37AD">
        <w:rPr>
          <w:szCs w:val="26"/>
        </w:rPr>
        <w:t xml:space="preserve">he did not testify </w:t>
      </w:r>
      <w:r w:rsidR="003747C5">
        <w:rPr>
          <w:szCs w:val="26"/>
        </w:rPr>
        <w:t>about</w:t>
      </w:r>
      <w:r w:rsidR="009C0FF4">
        <w:rPr>
          <w:szCs w:val="26"/>
        </w:rPr>
        <w:t xml:space="preserve"> quantity or quality</w:t>
      </w:r>
      <w:r w:rsidR="000F37AD">
        <w:rPr>
          <w:szCs w:val="26"/>
        </w:rPr>
        <w:t xml:space="preserve"> thresholds for analyzing samples.  (T pp 572-75)  </w:t>
      </w:r>
    </w:p>
    <w:p w14:paraId="3AAE7AC4" w14:textId="6CA1BA44" w:rsidR="009C0FF4" w:rsidRDefault="002D666D" w:rsidP="002D666D">
      <w:pPr>
        <w:spacing w:line="480" w:lineRule="auto"/>
        <w:ind w:firstLine="720"/>
        <w:contextualSpacing/>
        <w:jc w:val="both"/>
        <w:rPr>
          <w:szCs w:val="26"/>
        </w:rPr>
      </w:pPr>
      <w:r>
        <w:rPr>
          <w:szCs w:val="26"/>
        </w:rPr>
        <w:t xml:space="preserve">Sealy analyzed DNA swabs taken from </w:t>
      </w:r>
      <w:proofErr w:type="spellStart"/>
      <w:r w:rsidR="00591A1B">
        <w:rPr>
          <w:szCs w:val="26"/>
        </w:rPr>
        <w:t>T.L.</w:t>
      </w:r>
      <w:r>
        <w:rPr>
          <w:szCs w:val="26"/>
        </w:rPr>
        <w:t>’s</w:t>
      </w:r>
      <w:proofErr w:type="spellEnd"/>
      <w:r>
        <w:rPr>
          <w:szCs w:val="26"/>
        </w:rPr>
        <w:t xml:space="preserve"> front </w:t>
      </w:r>
      <w:r w:rsidR="0055056D">
        <w:rPr>
          <w:szCs w:val="26"/>
        </w:rPr>
        <w:t>doorknob</w:t>
      </w:r>
      <w:r>
        <w:rPr>
          <w:szCs w:val="26"/>
        </w:rPr>
        <w:t xml:space="preserve">.  Sealy obtained a mixed sample </w:t>
      </w:r>
      <w:r w:rsidR="0055056D">
        <w:rPr>
          <w:szCs w:val="26"/>
        </w:rPr>
        <w:t>that she believed came</w:t>
      </w:r>
      <w:r>
        <w:rPr>
          <w:szCs w:val="26"/>
        </w:rPr>
        <w:t xml:space="preserve"> from three individuals.  One of the profiles matched </w:t>
      </w:r>
      <w:r w:rsidR="00591A1B">
        <w:rPr>
          <w:szCs w:val="26"/>
        </w:rPr>
        <w:t>T.L.</w:t>
      </w:r>
      <w:r>
        <w:rPr>
          <w:szCs w:val="26"/>
        </w:rPr>
        <w:t>, and Sealy could not make a conclusion on the identity of the other two.  (T pp 584-85</w:t>
      </w:r>
      <w:proofErr w:type="gramStart"/>
      <w:r>
        <w:rPr>
          <w:szCs w:val="26"/>
        </w:rPr>
        <w:t>)  Sealy</w:t>
      </w:r>
      <w:proofErr w:type="gramEnd"/>
      <w:r>
        <w:rPr>
          <w:szCs w:val="26"/>
        </w:rPr>
        <w:t xml:space="preserve"> also analyzed a DNA sample from </w:t>
      </w:r>
      <w:proofErr w:type="spellStart"/>
      <w:r w:rsidR="00591A1B">
        <w:rPr>
          <w:szCs w:val="26"/>
        </w:rPr>
        <w:t>T.L.</w:t>
      </w:r>
      <w:r>
        <w:rPr>
          <w:szCs w:val="26"/>
        </w:rPr>
        <w:t>’s</w:t>
      </w:r>
      <w:proofErr w:type="spellEnd"/>
      <w:r>
        <w:rPr>
          <w:szCs w:val="26"/>
        </w:rPr>
        <w:t xml:space="preserve"> shorts.  Again, Sealy found a mixture of two </w:t>
      </w:r>
      <w:r w:rsidR="006C6CBA">
        <w:rPr>
          <w:szCs w:val="26"/>
        </w:rPr>
        <w:t>contributors:</w:t>
      </w:r>
      <w:r>
        <w:rPr>
          <w:szCs w:val="26"/>
        </w:rPr>
        <w:t xml:space="preserve"> one being </w:t>
      </w:r>
      <w:r w:rsidR="00591A1B">
        <w:rPr>
          <w:szCs w:val="26"/>
        </w:rPr>
        <w:t>T.L.</w:t>
      </w:r>
      <w:r>
        <w:rPr>
          <w:szCs w:val="26"/>
        </w:rPr>
        <w:t xml:space="preserve"> and the other inconclusive.  (T p 586)  </w:t>
      </w:r>
    </w:p>
    <w:p w14:paraId="0FDE77C4" w14:textId="01920067" w:rsidR="002D666D" w:rsidRDefault="002D666D" w:rsidP="002D666D">
      <w:pPr>
        <w:spacing w:line="480" w:lineRule="auto"/>
        <w:ind w:firstLine="720"/>
        <w:contextualSpacing/>
        <w:jc w:val="both"/>
        <w:rPr>
          <w:szCs w:val="26"/>
        </w:rPr>
      </w:pPr>
      <w:r w:rsidRPr="00A4635D">
        <w:rPr>
          <w:szCs w:val="26"/>
        </w:rPr>
        <w:t xml:space="preserve">Sealy was unable to obtain enough DNA material from the swabs taken from the </w:t>
      </w:r>
      <w:r w:rsidR="00A4635D" w:rsidRPr="00A4635D">
        <w:rPr>
          <w:szCs w:val="26"/>
        </w:rPr>
        <w:t>“</w:t>
      </w:r>
      <w:r w:rsidRPr="00A4635D">
        <w:rPr>
          <w:szCs w:val="26"/>
        </w:rPr>
        <w:t>bottom sash rail</w:t>
      </w:r>
      <w:r w:rsidR="00A4635D" w:rsidRPr="00A4635D">
        <w:rPr>
          <w:szCs w:val="26"/>
        </w:rPr>
        <w:t>”</w:t>
      </w:r>
      <w:r w:rsidRPr="00A4635D">
        <w:rPr>
          <w:szCs w:val="26"/>
        </w:rPr>
        <w:t xml:space="preserve"> of the window alleged to have been the point of entry.  (T p 587</w:t>
      </w:r>
      <w:proofErr w:type="gramStart"/>
      <w:r w:rsidRPr="00A4635D">
        <w:rPr>
          <w:szCs w:val="26"/>
        </w:rPr>
        <w:t>)  When</w:t>
      </w:r>
      <w:proofErr w:type="gramEnd"/>
      <w:r w:rsidRPr="00A4635D">
        <w:rPr>
          <w:szCs w:val="26"/>
        </w:rPr>
        <w:t xml:space="preserve"> the prosecutor asked Sealy about the swab from </w:t>
      </w:r>
      <w:r w:rsidR="00A4635D" w:rsidRPr="00A4635D">
        <w:rPr>
          <w:szCs w:val="26"/>
        </w:rPr>
        <w:t xml:space="preserve">a different spot on </w:t>
      </w:r>
      <w:r w:rsidRPr="00A4635D">
        <w:rPr>
          <w:szCs w:val="26"/>
        </w:rPr>
        <w:t xml:space="preserve">the </w:t>
      </w:r>
      <w:r w:rsidR="00A4635D" w:rsidRPr="00A4635D">
        <w:rPr>
          <w:szCs w:val="26"/>
        </w:rPr>
        <w:t>“</w:t>
      </w:r>
      <w:r w:rsidRPr="00A4635D">
        <w:rPr>
          <w:szCs w:val="26"/>
        </w:rPr>
        <w:t>bottom sash</w:t>
      </w:r>
      <w:r w:rsidR="00A4635D" w:rsidRPr="00A4635D">
        <w:rPr>
          <w:szCs w:val="26"/>
        </w:rPr>
        <w:t>”</w:t>
      </w:r>
      <w:r w:rsidRPr="00A4635D">
        <w:rPr>
          <w:szCs w:val="26"/>
        </w:rPr>
        <w:t xml:space="preserve"> of that window</w:t>
      </w:r>
      <w:r>
        <w:rPr>
          <w:szCs w:val="26"/>
        </w:rPr>
        <w:t xml:space="preserve">, defense counsel objected on foundation and due process grounds and asked for “permission to </w:t>
      </w:r>
      <w:proofErr w:type="spellStart"/>
      <w:r>
        <w:rPr>
          <w:szCs w:val="26"/>
        </w:rPr>
        <w:t>voir</w:t>
      </w:r>
      <w:proofErr w:type="spellEnd"/>
      <w:r>
        <w:rPr>
          <w:szCs w:val="26"/>
        </w:rPr>
        <w:t xml:space="preserve"> dire.”  (T p 587</w:t>
      </w:r>
      <w:proofErr w:type="gramStart"/>
      <w:r>
        <w:rPr>
          <w:szCs w:val="26"/>
        </w:rPr>
        <w:t>)  The</w:t>
      </w:r>
      <w:proofErr w:type="gramEnd"/>
      <w:r>
        <w:rPr>
          <w:szCs w:val="26"/>
        </w:rPr>
        <w:t xml:space="preserve"> trial court</w:t>
      </w:r>
      <w:r w:rsidR="0055056D">
        <w:rPr>
          <w:szCs w:val="26"/>
        </w:rPr>
        <w:t xml:space="preserve"> denied the</w:t>
      </w:r>
      <w:r w:rsidR="005640D0">
        <w:rPr>
          <w:szCs w:val="26"/>
        </w:rPr>
        <w:t xml:space="preserve"> </w:t>
      </w:r>
      <w:proofErr w:type="spellStart"/>
      <w:r w:rsidR="005640D0">
        <w:rPr>
          <w:szCs w:val="26"/>
        </w:rPr>
        <w:t>voir</w:t>
      </w:r>
      <w:proofErr w:type="spellEnd"/>
      <w:r w:rsidR="005640D0">
        <w:rPr>
          <w:szCs w:val="26"/>
        </w:rPr>
        <w:t xml:space="preserve"> dire</w:t>
      </w:r>
      <w:r w:rsidR="0055056D">
        <w:rPr>
          <w:szCs w:val="26"/>
        </w:rPr>
        <w:t xml:space="preserve"> request and</w:t>
      </w:r>
      <w:r>
        <w:rPr>
          <w:szCs w:val="26"/>
        </w:rPr>
        <w:t xml:space="preserve"> allowed Sealy to answer</w:t>
      </w:r>
      <w:r w:rsidR="009C0FF4">
        <w:rPr>
          <w:szCs w:val="26"/>
        </w:rPr>
        <w:t xml:space="preserve">.  Sealy told the jury that </w:t>
      </w:r>
      <w:r>
        <w:rPr>
          <w:szCs w:val="26"/>
        </w:rPr>
        <w:t>she pull</w:t>
      </w:r>
      <w:r w:rsidR="009C0FF4">
        <w:rPr>
          <w:szCs w:val="26"/>
        </w:rPr>
        <w:t>ed</w:t>
      </w:r>
      <w:r>
        <w:rPr>
          <w:szCs w:val="26"/>
        </w:rPr>
        <w:t xml:space="preserve"> a partial, single-source profile from that sample</w:t>
      </w:r>
      <w:r w:rsidR="009C0FF4">
        <w:rPr>
          <w:szCs w:val="26"/>
        </w:rPr>
        <w:t xml:space="preserve"> and compared the profile to Mr. Rodgers’s known DNA profile</w:t>
      </w:r>
      <w:r>
        <w:rPr>
          <w:szCs w:val="26"/>
        </w:rPr>
        <w:t xml:space="preserve">.  (T </w:t>
      </w:r>
      <w:r w:rsidR="009C0FF4">
        <w:rPr>
          <w:szCs w:val="26"/>
        </w:rPr>
        <w:t>p</w:t>
      </w:r>
      <w:r>
        <w:rPr>
          <w:szCs w:val="26"/>
        </w:rPr>
        <w:t>p 587</w:t>
      </w:r>
      <w:r w:rsidR="009C0FF4">
        <w:rPr>
          <w:szCs w:val="26"/>
        </w:rPr>
        <w:t>, 591</w:t>
      </w:r>
      <w:r>
        <w:rPr>
          <w:szCs w:val="26"/>
        </w:rPr>
        <w:t xml:space="preserve">)  </w:t>
      </w:r>
    </w:p>
    <w:p w14:paraId="64A5649B" w14:textId="691B43D9" w:rsidR="002D666D" w:rsidRPr="00131F77" w:rsidRDefault="002D666D" w:rsidP="002D666D">
      <w:pPr>
        <w:spacing w:line="480" w:lineRule="auto"/>
        <w:ind w:firstLine="720"/>
        <w:contextualSpacing/>
        <w:jc w:val="both"/>
        <w:rPr>
          <w:b/>
          <w:bCs/>
          <w:szCs w:val="26"/>
        </w:rPr>
      </w:pPr>
      <w:r>
        <w:rPr>
          <w:szCs w:val="26"/>
        </w:rPr>
        <w:t xml:space="preserve">When the prosecutor asked Sealy </w:t>
      </w:r>
      <w:r w:rsidR="009C0FF4">
        <w:rPr>
          <w:szCs w:val="26"/>
        </w:rPr>
        <w:t>for the results of her comparison</w:t>
      </w:r>
      <w:r>
        <w:rPr>
          <w:szCs w:val="26"/>
        </w:rPr>
        <w:t xml:space="preserve">, defense counsel objected on “702A” and foundation and due process grounds.  Defense counsel, again, asked for permission to </w:t>
      </w:r>
      <w:proofErr w:type="spellStart"/>
      <w:r>
        <w:rPr>
          <w:szCs w:val="26"/>
        </w:rPr>
        <w:t>voir</w:t>
      </w:r>
      <w:proofErr w:type="spellEnd"/>
      <w:r>
        <w:rPr>
          <w:szCs w:val="26"/>
        </w:rPr>
        <w:t xml:space="preserve"> dire the witness.  (T p 591</w:t>
      </w:r>
      <w:proofErr w:type="gramStart"/>
      <w:r>
        <w:rPr>
          <w:szCs w:val="26"/>
        </w:rPr>
        <w:t>)</w:t>
      </w:r>
      <w:r w:rsidR="000471A3">
        <w:rPr>
          <w:szCs w:val="26"/>
        </w:rPr>
        <w:t xml:space="preserve">  </w:t>
      </w:r>
      <w:r w:rsidR="005640D0">
        <w:rPr>
          <w:szCs w:val="26"/>
        </w:rPr>
        <w:t>Instead</w:t>
      </w:r>
      <w:proofErr w:type="gramEnd"/>
      <w:r w:rsidR="005640D0">
        <w:rPr>
          <w:szCs w:val="26"/>
        </w:rPr>
        <w:t xml:space="preserve"> of giving defense counsel the opportunity to question the witness outside the jury’s presence, t</w:t>
      </w:r>
      <w:r w:rsidR="0057769F">
        <w:rPr>
          <w:szCs w:val="26"/>
        </w:rPr>
        <w:t xml:space="preserve">he trial court asked Sealy several questions </w:t>
      </w:r>
      <w:r w:rsidR="006E2A32">
        <w:rPr>
          <w:szCs w:val="26"/>
        </w:rPr>
        <w:t xml:space="preserve">with </w:t>
      </w:r>
      <w:r w:rsidR="0057769F">
        <w:rPr>
          <w:szCs w:val="26"/>
        </w:rPr>
        <w:t>the jury presen</w:t>
      </w:r>
      <w:r w:rsidR="006E2A32">
        <w:rPr>
          <w:szCs w:val="26"/>
        </w:rPr>
        <w:t>t</w:t>
      </w:r>
      <w:r w:rsidR="005640D0">
        <w:rPr>
          <w:szCs w:val="26"/>
        </w:rPr>
        <w:t xml:space="preserve"> and</w:t>
      </w:r>
      <w:r w:rsidR="0057769F">
        <w:rPr>
          <w:szCs w:val="26"/>
        </w:rPr>
        <w:t xml:space="preserve"> overrul</w:t>
      </w:r>
      <w:r w:rsidR="005640D0">
        <w:rPr>
          <w:szCs w:val="26"/>
        </w:rPr>
        <w:t>ed</w:t>
      </w:r>
      <w:r w:rsidR="0057769F">
        <w:rPr>
          <w:szCs w:val="26"/>
        </w:rPr>
        <w:t xml:space="preserve"> defense counsel’s objection</w:t>
      </w:r>
      <w:r w:rsidR="006E2A32">
        <w:rPr>
          <w:szCs w:val="26"/>
        </w:rPr>
        <w:t>.</w:t>
      </w:r>
      <w:r w:rsidR="0057769F">
        <w:rPr>
          <w:szCs w:val="26"/>
        </w:rPr>
        <w:t xml:space="preserve">  (T pp </w:t>
      </w:r>
      <w:r w:rsidR="00A4635D">
        <w:rPr>
          <w:szCs w:val="26"/>
        </w:rPr>
        <w:t>591-93</w:t>
      </w:r>
      <w:r w:rsidR="0057769F">
        <w:rPr>
          <w:szCs w:val="26"/>
        </w:rPr>
        <w:t>)</w:t>
      </w:r>
      <w:r w:rsidR="00A4635D">
        <w:rPr>
          <w:szCs w:val="26"/>
        </w:rPr>
        <w:t xml:space="preserve">  </w:t>
      </w:r>
      <w:r w:rsidR="000471A3">
        <w:rPr>
          <w:szCs w:val="26"/>
        </w:rPr>
        <w:t xml:space="preserve">Sealy </w:t>
      </w:r>
      <w:r w:rsidR="005640D0">
        <w:rPr>
          <w:szCs w:val="26"/>
        </w:rPr>
        <w:t>told the jury</w:t>
      </w:r>
      <w:r w:rsidR="000471A3">
        <w:rPr>
          <w:szCs w:val="26"/>
        </w:rPr>
        <w:t xml:space="preserve"> the sample retrieved from the window sash was </w:t>
      </w:r>
      <w:r w:rsidR="00A4635D">
        <w:rPr>
          <w:szCs w:val="26"/>
        </w:rPr>
        <w:t>“</w:t>
      </w:r>
      <w:r w:rsidR="000471A3">
        <w:rPr>
          <w:szCs w:val="26"/>
        </w:rPr>
        <w:t>consistent</w:t>
      </w:r>
      <w:r w:rsidR="00A4635D">
        <w:rPr>
          <w:szCs w:val="26"/>
        </w:rPr>
        <w:t>”</w:t>
      </w:r>
      <w:r w:rsidR="000471A3">
        <w:rPr>
          <w:szCs w:val="26"/>
        </w:rPr>
        <w:t xml:space="preserve"> with Mr. Rodgers’s DNA profile.  (T p </w:t>
      </w:r>
      <w:r w:rsidR="00A4635D">
        <w:rPr>
          <w:szCs w:val="26"/>
        </w:rPr>
        <w:t>594</w:t>
      </w:r>
      <w:proofErr w:type="gramStart"/>
      <w:r w:rsidR="000471A3">
        <w:rPr>
          <w:szCs w:val="26"/>
        </w:rPr>
        <w:t>)</w:t>
      </w:r>
      <w:r w:rsidR="00CE64EC">
        <w:rPr>
          <w:szCs w:val="26"/>
        </w:rPr>
        <w:t xml:space="preserve">  </w:t>
      </w:r>
      <w:r w:rsidR="005E2639">
        <w:rPr>
          <w:szCs w:val="26"/>
        </w:rPr>
        <w:t>Sealy</w:t>
      </w:r>
      <w:proofErr w:type="gramEnd"/>
      <w:r w:rsidR="005E2639">
        <w:rPr>
          <w:szCs w:val="26"/>
        </w:rPr>
        <w:t xml:space="preserve"> could not say the sample was a “match” to Mr. Rodgers’s known profile because the sample was an incomplete</w:t>
      </w:r>
      <w:r w:rsidR="002E06CE">
        <w:rPr>
          <w:szCs w:val="26"/>
        </w:rPr>
        <w:t>, partial sample.  (T p 594)</w:t>
      </w:r>
    </w:p>
    <w:p w14:paraId="5ED5742A" w14:textId="14DF48F5" w:rsidR="00C07199" w:rsidRPr="00463714" w:rsidRDefault="006C7EF5" w:rsidP="00841B89">
      <w:pPr>
        <w:spacing w:line="480" w:lineRule="auto"/>
        <w:ind w:firstLine="720"/>
        <w:contextualSpacing/>
        <w:jc w:val="both"/>
        <w:rPr>
          <w:szCs w:val="26"/>
        </w:rPr>
      </w:pPr>
      <w:r>
        <w:rPr>
          <w:szCs w:val="26"/>
        </w:rPr>
        <w:t>D</w:t>
      </w:r>
      <w:r w:rsidR="00463714">
        <w:rPr>
          <w:szCs w:val="26"/>
        </w:rPr>
        <w:t xml:space="preserve">efense counsel </w:t>
      </w:r>
      <w:r w:rsidR="005640D0">
        <w:rPr>
          <w:szCs w:val="26"/>
        </w:rPr>
        <w:t>moved</w:t>
      </w:r>
      <w:r w:rsidR="00463714">
        <w:rPr>
          <w:szCs w:val="26"/>
        </w:rPr>
        <w:t xml:space="preserve"> to dismiss all charges</w:t>
      </w:r>
      <w:r w:rsidR="005640D0">
        <w:rPr>
          <w:szCs w:val="26"/>
        </w:rPr>
        <w:t xml:space="preserve"> based on insufficient evidence</w:t>
      </w:r>
      <w:r w:rsidR="00463714">
        <w:rPr>
          <w:szCs w:val="26"/>
        </w:rPr>
        <w:t xml:space="preserve"> </w:t>
      </w:r>
      <w:r>
        <w:rPr>
          <w:szCs w:val="26"/>
        </w:rPr>
        <w:t xml:space="preserve">at the close of the State’s case and at the close of all evidence, though he presented none. (T pp 649, 681-84) </w:t>
      </w:r>
      <w:r w:rsidR="00841B89">
        <w:rPr>
          <w:szCs w:val="26"/>
        </w:rPr>
        <w:t>The trial court denied the motion</w:t>
      </w:r>
      <w:r>
        <w:rPr>
          <w:szCs w:val="26"/>
        </w:rPr>
        <w:t>s</w:t>
      </w:r>
      <w:r w:rsidR="00841B89">
        <w:rPr>
          <w:szCs w:val="26"/>
        </w:rPr>
        <w:t>.  (T p</w:t>
      </w:r>
      <w:r w:rsidR="00AC302D">
        <w:rPr>
          <w:szCs w:val="26"/>
        </w:rPr>
        <w:t>p</w:t>
      </w:r>
      <w:r w:rsidR="00841B89">
        <w:rPr>
          <w:szCs w:val="26"/>
        </w:rPr>
        <w:t xml:space="preserve"> 681</w:t>
      </w:r>
      <w:r>
        <w:rPr>
          <w:szCs w:val="26"/>
        </w:rPr>
        <w:t>, 684</w:t>
      </w:r>
      <w:r w:rsidR="00841B89">
        <w:rPr>
          <w:szCs w:val="26"/>
        </w:rPr>
        <w:t xml:space="preserve">)  </w:t>
      </w:r>
    </w:p>
    <w:p w14:paraId="7EC9EB9C" w14:textId="7CA44C01" w:rsidR="00261634" w:rsidRPr="003A671C" w:rsidRDefault="003A671C" w:rsidP="000471A3">
      <w:pPr>
        <w:spacing w:line="480" w:lineRule="auto"/>
        <w:ind w:firstLine="720"/>
        <w:contextualSpacing/>
        <w:jc w:val="both"/>
        <w:rPr>
          <w:szCs w:val="26"/>
        </w:rPr>
      </w:pPr>
      <w:r>
        <w:rPr>
          <w:szCs w:val="26"/>
        </w:rPr>
        <w:t xml:space="preserve">During its deliberation, the </w:t>
      </w:r>
      <w:r w:rsidR="0057769F">
        <w:rPr>
          <w:szCs w:val="26"/>
        </w:rPr>
        <w:t>j</w:t>
      </w:r>
      <w:r>
        <w:rPr>
          <w:szCs w:val="26"/>
        </w:rPr>
        <w:t>ury asked the trial court for a “breakdown of each charge.”  (T p 763</w:t>
      </w:r>
      <w:proofErr w:type="gramStart"/>
      <w:r>
        <w:rPr>
          <w:szCs w:val="26"/>
        </w:rPr>
        <w:t>)  The</w:t>
      </w:r>
      <w:proofErr w:type="gramEnd"/>
      <w:r>
        <w:rPr>
          <w:szCs w:val="26"/>
        </w:rPr>
        <w:t xml:space="preserve"> trial court reinstructed the jury on each charge</w:t>
      </w:r>
      <w:r w:rsidR="000471A3">
        <w:rPr>
          <w:szCs w:val="26"/>
        </w:rPr>
        <w:t>.  (T pp 764-69</w:t>
      </w:r>
      <w:proofErr w:type="gramStart"/>
      <w:r w:rsidR="000471A3">
        <w:rPr>
          <w:szCs w:val="26"/>
        </w:rPr>
        <w:t>)  After</w:t>
      </w:r>
      <w:proofErr w:type="gramEnd"/>
      <w:r w:rsidR="000471A3">
        <w:rPr>
          <w:szCs w:val="26"/>
        </w:rPr>
        <w:t xml:space="preserve"> further deliberation, the </w:t>
      </w:r>
      <w:r w:rsidR="0057769F">
        <w:rPr>
          <w:szCs w:val="26"/>
        </w:rPr>
        <w:t>j</w:t>
      </w:r>
      <w:r w:rsidR="000471A3">
        <w:rPr>
          <w:szCs w:val="26"/>
        </w:rPr>
        <w:t xml:space="preserve">ury asked the trial court for a “breakdown of felony larceny after breaking and/or entering,” “misdemeanor sexual battery,” and “misdemeanor simple assault[.]”  (T p 774)  The trial court again reinstructed the </w:t>
      </w:r>
      <w:r w:rsidR="0057769F">
        <w:rPr>
          <w:szCs w:val="26"/>
        </w:rPr>
        <w:t>j</w:t>
      </w:r>
      <w:r w:rsidR="000471A3">
        <w:rPr>
          <w:szCs w:val="26"/>
        </w:rPr>
        <w:t>ury on these charges.  (T pp 778-80</w:t>
      </w:r>
      <w:proofErr w:type="gramStart"/>
      <w:r w:rsidR="000471A3">
        <w:rPr>
          <w:szCs w:val="26"/>
        </w:rPr>
        <w:t xml:space="preserve">)  </w:t>
      </w:r>
      <w:r w:rsidR="0013632E">
        <w:rPr>
          <w:szCs w:val="26"/>
        </w:rPr>
        <w:t>After</w:t>
      </w:r>
      <w:proofErr w:type="gramEnd"/>
      <w:r w:rsidR="0013632E">
        <w:rPr>
          <w:szCs w:val="26"/>
        </w:rPr>
        <w:t xml:space="preserve"> approximately 5 hours of </w:t>
      </w:r>
      <w:r w:rsidR="00591A1B">
        <w:rPr>
          <w:szCs w:val="26"/>
        </w:rPr>
        <w:t xml:space="preserve">total </w:t>
      </w:r>
      <w:r w:rsidR="0013632E">
        <w:rPr>
          <w:szCs w:val="26"/>
        </w:rPr>
        <w:t>deliberation spanning two days, t</w:t>
      </w:r>
      <w:r w:rsidR="000471A3">
        <w:rPr>
          <w:szCs w:val="26"/>
        </w:rPr>
        <w:t xml:space="preserve">he </w:t>
      </w:r>
      <w:r w:rsidR="0057769F">
        <w:rPr>
          <w:szCs w:val="26"/>
        </w:rPr>
        <w:t>j</w:t>
      </w:r>
      <w:r w:rsidR="000471A3">
        <w:rPr>
          <w:szCs w:val="26"/>
        </w:rPr>
        <w:t xml:space="preserve">ury returned guilty verdicts on </w:t>
      </w:r>
      <w:r w:rsidR="00AB1E7C">
        <w:rPr>
          <w:szCs w:val="26"/>
        </w:rPr>
        <w:t>all charges</w:t>
      </w:r>
      <w:r w:rsidR="000471A3">
        <w:rPr>
          <w:szCs w:val="26"/>
        </w:rPr>
        <w:t>.  (T p 783)</w:t>
      </w:r>
      <w:r w:rsidR="008271D7">
        <w:rPr>
          <w:szCs w:val="26"/>
        </w:rPr>
        <w:t xml:space="preserve">  </w:t>
      </w:r>
    </w:p>
    <w:p w14:paraId="3D2CA65C" w14:textId="2EFD7C30" w:rsidR="007A43F9" w:rsidRPr="00D350F6" w:rsidRDefault="00E35F02" w:rsidP="00D350F6">
      <w:pPr>
        <w:pStyle w:val="Heading1"/>
      </w:pPr>
      <w:bookmarkStart w:id="5" w:name="_Toc101777067"/>
      <w:r w:rsidRPr="00D350F6">
        <w:t>ARGUMENT</w:t>
      </w:r>
      <w:bookmarkEnd w:id="5"/>
    </w:p>
    <w:p w14:paraId="21D040D1" w14:textId="7762DF9F" w:rsidR="00E35F02" w:rsidRPr="00424522" w:rsidRDefault="00E35F02" w:rsidP="002C617D">
      <w:pPr>
        <w:pStyle w:val="Heading2"/>
        <w:numPr>
          <w:ilvl w:val="0"/>
          <w:numId w:val="25"/>
        </w:numPr>
      </w:pPr>
      <w:bookmarkStart w:id="6" w:name="_Toc101777068"/>
      <w:r w:rsidRPr="009955CE">
        <w:t xml:space="preserve">The </w:t>
      </w:r>
      <w:bookmarkStart w:id="7" w:name="_Hlk119693047"/>
      <w:r w:rsidRPr="009955CE">
        <w:t xml:space="preserve">trial court </w:t>
      </w:r>
      <w:r w:rsidR="00472363" w:rsidRPr="00424522">
        <w:t>abused its discretion</w:t>
      </w:r>
      <w:r w:rsidR="00241A96" w:rsidRPr="00424522">
        <w:t xml:space="preserve"> by </w:t>
      </w:r>
      <w:r w:rsidR="00D81FA0" w:rsidRPr="00424522">
        <w:t xml:space="preserve">admitting Sealy’s DNA opinion testimony </w:t>
      </w:r>
      <w:r w:rsidR="005E3FCE" w:rsidRPr="00424522">
        <w:t>without</w:t>
      </w:r>
      <w:r w:rsidR="009457BC" w:rsidRPr="00424522">
        <w:t xml:space="preserve"> </w:t>
      </w:r>
      <w:r w:rsidR="00D81FA0" w:rsidRPr="00424522">
        <w:t>fulfill</w:t>
      </w:r>
      <w:r w:rsidR="005E3FCE" w:rsidRPr="00424522">
        <w:t>ing</w:t>
      </w:r>
      <w:r w:rsidR="00D81FA0" w:rsidRPr="00424522">
        <w:t xml:space="preserve"> its gatekeeping</w:t>
      </w:r>
      <w:r w:rsidR="009457BC" w:rsidRPr="00424522">
        <w:t xml:space="preserve"> </w:t>
      </w:r>
      <w:r w:rsidR="00D81FA0" w:rsidRPr="00424522">
        <w:t xml:space="preserve">duty to determine </w:t>
      </w:r>
      <w:r w:rsidR="009457BC" w:rsidRPr="00424522">
        <w:t xml:space="preserve">the reliability of the DNA testimony under </w:t>
      </w:r>
      <w:r w:rsidR="008327A1" w:rsidRPr="00424522">
        <w:t xml:space="preserve">Rule of Evidence 702 and </w:t>
      </w:r>
      <w:r w:rsidR="009457BC" w:rsidRPr="00424522">
        <w:rPr>
          <w:i/>
          <w:iCs/>
        </w:rPr>
        <w:t>State v. McGrady</w:t>
      </w:r>
      <w:bookmarkEnd w:id="7"/>
      <w:r w:rsidRPr="00424522">
        <w:t>.</w:t>
      </w:r>
      <w:bookmarkEnd w:id="6"/>
    </w:p>
    <w:p w14:paraId="5458D095" w14:textId="65541B1C" w:rsidR="00E103B0" w:rsidRDefault="00E103B0" w:rsidP="00E103B0">
      <w:pPr>
        <w:jc w:val="both"/>
      </w:pPr>
    </w:p>
    <w:p w14:paraId="49B5F1EF" w14:textId="22C796D6" w:rsidR="008C2ED3" w:rsidRDefault="008C2ED3" w:rsidP="008C2ED3">
      <w:pPr>
        <w:widowControl w:val="0"/>
        <w:tabs>
          <w:tab w:val="left" w:pos="720"/>
          <w:tab w:val="left" w:pos="1800"/>
          <w:tab w:val="left" w:pos="6840"/>
          <w:tab w:val="left" w:pos="7110"/>
        </w:tabs>
        <w:suppressAutoHyphens/>
        <w:spacing w:line="480" w:lineRule="auto"/>
        <w:ind w:firstLine="720"/>
        <w:contextualSpacing/>
        <w:jc w:val="both"/>
        <w:rPr>
          <w:rFonts w:cs="Courier New"/>
          <w:szCs w:val="26"/>
        </w:rPr>
      </w:pPr>
      <w:r>
        <w:rPr>
          <w:rFonts w:cs="Courier New"/>
          <w:szCs w:val="26"/>
        </w:rPr>
        <w:t xml:space="preserve">The trial court </w:t>
      </w:r>
      <w:r w:rsidR="00472363">
        <w:rPr>
          <w:rFonts w:cs="Courier New"/>
          <w:szCs w:val="26"/>
        </w:rPr>
        <w:t>abused its discretion</w:t>
      </w:r>
      <w:r w:rsidR="00D53CBB">
        <w:rPr>
          <w:rFonts w:cs="Courier New"/>
          <w:szCs w:val="26"/>
        </w:rPr>
        <w:t xml:space="preserve"> in admitting </w:t>
      </w:r>
      <w:r w:rsidR="00411783">
        <w:rPr>
          <w:rFonts w:cs="Courier New"/>
          <w:szCs w:val="26"/>
        </w:rPr>
        <w:t>Sealy’s expert testimony</w:t>
      </w:r>
      <w:r w:rsidR="002B4EE6">
        <w:rPr>
          <w:rFonts w:cs="Courier New"/>
          <w:szCs w:val="26"/>
        </w:rPr>
        <w:t xml:space="preserve"> </w:t>
      </w:r>
      <w:r w:rsidR="002362A9">
        <w:rPr>
          <w:rFonts w:cs="Courier New"/>
          <w:szCs w:val="26"/>
        </w:rPr>
        <w:t xml:space="preserve">without adequately determining the reliability of her opinion as required by law.  </w:t>
      </w:r>
      <w:r w:rsidR="002362A9" w:rsidRPr="008A0464">
        <w:rPr>
          <w:rFonts w:cs="Courier New"/>
          <w:i/>
          <w:iCs/>
          <w:szCs w:val="26"/>
        </w:rPr>
        <w:t>State v.</w:t>
      </w:r>
      <w:r w:rsidR="002362A9">
        <w:rPr>
          <w:rFonts w:cs="Courier New"/>
          <w:szCs w:val="26"/>
        </w:rPr>
        <w:t xml:space="preserve"> </w:t>
      </w:r>
      <w:r w:rsidR="002362A9" w:rsidRPr="00AC13FA">
        <w:rPr>
          <w:rFonts w:cs="Courier New"/>
          <w:i/>
          <w:iCs/>
          <w:szCs w:val="26"/>
        </w:rPr>
        <w:t>McGrady</w:t>
      </w:r>
      <w:r w:rsidR="002362A9" w:rsidRPr="00AC13FA">
        <w:rPr>
          <w:rFonts w:cs="Courier New"/>
          <w:szCs w:val="26"/>
        </w:rPr>
        <w:t>, 368 N.C.</w:t>
      </w:r>
      <w:r w:rsidR="002362A9" w:rsidRPr="00BC41E7">
        <w:rPr>
          <w:rFonts w:cs="Courier New"/>
          <w:szCs w:val="26"/>
        </w:rPr>
        <w:t xml:space="preserve"> </w:t>
      </w:r>
      <w:r w:rsidR="002362A9">
        <w:rPr>
          <w:rFonts w:cs="Courier New"/>
          <w:szCs w:val="26"/>
        </w:rPr>
        <w:t>880, 893 (2016)</w:t>
      </w:r>
      <w:r w:rsidR="009565CA">
        <w:rPr>
          <w:rFonts w:cs="Courier New"/>
          <w:szCs w:val="26"/>
        </w:rPr>
        <w:fldChar w:fldCharType="begin"/>
      </w:r>
      <w:r w:rsidR="009565CA">
        <w:instrText xml:space="preserve"> TA \l "</w:instrText>
      </w:r>
      <w:r w:rsidR="009565CA" w:rsidRPr="00275109">
        <w:rPr>
          <w:rFonts w:cs="Courier New"/>
          <w:i/>
          <w:iCs/>
          <w:szCs w:val="26"/>
        </w:rPr>
        <w:instrText>State v.</w:instrText>
      </w:r>
      <w:r w:rsidR="009565CA" w:rsidRPr="00275109">
        <w:rPr>
          <w:rFonts w:cs="Courier New"/>
          <w:szCs w:val="26"/>
        </w:rPr>
        <w:instrText xml:space="preserve"> </w:instrText>
      </w:r>
      <w:r w:rsidR="009565CA" w:rsidRPr="00275109">
        <w:rPr>
          <w:rFonts w:cs="Courier New"/>
          <w:i/>
          <w:iCs/>
          <w:szCs w:val="26"/>
        </w:rPr>
        <w:instrText>McGrady</w:instrText>
      </w:r>
      <w:r w:rsidR="009565CA" w:rsidRPr="00275109">
        <w:rPr>
          <w:rFonts w:cs="Courier New"/>
          <w:szCs w:val="26"/>
        </w:rPr>
        <w:instrText>, 368 N.C. 880, 893 (2016)</w:instrText>
      </w:r>
      <w:r w:rsidR="009565CA">
        <w:instrText xml:space="preserve">" \s "State v. McGrady, 368 N.C. 880, 893 (2016)" \c 1 </w:instrText>
      </w:r>
      <w:r w:rsidR="009565CA">
        <w:rPr>
          <w:rFonts w:cs="Courier New"/>
          <w:szCs w:val="26"/>
        </w:rPr>
        <w:fldChar w:fldCharType="end"/>
      </w:r>
      <w:r w:rsidR="002362A9">
        <w:rPr>
          <w:rFonts w:cs="Courier New"/>
          <w:szCs w:val="26"/>
        </w:rPr>
        <w:t xml:space="preserve">.  </w:t>
      </w:r>
      <w:r w:rsidR="008E057A">
        <w:rPr>
          <w:rFonts w:cs="Courier New"/>
          <w:szCs w:val="26"/>
        </w:rPr>
        <w:t>The court failed to do</w:t>
      </w:r>
      <w:r>
        <w:rPr>
          <w:rFonts w:cs="Courier New"/>
          <w:szCs w:val="26"/>
        </w:rPr>
        <w:t xml:space="preserve"> so in two ways:</w:t>
      </w:r>
      <w:r w:rsidR="001174F2">
        <w:rPr>
          <w:rFonts w:cs="Courier New"/>
          <w:szCs w:val="26"/>
        </w:rPr>
        <w:t xml:space="preserve"> (1)</w:t>
      </w:r>
      <w:r>
        <w:rPr>
          <w:rFonts w:cs="Courier New"/>
          <w:szCs w:val="26"/>
        </w:rPr>
        <w:t xml:space="preserve"> by denying</w:t>
      </w:r>
      <w:r w:rsidRPr="00712A28">
        <w:rPr>
          <w:rFonts w:cs="Courier New"/>
          <w:szCs w:val="26"/>
        </w:rPr>
        <w:t xml:space="preserve"> counsel’s request for </w:t>
      </w:r>
      <w:proofErr w:type="spellStart"/>
      <w:r w:rsidRPr="00712A28">
        <w:rPr>
          <w:rFonts w:cs="Courier New"/>
          <w:szCs w:val="26"/>
        </w:rPr>
        <w:t>voir</w:t>
      </w:r>
      <w:proofErr w:type="spellEnd"/>
      <w:r w:rsidRPr="00712A28">
        <w:rPr>
          <w:rFonts w:cs="Courier New"/>
          <w:szCs w:val="26"/>
        </w:rPr>
        <w:t xml:space="preserve"> dire and to make an offer of proof; and </w:t>
      </w:r>
      <w:r w:rsidR="001174F2">
        <w:rPr>
          <w:rFonts w:cs="Courier New"/>
          <w:szCs w:val="26"/>
        </w:rPr>
        <w:t xml:space="preserve">(2) </w:t>
      </w:r>
      <w:r>
        <w:rPr>
          <w:rFonts w:cs="Courier New"/>
          <w:szCs w:val="26"/>
        </w:rPr>
        <w:t xml:space="preserve">by </w:t>
      </w:r>
      <w:r w:rsidRPr="00712A28">
        <w:rPr>
          <w:rFonts w:cs="Courier New"/>
          <w:szCs w:val="26"/>
        </w:rPr>
        <w:t>admitt</w:t>
      </w:r>
      <w:r>
        <w:rPr>
          <w:rFonts w:cs="Courier New"/>
          <w:szCs w:val="26"/>
        </w:rPr>
        <w:t>ing</w:t>
      </w:r>
      <w:r w:rsidRPr="00712A28">
        <w:rPr>
          <w:rFonts w:cs="Courier New"/>
          <w:szCs w:val="26"/>
        </w:rPr>
        <w:t xml:space="preserve"> the </w:t>
      </w:r>
      <w:r>
        <w:rPr>
          <w:rFonts w:cs="Courier New"/>
          <w:szCs w:val="26"/>
        </w:rPr>
        <w:t>Sealy’s opinion testimony</w:t>
      </w:r>
      <w:r w:rsidRPr="00712A28">
        <w:rPr>
          <w:rFonts w:cs="Courier New"/>
          <w:szCs w:val="26"/>
        </w:rPr>
        <w:t xml:space="preserve"> </w:t>
      </w:r>
      <w:r w:rsidR="001D4540">
        <w:rPr>
          <w:rFonts w:cs="Courier New"/>
          <w:szCs w:val="26"/>
        </w:rPr>
        <w:t>when the testimony did not satisfy Rule 702’s reliability test</w:t>
      </w:r>
      <w:r w:rsidRPr="00712A28">
        <w:rPr>
          <w:rFonts w:cs="Courier New"/>
          <w:szCs w:val="26"/>
        </w:rPr>
        <w:t>.</w:t>
      </w:r>
      <w:r>
        <w:rPr>
          <w:rFonts w:cs="Courier New"/>
          <w:szCs w:val="26"/>
        </w:rPr>
        <w:t xml:space="preserve">  </w:t>
      </w:r>
      <w:r w:rsidR="0058579D">
        <w:rPr>
          <w:rFonts w:cs="Courier New"/>
          <w:szCs w:val="26"/>
        </w:rPr>
        <w:t xml:space="preserve">Admitting this DNA evidence without an adequate foundation </w:t>
      </w:r>
      <w:r>
        <w:rPr>
          <w:rFonts w:cs="Courier New"/>
          <w:szCs w:val="26"/>
        </w:rPr>
        <w:t xml:space="preserve">was an abuse of discretion.  </w:t>
      </w:r>
      <w:r w:rsidR="00346D6E">
        <w:rPr>
          <w:rFonts w:cs="Courier New"/>
          <w:szCs w:val="26"/>
        </w:rPr>
        <w:t>B</w:t>
      </w:r>
      <w:r>
        <w:rPr>
          <w:rFonts w:cs="Courier New"/>
          <w:szCs w:val="26"/>
        </w:rPr>
        <w:t>ecause the State’s DNA evidence was the only evidence tying Mr. Rodgers to the crimes, there is a reasonable possibility</w:t>
      </w:r>
      <w:r w:rsidR="00861F8B">
        <w:rPr>
          <w:rFonts w:cs="Courier New"/>
          <w:szCs w:val="26"/>
        </w:rPr>
        <w:t xml:space="preserve"> that without it,</w:t>
      </w:r>
      <w:r>
        <w:rPr>
          <w:rFonts w:cs="Courier New"/>
          <w:szCs w:val="26"/>
        </w:rPr>
        <w:t xml:space="preserve"> the jury would not have convicted him.  Accordingly, this </w:t>
      </w:r>
      <w:r w:rsidR="005D3815">
        <w:rPr>
          <w:rFonts w:cs="Courier New"/>
          <w:szCs w:val="26"/>
        </w:rPr>
        <w:t>C</w:t>
      </w:r>
      <w:r>
        <w:rPr>
          <w:rFonts w:cs="Courier New"/>
          <w:szCs w:val="26"/>
        </w:rPr>
        <w:t>ourt should vacate the judgments.</w:t>
      </w:r>
    </w:p>
    <w:p w14:paraId="358B9E82" w14:textId="10045E75" w:rsidR="001C2E5E" w:rsidRDefault="001C2E5E" w:rsidP="001C2E5E">
      <w:pPr>
        <w:pStyle w:val="Heading3"/>
        <w:numPr>
          <w:ilvl w:val="0"/>
          <w:numId w:val="9"/>
        </w:numPr>
        <w:spacing w:line="480" w:lineRule="auto"/>
      </w:pPr>
      <w:r>
        <w:t>Standard of Review</w:t>
      </w:r>
      <w:r w:rsidR="006C6CBA">
        <w:t xml:space="preserve"> and Preservation</w:t>
      </w:r>
    </w:p>
    <w:p w14:paraId="63CE48DF" w14:textId="3B7A6B24" w:rsidR="001C2E5E" w:rsidRDefault="001C2E5E" w:rsidP="001C2E5E">
      <w:pPr>
        <w:widowControl w:val="0"/>
        <w:tabs>
          <w:tab w:val="left" w:pos="6840"/>
          <w:tab w:val="left" w:pos="7110"/>
        </w:tabs>
        <w:suppressAutoHyphens/>
        <w:spacing w:line="480" w:lineRule="auto"/>
        <w:ind w:firstLine="720"/>
        <w:jc w:val="both"/>
        <w:rPr>
          <w:rFonts w:cs="Courier New"/>
          <w:szCs w:val="26"/>
        </w:rPr>
      </w:pPr>
      <w:r>
        <w:rPr>
          <w:rFonts w:cs="Courier New"/>
          <w:szCs w:val="26"/>
        </w:rPr>
        <w:t>A trial court’s ruling on a Rule 702 challenge is reviewed for an abuse of discretion.</w:t>
      </w:r>
      <w:r w:rsidRPr="001C2E5E">
        <w:rPr>
          <w:rFonts w:cs="Courier New"/>
          <w:szCs w:val="26"/>
        </w:rPr>
        <w:t xml:space="preserve">  </w:t>
      </w:r>
      <w:r w:rsidR="008A0464">
        <w:rPr>
          <w:rFonts w:cs="Courier New"/>
          <w:i/>
          <w:iCs/>
          <w:szCs w:val="26"/>
        </w:rPr>
        <w:t>Id.</w:t>
      </w:r>
      <w:r w:rsidRPr="001C2E5E">
        <w:rPr>
          <w:rFonts w:cs="Courier New"/>
          <w:szCs w:val="26"/>
        </w:rPr>
        <w:t xml:space="preserve"> (quoting </w:t>
      </w:r>
      <w:r w:rsidRPr="00A4635D">
        <w:rPr>
          <w:rFonts w:cs="Courier New"/>
          <w:i/>
          <w:iCs/>
          <w:szCs w:val="26"/>
        </w:rPr>
        <w:t>Howerton</w:t>
      </w:r>
      <w:r w:rsidR="00A4635D" w:rsidRPr="00A4635D">
        <w:rPr>
          <w:rFonts w:cs="Courier New"/>
          <w:i/>
          <w:iCs/>
          <w:szCs w:val="26"/>
        </w:rPr>
        <w:t xml:space="preserve"> v. Arai Helmet, Ltd.</w:t>
      </w:r>
      <w:r w:rsidRPr="00A4635D">
        <w:rPr>
          <w:rFonts w:cs="Courier New"/>
          <w:szCs w:val="26"/>
        </w:rPr>
        <w:t xml:space="preserve">, 358 N.C. </w:t>
      </w:r>
      <w:r w:rsidR="00A4635D" w:rsidRPr="00A4635D">
        <w:rPr>
          <w:rFonts w:cs="Courier New"/>
          <w:szCs w:val="26"/>
        </w:rPr>
        <w:t>440,</w:t>
      </w:r>
      <w:r w:rsidRPr="00A4635D">
        <w:rPr>
          <w:rFonts w:cs="Courier New"/>
          <w:szCs w:val="26"/>
        </w:rPr>
        <w:t xml:space="preserve"> 458</w:t>
      </w:r>
      <w:r w:rsidR="00A4635D">
        <w:rPr>
          <w:rFonts w:cs="Courier New"/>
          <w:szCs w:val="26"/>
        </w:rPr>
        <w:t xml:space="preserve"> (2004)</w:t>
      </w:r>
      <w:r w:rsidR="009565CA">
        <w:rPr>
          <w:rFonts w:cs="Courier New"/>
          <w:szCs w:val="26"/>
        </w:rPr>
        <w:fldChar w:fldCharType="begin"/>
      </w:r>
      <w:r w:rsidR="009565CA">
        <w:instrText xml:space="preserve"> TA \l "</w:instrText>
      </w:r>
      <w:r w:rsidR="009565CA" w:rsidRPr="00275109">
        <w:rPr>
          <w:rFonts w:cs="Courier New"/>
          <w:i/>
          <w:iCs/>
          <w:szCs w:val="26"/>
        </w:rPr>
        <w:instrText>Howerton v. Arai Helmet, Ltd.</w:instrText>
      </w:r>
      <w:r w:rsidR="009565CA" w:rsidRPr="00275109">
        <w:rPr>
          <w:rFonts w:cs="Courier New"/>
          <w:szCs w:val="26"/>
        </w:rPr>
        <w:instrText>, 358 N.C. 440, 458 (2004)</w:instrText>
      </w:r>
      <w:r w:rsidR="009565CA">
        <w:instrText xml:space="preserve">" \s "Howerton v. Arai Helmet, Ltd., 358 N.C. 440, 458 (2004)" \c 1 </w:instrText>
      </w:r>
      <w:r w:rsidR="009565CA">
        <w:rPr>
          <w:rFonts w:cs="Courier New"/>
          <w:szCs w:val="26"/>
        </w:rPr>
        <w:fldChar w:fldCharType="end"/>
      </w:r>
      <w:r w:rsidRPr="001C2E5E">
        <w:rPr>
          <w:rFonts w:cs="Courier New"/>
          <w:szCs w:val="26"/>
        </w:rPr>
        <w:t xml:space="preserve">).  A trial court abuses its discretion when its “ruling is manifestly unsupported by reason or is so arbitrary that it could not have been the result of a reasoned decision.”  </w:t>
      </w:r>
      <w:r w:rsidRPr="001C2E5E">
        <w:rPr>
          <w:rFonts w:cs="Courier New"/>
          <w:i/>
          <w:iCs/>
          <w:szCs w:val="26"/>
        </w:rPr>
        <w:t xml:space="preserve">State v. </w:t>
      </w:r>
      <w:proofErr w:type="spellStart"/>
      <w:r w:rsidRPr="001C2E5E">
        <w:rPr>
          <w:rFonts w:cs="Courier New"/>
          <w:i/>
          <w:iCs/>
          <w:szCs w:val="26"/>
        </w:rPr>
        <w:t>Hennis</w:t>
      </w:r>
      <w:proofErr w:type="spellEnd"/>
      <w:r w:rsidRPr="001C2E5E">
        <w:rPr>
          <w:rFonts w:cs="Courier New"/>
          <w:szCs w:val="26"/>
        </w:rPr>
        <w:t xml:space="preserve">, </w:t>
      </w:r>
      <w:r w:rsidRPr="008A0464">
        <w:rPr>
          <w:rFonts w:cs="Courier New"/>
          <w:szCs w:val="26"/>
        </w:rPr>
        <w:t>323 N.C. 279, 285</w:t>
      </w:r>
      <w:r w:rsidRPr="001C2E5E">
        <w:rPr>
          <w:rFonts w:cs="Courier New"/>
          <w:szCs w:val="26"/>
        </w:rPr>
        <w:t xml:space="preserve"> (1988)</w:t>
      </w:r>
      <w:r w:rsidR="009565CA">
        <w:rPr>
          <w:rFonts w:cs="Courier New"/>
          <w:szCs w:val="26"/>
        </w:rPr>
        <w:fldChar w:fldCharType="begin"/>
      </w:r>
      <w:r w:rsidR="009565CA">
        <w:instrText xml:space="preserve"> TA \l "</w:instrText>
      </w:r>
      <w:r w:rsidR="009565CA" w:rsidRPr="00275109">
        <w:rPr>
          <w:rFonts w:cs="Courier New"/>
          <w:i/>
          <w:iCs/>
          <w:szCs w:val="26"/>
        </w:rPr>
        <w:instrText>State v. Hennis</w:instrText>
      </w:r>
      <w:r w:rsidR="009565CA" w:rsidRPr="00275109">
        <w:rPr>
          <w:rFonts w:cs="Courier New"/>
          <w:szCs w:val="26"/>
        </w:rPr>
        <w:instrText>, 323 N.C. 279, 285 (1988)</w:instrText>
      </w:r>
      <w:r w:rsidR="009565CA">
        <w:instrText xml:space="preserve">" \s "State v. Hennis, 323 N.C. 279, 285 (1988)" \c 1 </w:instrText>
      </w:r>
      <w:r w:rsidR="009565CA">
        <w:rPr>
          <w:rFonts w:cs="Courier New"/>
          <w:szCs w:val="26"/>
        </w:rPr>
        <w:fldChar w:fldCharType="end"/>
      </w:r>
      <w:r w:rsidRPr="001C2E5E">
        <w:rPr>
          <w:rFonts w:cs="Courier New"/>
          <w:szCs w:val="26"/>
        </w:rPr>
        <w:t xml:space="preserve">; </w:t>
      </w:r>
      <w:r w:rsidRPr="001C2E5E">
        <w:rPr>
          <w:rFonts w:cs="Courier New"/>
          <w:i/>
          <w:iCs/>
          <w:szCs w:val="26"/>
        </w:rPr>
        <w:t>State v. Parker</w:t>
      </w:r>
      <w:r w:rsidRPr="001C2E5E">
        <w:rPr>
          <w:rFonts w:cs="Courier New"/>
          <w:szCs w:val="26"/>
        </w:rPr>
        <w:t xml:space="preserve">, 315 N.C. </w:t>
      </w:r>
      <w:r w:rsidRPr="008A0464">
        <w:rPr>
          <w:rFonts w:cs="Courier New"/>
          <w:szCs w:val="26"/>
        </w:rPr>
        <w:t>249, 258-59</w:t>
      </w:r>
      <w:r w:rsidRPr="001C2E5E">
        <w:rPr>
          <w:rFonts w:cs="Courier New"/>
          <w:szCs w:val="26"/>
        </w:rPr>
        <w:t xml:space="preserve"> (1985)</w:t>
      </w:r>
      <w:r w:rsidR="009565CA">
        <w:rPr>
          <w:rFonts w:cs="Courier New"/>
          <w:szCs w:val="26"/>
        </w:rPr>
        <w:fldChar w:fldCharType="begin"/>
      </w:r>
      <w:r w:rsidR="009565CA">
        <w:instrText xml:space="preserve"> TA \l "</w:instrText>
      </w:r>
      <w:r w:rsidR="009565CA" w:rsidRPr="00275109">
        <w:rPr>
          <w:rFonts w:cs="Courier New"/>
          <w:i/>
          <w:iCs/>
          <w:szCs w:val="26"/>
        </w:rPr>
        <w:instrText>State v. Parker</w:instrText>
      </w:r>
      <w:r w:rsidR="009565CA" w:rsidRPr="00275109">
        <w:rPr>
          <w:rFonts w:cs="Courier New"/>
          <w:szCs w:val="26"/>
        </w:rPr>
        <w:instrText>, 315 N.C. 249, 258-59 (1985)</w:instrText>
      </w:r>
      <w:r w:rsidR="009565CA">
        <w:instrText xml:space="preserve">" \s "State v. Parker, 315 N.C. 249, 258-59 (1985)" \c 1 </w:instrText>
      </w:r>
      <w:r w:rsidR="009565CA">
        <w:rPr>
          <w:rFonts w:cs="Courier New"/>
          <w:szCs w:val="26"/>
        </w:rPr>
        <w:fldChar w:fldCharType="end"/>
      </w:r>
      <w:r w:rsidRPr="001C2E5E">
        <w:rPr>
          <w:rFonts w:cs="Courier New"/>
          <w:szCs w:val="26"/>
        </w:rPr>
        <w:t xml:space="preserve">. </w:t>
      </w:r>
    </w:p>
    <w:p w14:paraId="62CED451" w14:textId="21FA7468" w:rsidR="006C6CBA" w:rsidRDefault="006C6CBA" w:rsidP="001C2E5E">
      <w:pPr>
        <w:widowControl w:val="0"/>
        <w:tabs>
          <w:tab w:val="left" w:pos="6840"/>
          <w:tab w:val="left" w:pos="7110"/>
        </w:tabs>
        <w:suppressAutoHyphens/>
        <w:spacing w:line="480" w:lineRule="auto"/>
        <w:ind w:firstLine="720"/>
        <w:jc w:val="both"/>
        <w:rPr>
          <w:rFonts w:cs="Courier New"/>
          <w:szCs w:val="26"/>
        </w:rPr>
      </w:pPr>
      <w:r>
        <w:t xml:space="preserve">Mr. Rodgers </w:t>
      </w:r>
      <w:r w:rsidR="00A0582F">
        <w:t xml:space="preserve">timely </w:t>
      </w:r>
      <w:r>
        <w:t>objected to Sealy’s opinion testimony</w:t>
      </w:r>
      <w:r w:rsidR="00A0582F" w:rsidRPr="00A0582F">
        <w:t xml:space="preserve"> </w:t>
      </w:r>
      <w:r w:rsidR="00A0582F">
        <w:t xml:space="preserve">based on Rule “702”, foundation, and due process.  </w:t>
      </w:r>
      <w:r>
        <w:t xml:space="preserve"> (</w:t>
      </w:r>
      <w:r w:rsidRPr="00A77B22">
        <w:t>T p</w:t>
      </w:r>
      <w:r>
        <w:t xml:space="preserve"> 591</w:t>
      </w:r>
      <w:proofErr w:type="gramStart"/>
      <w:r>
        <w:t>)  Defense</w:t>
      </w:r>
      <w:proofErr w:type="gramEnd"/>
      <w:r>
        <w:t xml:space="preserve"> counsel also asked to “</w:t>
      </w:r>
      <w:proofErr w:type="spellStart"/>
      <w:r>
        <w:t>voir</w:t>
      </w:r>
      <w:proofErr w:type="spellEnd"/>
      <w:r>
        <w:t xml:space="preserve"> dire” Sealy.  Defense counsel approached the bench and asked to provide an offer of proof of what her </w:t>
      </w:r>
      <w:proofErr w:type="spellStart"/>
      <w:r>
        <w:t>voir</w:t>
      </w:r>
      <w:proofErr w:type="spellEnd"/>
      <w:r>
        <w:t xml:space="preserve"> dire questioning of Sealy might show.  (</w:t>
      </w:r>
      <w:r w:rsidRPr="00A77B22">
        <w:t>T p</w:t>
      </w:r>
      <w:r>
        <w:t>p 593-94, 669-69</w:t>
      </w:r>
      <w:proofErr w:type="gramStart"/>
      <w:r>
        <w:t>)  The</w:t>
      </w:r>
      <w:proofErr w:type="gramEnd"/>
      <w:r>
        <w:t xml:space="preserve"> trial court overruled the objection after asking a handful of its own questions.  Thus, Mr. Rodgers preserved his objection to Sealy’s opinion testimony.  N.C.</w:t>
      </w:r>
      <w:r w:rsidR="00EF301E">
        <w:t xml:space="preserve"> </w:t>
      </w:r>
      <w:r>
        <w:t>R. App. P. 10(a)(1) (2022)</w:t>
      </w:r>
      <w:r w:rsidR="009565CA">
        <w:fldChar w:fldCharType="begin"/>
      </w:r>
      <w:r w:rsidR="009565CA">
        <w:instrText xml:space="preserve"> TA \l "</w:instrText>
      </w:r>
      <w:r w:rsidR="009565CA" w:rsidRPr="00275109">
        <w:instrText>N.C.R. App. P. 10(a)(1) (2022)</w:instrText>
      </w:r>
      <w:r w:rsidR="009565CA">
        <w:instrText xml:space="preserve">" \s "N.C.R. App. P. 10(a)(1) (2022)" \c 4 </w:instrText>
      </w:r>
      <w:r w:rsidR="009565CA">
        <w:fldChar w:fldCharType="end"/>
      </w:r>
      <w:r>
        <w:t>.</w:t>
      </w:r>
    </w:p>
    <w:p w14:paraId="64F18354" w14:textId="7E27E9A8" w:rsidR="00976C37" w:rsidRDefault="00976C37" w:rsidP="00976C37">
      <w:pPr>
        <w:pStyle w:val="Heading3"/>
        <w:numPr>
          <w:ilvl w:val="0"/>
          <w:numId w:val="9"/>
        </w:numPr>
      </w:pPr>
      <w:r>
        <w:t xml:space="preserve">Rule </w:t>
      </w:r>
      <w:bookmarkStart w:id="8" w:name="_Hlk119693283"/>
      <w:r>
        <w:t>702’s reliability test requires sufficient data, reliable principles, and the reliable application of those principles to the data</w:t>
      </w:r>
      <w:bookmarkEnd w:id="8"/>
      <w:r>
        <w:t>.</w:t>
      </w:r>
    </w:p>
    <w:p w14:paraId="5C3BD348" w14:textId="77777777" w:rsidR="00976C37" w:rsidRPr="00976C37" w:rsidRDefault="00976C37" w:rsidP="00976C37"/>
    <w:p w14:paraId="4A8BE1D9" w14:textId="10823282" w:rsidR="00BC41E7" w:rsidRDefault="00BC41E7" w:rsidP="00BC41E7">
      <w:pPr>
        <w:spacing w:line="480" w:lineRule="auto"/>
        <w:ind w:firstLine="720"/>
        <w:jc w:val="both"/>
        <w:rPr>
          <w:rFonts w:cs="Courier New"/>
          <w:szCs w:val="26"/>
        </w:rPr>
      </w:pPr>
      <w:r>
        <w:rPr>
          <w:rFonts w:cs="Courier New"/>
          <w:szCs w:val="26"/>
        </w:rPr>
        <w:t xml:space="preserve">Prior to 2011, North Carolina’s interpretation of its Evidence Rule 702 eschewed the </w:t>
      </w:r>
      <w:r w:rsidRPr="00BC41E7">
        <w:rPr>
          <w:rFonts w:cs="Courier New"/>
          <w:i/>
          <w:iCs/>
          <w:szCs w:val="26"/>
        </w:rPr>
        <w:t>Daubert</w:t>
      </w:r>
      <w:r>
        <w:rPr>
          <w:rStyle w:val="FootnoteReference"/>
          <w:rFonts w:cs="Courier New"/>
          <w:i/>
          <w:iCs/>
          <w:szCs w:val="26"/>
        </w:rPr>
        <w:footnoteReference w:id="3"/>
      </w:r>
      <w:r>
        <w:rPr>
          <w:rFonts w:cs="Courier New"/>
          <w:szCs w:val="26"/>
        </w:rPr>
        <w:t xml:space="preserve"> approach used under Federal Rule of Evidence 702</w:t>
      </w:r>
      <w:r w:rsidR="009565CA">
        <w:rPr>
          <w:rFonts w:cs="Courier New"/>
          <w:szCs w:val="26"/>
        </w:rPr>
        <w:fldChar w:fldCharType="begin"/>
      </w:r>
      <w:r w:rsidR="009565CA">
        <w:instrText xml:space="preserve"> TA \l "</w:instrText>
      </w:r>
      <w:r w:rsidR="009565CA" w:rsidRPr="00275109">
        <w:rPr>
          <w:rFonts w:cs="Courier New"/>
          <w:szCs w:val="26"/>
        </w:rPr>
        <w:instrText>Federal Rule of Evidence 702</w:instrText>
      </w:r>
      <w:r w:rsidR="009565CA">
        <w:instrText xml:space="preserve">" \s "Federal Rule of Evidence 702" \c 4 </w:instrText>
      </w:r>
      <w:r w:rsidR="009565CA">
        <w:rPr>
          <w:rFonts w:cs="Courier New"/>
          <w:szCs w:val="26"/>
        </w:rPr>
        <w:fldChar w:fldCharType="end"/>
      </w:r>
      <w:r>
        <w:rPr>
          <w:rFonts w:cs="Courier New"/>
          <w:szCs w:val="26"/>
        </w:rPr>
        <w:t xml:space="preserve">.  </w:t>
      </w:r>
      <w:r w:rsidRPr="00BC41E7">
        <w:rPr>
          <w:rFonts w:cs="Courier New"/>
          <w:i/>
          <w:iCs/>
          <w:szCs w:val="26"/>
        </w:rPr>
        <w:t>McGrady</w:t>
      </w:r>
      <w:r>
        <w:rPr>
          <w:rFonts w:cs="Courier New"/>
          <w:szCs w:val="26"/>
        </w:rPr>
        <w:t>, 368 N.C. at 886</w:t>
      </w:r>
      <w:r w:rsidR="009565CA">
        <w:rPr>
          <w:rFonts w:cs="Courier New"/>
          <w:szCs w:val="26"/>
        </w:rPr>
        <w:fldChar w:fldCharType="begin"/>
      </w:r>
      <w:r w:rsidR="009565CA">
        <w:instrText xml:space="preserve"> TA \l "</w:instrText>
      </w:r>
      <w:r w:rsidR="009565CA" w:rsidRPr="00275109">
        <w:rPr>
          <w:rFonts w:cs="Courier New"/>
          <w:i/>
          <w:iCs/>
          <w:szCs w:val="26"/>
        </w:rPr>
        <w:instrText>McGrady</w:instrText>
      </w:r>
      <w:r w:rsidR="009565CA" w:rsidRPr="00275109">
        <w:rPr>
          <w:rFonts w:cs="Courier New"/>
          <w:szCs w:val="26"/>
        </w:rPr>
        <w:instrText>, 368 N.C. at 886</w:instrText>
      </w:r>
      <w:r w:rsidR="009565CA">
        <w:instrText xml:space="preserve">" \s "McGrady, 368 N.C. at 886" \c 1 </w:instrText>
      </w:r>
      <w:r w:rsidR="009565CA">
        <w:rPr>
          <w:rFonts w:cs="Courier New"/>
          <w:szCs w:val="26"/>
        </w:rPr>
        <w:fldChar w:fldCharType="end"/>
      </w:r>
      <w:r>
        <w:rPr>
          <w:rFonts w:cs="Courier New"/>
          <w:szCs w:val="26"/>
        </w:rPr>
        <w:t xml:space="preserve"> (</w:t>
      </w:r>
      <w:r w:rsidRPr="00614853">
        <w:rPr>
          <w:rFonts w:cs="Courier New"/>
          <w:szCs w:val="26"/>
        </w:rPr>
        <w:t>cleaned up</w:t>
      </w:r>
      <w:r>
        <w:rPr>
          <w:rFonts w:cs="Courier New"/>
          <w:szCs w:val="26"/>
        </w:rPr>
        <w:t xml:space="preserve">).  </w:t>
      </w:r>
      <w:r w:rsidRPr="00563731">
        <w:rPr>
          <w:rFonts w:cs="Courier New"/>
          <w:szCs w:val="26"/>
        </w:rPr>
        <w:t>In 2011, the General Assembly amended Rule</w:t>
      </w:r>
      <w:r>
        <w:rPr>
          <w:rFonts w:cs="Courier New"/>
          <w:szCs w:val="26"/>
        </w:rPr>
        <w:t xml:space="preserve"> </w:t>
      </w:r>
      <w:r w:rsidRPr="00563731">
        <w:rPr>
          <w:rFonts w:cs="Courier New"/>
          <w:szCs w:val="26"/>
        </w:rPr>
        <w:t xml:space="preserve">702 to impose a higher “level of rigor” on our courts in testing the reliability of expert evidence before allowing the jury to consider it. </w:t>
      </w:r>
      <w:r>
        <w:rPr>
          <w:rFonts w:cs="Courier New"/>
          <w:szCs w:val="26"/>
        </w:rPr>
        <w:t xml:space="preserve"> </w:t>
      </w:r>
      <w:r>
        <w:rPr>
          <w:rFonts w:cs="Courier New"/>
          <w:i/>
          <w:iCs/>
          <w:szCs w:val="26"/>
        </w:rPr>
        <w:t>Id.</w:t>
      </w:r>
      <w:r>
        <w:rPr>
          <w:rFonts w:cs="Courier New"/>
          <w:szCs w:val="26"/>
        </w:rPr>
        <w:t xml:space="preserve"> at</w:t>
      </w:r>
      <w:r w:rsidRPr="00563731">
        <w:rPr>
          <w:rFonts w:cs="Courier New"/>
          <w:szCs w:val="26"/>
        </w:rPr>
        <w:t xml:space="preserve"> 892</w:t>
      </w:r>
      <w:r>
        <w:rPr>
          <w:rFonts w:cs="Courier New"/>
          <w:szCs w:val="26"/>
        </w:rPr>
        <w:t>-93</w:t>
      </w:r>
      <w:r w:rsidRPr="00563731">
        <w:rPr>
          <w:rFonts w:cs="Courier New"/>
          <w:szCs w:val="26"/>
        </w:rPr>
        <w:t>.</w:t>
      </w:r>
      <w:r>
        <w:rPr>
          <w:rFonts w:cs="Courier New"/>
          <w:szCs w:val="26"/>
        </w:rPr>
        <w:t xml:space="preserve"> </w:t>
      </w:r>
      <w:r w:rsidRPr="00563731">
        <w:rPr>
          <w:rFonts w:cs="Courier New"/>
          <w:szCs w:val="26"/>
        </w:rPr>
        <w:t xml:space="preserve"> </w:t>
      </w:r>
      <w:r>
        <w:rPr>
          <w:rFonts w:cs="Courier New"/>
          <w:szCs w:val="26"/>
        </w:rPr>
        <w:t>Thus</w:t>
      </w:r>
      <w:r w:rsidR="005C78E1">
        <w:rPr>
          <w:rFonts w:cs="Courier New"/>
          <w:szCs w:val="26"/>
        </w:rPr>
        <w:t xml:space="preserve">, North Carolina’s </w:t>
      </w:r>
      <w:r w:rsidRPr="0010423C">
        <w:rPr>
          <w:rFonts w:cs="Courier New"/>
          <w:szCs w:val="26"/>
        </w:rPr>
        <w:t>Rule 702</w:t>
      </w:r>
      <w:r w:rsidRPr="00C701C0">
        <w:rPr>
          <w:rFonts w:cs="Courier New"/>
          <w:szCs w:val="26"/>
        </w:rPr>
        <w:t xml:space="preserve"> </w:t>
      </w:r>
      <w:r>
        <w:rPr>
          <w:rFonts w:cs="Courier New"/>
          <w:szCs w:val="26"/>
        </w:rPr>
        <w:t>now</w:t>
      </w:r>
      <w:r w:rsidRPr="0010423C">
        <w:rPr>
          <w:rFonts w:cs="Courier New"/>
          <w:szCs w:val="26"/>
        </w:rPr>
        <w:t xml:space="preserve"> imposes “exacting standards” for the admission of expert testimony.</w:t>
      </w:r>
      <w:r>
        <w:rPr>
          <w:rFonts w:cs="Courier New"/>
          <w:szCs w:val="26"/>
        </w:rPr>
        <w:t xml:space="preserve"> </w:t>
      </w:r>
      <w:r w:rsidRPr="0010423C">
        <w:rPr>
          <w:rFonts w:cs="Courier New"/>
          <w:szCs w:val="26"/>
        </w:rPr>
        <w:t xml:space="preserve"> </w:t>
      </w:r>
      <w:r>
        <w:rPr>
          <w:rFonts w:cs="Courier New"/>
          <w:i/>
          <w:iCs/>
          <w:szCs w:val="26"/>
        </w:rPr>
        <w:t>Id.</w:t>
      </w:r>
      <w:r w:rsidRPr="0010423C">
        <w:rPr>
          <w:rFonts w:cs="Courier New"/>
          <w:szCs w:val="26"/>
        </w:rPr>
        <w:t xml:space="preserve"> at 885 (citation and quotation marks omitted). </w:t>
      </w:r>
      <w:r>
        <w:rPr>
          <w:rFonts w:cs="Courier New"/>
          <w:szCs w:val="26"/>
        </w:rPr>
        <w:t xml:space="preserve"> </w:t>
      </w:r>
      <w:r w:rsidRPr="00424522">
        <w:rPr>
          <w:rFonts w:cs="Courier New"/>
          <w:szCs w:val="26"/>
        </w:rPr>
        <w:t>As a “</w:t>
      </w:r>
      <w:r w:rsidRPr="00424522">
        <w:rPr>
          <w:rFonts w:cs="Courier New"/>
          <w:i/>
          <w:iCs/>
          <w:szCs w:val="26"/>
        </w:rPr>
        <w:t>Daubert</w:t>
      </w:r>
      <w:r w:rsidRPr="00424522">
        <w:rPr>
          <w:rFonts w:cs="Courier New"/>
          <w:szCs w:val="26"/>
        </w:rPr>
        <w:t xml:space="preserve"> state,” our courts use </w:t>
      </w:r>
      <w:r w:rsidR="005C78E1" w:rsidRPr="005E7645">
        <w:rPr>
          <w:rFonts w:cs="Courier New"/>
          <w:szCs w:val="26"/>
        </w:rPr>
        <w:t>this</w:t>
      </w:r>
      <w:r w:rsidRPr="00424522">
        <w:rPr>
          <w:rFonts w:cs="Courier New"/>
          <w:szCs w:val="26"/>
        </w:rPr>
        <w:t xml:space="preserve"> heightened </w:t>
      </w:r>
      <w:r w:rsidR="005C78E1" w:rsidRPr="005E7645">
        <w:rPr>
          <w:rFonts w:cs="Courier New"/>
          <w:szCs w:val="26"/>
        </w:rPr>
        <w:t>admissibility standard</w:t>
      </w:r>
      <w:r w:rsidRPr="00424522">
        <w:rPr>
          <w:rFonts w:cs="Courier New"/>
          <w:szCs w:val="26"/>
        </w:rPr>
        <w:t xml:space="preserve"> to “scrutinize expert testimony </w:t>
      </w:r>
      <w:r w:rsidRPr="002C617D">
        <w:rPr>
          <w:rFonts w:cs="Courier New"/>
          <w:i/>
          <w:iCs/>
          <w:szCs w:val="26"/>
        </w:rPr>
        <w:t>before</w:t>
      </w:r>
      <w:r w:rsidRPr="00424522">
        <w:rPr>
          <w:rFonts w:cs="Courier New"/>
          <w:szCs w:val="26"/>
        </w:rPr>
        <w:t xml:space="preserve"> admitting it.” </w:t>
      </w:r>
      <w:r w:rsidRPr="00424522">
        <w:rPr>
          <w:rFonts w:cs="Courier New"/>
          <w:i/>
          <w:iCs/>
          <w:szCs w:val="26"/>
        </w:rPr>
        <w:t>Id</w:t>
      </w:r>
      <w:r w:rsidRPr="00424522">
        <w:rPr>
          <w:rFonts w:cs="Courier New"/>
          <w:szCs w:val="26"/>
        </w:rPr>
        <w:t>. at 888, 892</w:t>
      </w:r>
      <w:r w:rsidR="009565CA">
        <w:rPr>
          <w:rFonts w:cs="Courier New"/>
          <w:szCs w:val="26"/>
        </w:rPr>
        <w:fldChar w:fldCharType="begin"/>
      </w:r>
      <w:r w:rsidR="009565CA">
        <w:instrText xml:space="preserve"> TA \l "</w:instrText>
      </w:r>
      <w:r w:rsidR="009565CA" w:rsidRPr="00275109">
        <w:rPr>
          <w:rFonts w:cs="Courier New"/>
          <w:i/>
          <w:iCs/>
          <w:szCs w:val="26"/>
        </w:rPr>
        <w:instrText>Id</w:instrText>
      </w:r>
      <w:r w:rsidR="009565CA" w:rsidRPr="00275109">
        <w:rPr>
          <w:rFonts w:cs="Courier New"/>
          <w:szCs w:val="26"/>
        </w:rPr>
        <w:instrText>. at 888, 892</w:instrText>
      </w:r>
      <w:r w:rsidR="009565CA">
        <w:instrText xml:space="preserve">" \s "Id. at 888, 892" \c 1 </w:instrText>
      </w:r>
      <w:r w:rsidR="009565CA">
        <w:rPr>
          <w:rFonts w:cs="Courier New"/>
          <w:szCs w:val="26"/>
        </w:rPr>
        <w:fldChar w:fldCharType="end"/>
      </w:r>
      <w:r w:rsidR="002C617D">
        <w:rPr>
          <w:rFonts w:cs="Courier New"/>
          <w:szCs w:val="26"/>
        </w:rPr>
        <w:t xml:space="preserve"> (emphasis added)</w:t>
      </w:r>
      <w:r w:rsidRPr="00424522">
        <w:rPr>
          <w:rFonts w:cs="Courier New"/>
          <w:szCs w:val="26"/>
        </w:rPr>
        <w:t>.</w:t>
      </w:r>
    </w:p>
    <w:p w14:paraId="7741B60A" w14:textId="3C64C44C" w:rsidR="00362885" w:rsidRDefault="00362885" w:rsidP="00362885">
      <w:pPr>
        <w:spacing w:line="480" w:lineRule="auto"/>
        <w:ind w:firstLine="720"/>
        <w:jc w:val="both"/>
        <w:rPr>
          <w:rFonts w:cs="Courier New"/>
          <w:szCs w:val="26"/>
        </w:rPr>
      </w:pPr>
      <w:r>
        <w:rPr>
          <w:rFonts w:cs="Courier New"/>
          <w:szCs w:val="26"/>
        </w:rPr>
        <w:t>“</w:t>
      </w:r>
      <w:r w:rsidRPr="008327A1">
        <w:rPr>
          <w:rFonts w:cs="Courier New"/>
          <w:szCs w:val="26"/>
        </w:rPr>
        <w:t>Whether expert witness testimony is admissible under Rule 702(a)</w:t>
      </w:r>
      <w:r w:rsidR="009565CA">
        <w:rPr>
          <w:rFonts w:cs="Courier New"/>
          <w:szCs w:val="26"/>
        </w:rPr>
        <w:fldChar w:fldCharType="begin"/>
      </w:r>
      <w:r w:rsidR="009565CA">
        <w:instrText xml:space="preserve"> TA \l "</w:instrText>
      </w:r>
      <w:r w:rsidR="009565CA" w:rsidRPr="00275109">
        <w:rPr>
          <w:rFonts w:cs="Courier New"/>
          <w:szCs w:val="26"/>
        </w:rPr>
        <w:instrText>Rule 702(a)</w:instrText>
      </w:r>
      <w:r w:rsidR="009565CA">
        <w:instrText xml:space="preserve">" \s "Rule 702(a)" \c 4 </w:instrText>
      </w:r>
      <w:r w:rsidR="009565CA">
        <w:rPr>
          <w:rFonts w:cs="Courier New"/>
          <w:szCs w:val="26"/>
        </w:rPr>
        <w:fldChar w:fldCharType="end"/>
      </w:r>
      <w:r w:rsidRPr="008327A1">
        <w:rPr>
          <w:rFonts w:cs="Courier New"/>
          <w:szCs w:val="26"/>
        </w:rPr>
        <w:t xml:space="preserve"> is a preliminary question that a trial judge decides pursuant to Rule 104(a).</w:t>
      </w:r>
      <w:r>
        <w:rPr>
          <w:rFonts w:cs="Courier New"/>
          <w:szCs w:val="26"/>
        </w:rPr>
        <w:t xml:space="preserve">”  </w:t>
      </w:r>
      <w:r>
        <w:rPr>
          <w:rFonts w:cs="Courier New"/>
          <w:i/>
          <w:iCs/>
          <w:szCs w:val="26"/>
        </w:rPr>
        <w:t xml:space="preserve">Id. </w:t>
      </w:r>
      <w:r>
        <w:rPr>
          <w:rFonts w:cs="Courier New"/>
          <w:szCs w:val="26"/>
        </w:rPr>
        <w:t>at</w:t>
      </w:r>
      <w:r w:rsidRPr="008327A1">
        <w:rPr>
          <w:rFonts w:cs="Courier New"/>
          <w:szCs w:val="26"/>
        </w:rPr>
        <w:t xml:space="preserve"> 892 </w:t>
      </w:r>
      <w:r>
        <w:rPr>
          <w:rFonts w:cs="Courier New"/>
          <w:szCs w:val="26"/>
        </w:rPr>
        <w:t xml:space="preserve">(citations omitted).  </w:t>
      </w:r>
      <w:r w:rsidR="007D0607">
        <w:rPr>
          <w:rFonts w:cs="Courier New"/>
          <w:szCs w:val="26"/>
        </w:rPr>
        <w:t>The trial court finds the facts necessary to answer this question</w:t>
      </w:r>
      <w:r w:rsidRPr="008327A1">
        <w:rPr>
          <w:rFonts w:cs="Courier New"/>
          <w:szCs w:val="26"/>
        </w:rPr>
        <w:t>.</w:t>
      </w:r>
      <w:r>
        <w:rPr>
          <w:rFonts w:cs="Courier New"/>
          <w:szCs w:val="26"/>
        </w:rPr>
        <w:t xml:space="preserve">  </w:t>
      </w:r>
      <w:r w:rsidRPr="008327A1">
        <w:rPr>
          <w:rFonts w:cs="Courier New"/>
          <w:i/>
          <w:iCs/>
          <w:szCs w:val="26"/>
        </w:rPr>
        <w:t>Id.</w:t>
      </w:r>
      <w:r>
        <w:rPr>
          <w:rFonts w:cs="Courier New"/>
          <w:szCs w:val="26"/>
        </w:rPr>
        <w:t xml:space="preserve"> (citing</w:t>
      </w:r>
      <w:r w:rsidRPr="008327A1">
        <w:rPr>
          <w:rFonts w:cs="Courier New"/>
          <w:szCs w:val="26"/>
        </w:rPr>
        <w:t xml:space="preserve"> N.C. R. Evid. 104(a)</w:t>
      </w:r>
      <w:r w:rsidR="009565CA">
        <w:rPr>
          <w:rFonts w:cs="Courier New"/>
          <w:szCs w:val="26"/>
        </w:rPr>
        <w:fldChar w:fldCharType="begin"/>
      </w:r>
      <w:r w:rsidR="009565CA">
        <w:instrText xml:space="preserve"> TA \l "</w:instrText>
      </w:r>
      <w:r w:rsidR="009565CA" w:rsidRPr="00275109">
        <w:rPr>
          <w:rFonts w:cs="Courier New"/>
          <w:szCs w:val="26"/>
        </w:rPr>
        <w:instrText>N.C. R. Evid. 104(a)</w:instrText>
      </w:r>
      <w:r w:rsidR="009565CA">
        <w:instrText xml:space="preserve">" \s "N.C. R. Evid. 104(a)" \c 4 </w:instrText>
      </w:r>
      <w:r w:rsidR="009565CA">
        <w:rPr>
          <w:rFonts w:cs="Courier New"/>
          <w:szCs w:val="26"/>
        </w:rPr>
        <w:fldChar w:fldCharType="end"/>
      </w:r>
      <w:r w:rsidRPr="008327A1">
        <w:rPr>
          <w:rFonts w:cs="Courier New"/>
          <w:szCs w:val="26"/>
        </w:rPr>
        <w:t xml:space="preserve"> commentary</w:t>
      </w:r>
      <w:r>
        <w:rPr>
          <w:rFonts w:cs="Courier New"/>
          <w:szCs w:val="26"/>
        </w:rPr>
        <w:t>)</w:t>
      </w:r>
      <w:r w:rsidRPr="008327A1">
        <w:rPr>
          <w:rFonts w:cs="Courier New"/>
          <w:szCs w:val="26"/>
        </w:rPr>
        <w:t>.</w:t>
      </w:r>
      <w:r>
        <w:rPr>
          <w:rFonts w:cs="Courier New"/>
          <w:szCs w:val="26"/>
        </w:rPr>
        <w:t xml:space="preserve"> </w:t>
      </w:r>
      <w:r w:rsidRPr="008327A1">
        <w:rPr>
          <w:rFonts w:cs="Courier New"/>
          <w:szCs w:val="26"/>
        </w:rPr>
        <w:t xml:space="preserve">The trial court then concludes, based on these findings, whether the proffered expert testimony </w:t>
      </w:r>
      <w:r>
        <w:rPr>
          <w:rFonts w:cs="Courier New"/>
          <w:szCs w:val="26"/>
        </w:rPr>
        <w:t>satisfies</w:t>
      </w:r>
      <w:r w:rsidRPr="008327A1">
        <w:rPr>
          <w:rFonts w:cs="Courier New"/>
          <w:szCs w:val="26"/>
        </w:rPr>
        <w:t xml:space="preserve"> Rule 702(a)</w:t>
      </w:r>
      <w:r>
        <w:rPr>
          <w:rFonts w:cs="Courier New"/>
          <w:szCs w:val="26"/>
        </w:rPr>
        <w:t>’s</w:t>
      </w:r>
      <w:r w:rsidRPr="008327A1">
        <w:rPr>
          <w:rFonts w:cs="Courier New"/>
          <w:szCs w:val="26"/>
        </w:rPr>
        <w:t xml:space="preserve"> requirements of qualification, relevance, and reliability.</w:t>
      </w:r>
      <w:r>
        <w:rPr>
          <w:rFonts w:cs="Courier New"/>
          <w:szCs w:val="26"/>
        </w:rPr>
        <w:t xml:space="preserve">  </w:t>
      </w:r>
      <w:r w:rsidRPr="00D104AA">
        <w:rPr>
          <w:rFonts w:cs="Courier New"/>
          <w:i/>
          <w:iCs/>
          <w:szCs w:val="26"/>
        </w:rPr>
        <w:t>Id.</w:t>
      </w:r>
      <w:r>
        <w:rPr>
          <w:rFonts w:cs="Courier New"/>
          <w:szCs w:val="26"/>
        </w:rPr>
        <w:t xml:space="preserve"> at 893.  </w:t>
      </w:r>
      <w:r w:rsidRPr="0010423C">
        <w:rPr>
          <w:rFonts w:cs="Courier New"/>
          <w:szCs w:val="26"/>
        </w:rPr>
        <w:t>The</w:t>
      </w:r>
      <w:r>
        <w:rPr>
          <w:rFonts w:cs="Courier New"/>
          <w:szCs w:val="26"/>
        </w:rPr>
        <w:t xml:space="preserve"> State, as the</w:t>
      </w:r>
      <w:r w:rsidRPr="0010423C">
        <w:rPr>
          <w:rFonts w:cs="Courier New"/>
          <w:szCs w:val="26"/>
        </w:rPr>
        <w:t xml:space="preserve"> proponent of the expert evidence</w:t>
      </w:r>
      <w:r>
        <w:rPr>
          <w:rFonts w:cs="Courier New"/>
          <w:szCs w:val="26"/>
        </w:rPr>
        <w:t xml:space="preserve">, </w:t>
      </w:r>
      <w:r w:rsidRPr="0010423C">
        <w:rPr>
          <w:rFonts w:cs="Courier New"/>
          <w:szCs w:val="26"/>
        </w:rPr>
        <w:t>bears the burden of establishing the admissibility of the evidence under each of the</w:t>
      </w:r>
      <w:r>
        <w:rPr>
          <w:rFonts w:cs="Courier New"/>
          <w:szCs w:val="26"/>
        </w:rPr>
        <w:t>se</w:t>
      </w:r>
      <w:r w:rsidRPr="0010423C">
        <w:rPr>
          <w:rFonts w:cs="Courier New"/>
          <w:szCs w:val="26"/>
        </w:rPr>
        <w:t xml:space="preserve"> three prongs.</w:t>
      </w:r>
      <w:r>
        <w:rPr>
          <w:rFonts w:cs="Courier New"/>
          <w:szCs w:val="26"/>
        </w:rPr>
        <w:t xml:space="preserve"> </w:t>
      </w:r>
      <w:r w:rsidRPr="0010423C">
        <w:rPr>
          <w:rFonts w:cs="Courier New"/>
          <w:szCs w:val="26"/>
        </w:rPr>
        <w:t xml:space="preserve"> </w:t>
      </w:r>
      <w:r w:rsidRPr="00D104AA">
        <w:rPr>
          <w:rFonts w:cs="Courier New"/>
          <w:i/>
          <w:iCs/>
          <w:szCs w:val="26"/>
        </w:rPr>
        <w:t>State v.</w:t>
      </w:r>
      <w:r>
        <w:rPr>
          <w:rFonts w:cs="Courier New"/>
          <w:szCs w:val="26"/>
        </w:rPr>
        <w:t xml:space="preserve"> </w:t>
      </w:r>
      <w:r w:rsidRPr="00D104AA">
        <w:rPr>
          <w:rFonts w:cs="Courier New"/>
          <w:i/>
          <w:iCs/>
          <w:szCs w:val="26"/>
        </w:rPr>
        <w:t>Ward</w:t>
      </w:r>
      <w:r w:rsidRPr="00D104AA">
        <w:rPr>
          <w:rFonts w:cs="Courier New"/>
          <w:szCs w:val="26"/>
        </w:rPr>
        <w:t>,</w:t>
      </w:r>
      <w:r w:rsidRPr="0010423C">
        <w:rPr>
          <w:rFonts w:cs="Courier New"/>
          <w:szCs w:val="26"/>
        </w:rPr>
        <w:t xml:space="preserve"> 364 N.C.</w:t>
      </w:r>
      <w:r>
        <w:rPr>
          <w:rFonts w:cs="Courier New"/>
          <w:szCs w:val="26"/>
        </w:rPr>
        <w:t xml:space="preserve"> 133,</w:t>
      </w:r>
      <w:r w:rsidRPr="0010423C">
        <w:rPr>
          <w:rFonts w:cs="Courier New"/>
          <w:szCs w:val="26"/>
        </w:rPr>
        <w:t xml:space="preserve"> 140</w:t>
      </w:r>
      <w:r>
        <w:rPr>
          <w:rFonts w:cs="Courier New"/>
          <w:szCs w:val="26"/>
        </w:rPr>
        <w:t xml:space="preserve"> (2010)</w:t>
      </w:r>
      <w:r w:rsidR="009565CA">
        <w:rPr>
          <w:rFonts w:cs="Courier New"/>
          <w:szCs w:val="26"/>
        </w:rPr>
        <w:fldChar w:fldCharType="begin"/>
      </w:r>
      <w:r w:rsidR="009565CA">
        <w:instrText xml:space="preserve"> TA \l "</w:instrText>
      </w:r>
      <w:r w:rsidR="009565CA" w:rsidRPr="00275109">
        <w:rPr>
          <w:rFonts w:cs="Courier New"/>
          <w:i/>
          <w:iCs/>
          <w:szCs w:val="26"/>
        </w:rPr>
        <w:instrText>State v.</w:instrText>
      </w:r>
      <w:r w:rsidR="009565CA" w:rsidRPr="00275109">
        <w:rPr>
          <w:rFonts w:cs="Courier New"/>
          <w:szCs w:val="26"/>
        </w:rPr>
        <w:instrText xml:space="preserve"> </w:instrText>
      </w:r>
      <w:r w:rsidR="009565CA" w:rsidRPr="00275109">
        <w:rPr>
          <w:rFonts w:cs="Courier New"/>
          <w:i/>
          <w:iCs/>
          <w:szCs w:val="26"/>
        </w:rPr>
        <w:instrText>Ward</w:instrText>
      </w:r>
      <w:r w:rsidR="009565CA" w:rsidRPr="00275109">
        <w:rPr>
          <w:rFonts w:cs="Courier New"/>
          <w:szCs w:val="26"/>
        </w:rPr>
        <w:instrText>, 364 N.C. 133, 140 (2010)</w:instrText>
      </w:r>
      <w:r w:rsidR="009565CA">
        <w:instrText xml:space="preserve">" \s "State v. Ward, 364 N.C. 133, 140 (2010)" \c 1 </w:instrText>
      </w:r>
      <w:r w:rsidR="009565CA">
        <w:rPr>
          <w:rFonts w:cs="Courier New"/>
          <w:szCs w:val="26"/>
        </w:rPr>
        <w:fldChar w:fldCharType="end"/>
      </w:r>
      <w:r w:rsidRPr="0010423C">
        <w:rPr>
          <w:rFonts w:cs="Courier New"/>
          <w:szCs w:val="26"/>
        </w:rPr>
        <w:t xml:space="preserve">. </w:t>
      </w:r>
      <w:r>
        <w:rPr>
          <w:rFonts w:cs="Courier New"/>
          <w:szCs w:val="26"/>
        </w:rPr>
        <w:t xml:space="preserve"> </w:t>
      </w:r>
      <w:r w:rsidRPr="0010423C">
        <w:rPr>
          <w:rFonts w:cs="Courier New"/>
          <w:szCs w:val="26"/>
        </w:rPr>
        <w:t>Failure</w:t>
      </w:r>
      <w:r>
        <w:rPr>
          <w:rFonts w:cs="Courier New"/>
          <w:szCs w:val="26"/>
        </w:rPr>
        <w:t xml:space="preserve"> of the proponent</w:t>
      </w:r>
      <w:r w:rsidRPr="0010423C">
        <w:rPr>
          <w:rFonts w:cs="Courier New"/>
          <w:szCs w:val="26"/>
        </w:rPr>
        <w:t xml:space="preserve"> to satisfy any one of Rule 702’s prongs </w:t>
      </w:r>
      <w:proofErr w:type="gramStart"/>
      <w:r w:rsidRPr="0010423C">
        <w:rPr>
          <w:rFonts w:cs="Courier New"/>
          <w:szCs w:val="26"/>
        </w:rPr>
        <w:t>renders</w:t>
      </w:r>
      <w:proofErr w:type="gramEnd"/>
      <w:r w:rsidRPr="0010423C">
        <w:rPr>
          <w:rFonts w:cs="Courier New"/>
          <w:szCs w:val="26"/>
        </w:rPr>
        <w:t xml:space="preserve"> the expert evidence inadmissible. </w:t>
      </w:r>
      <w:r>
        <w:rPr>
          <w:rFonts w:cs="Courier New"/>
          <w:szCs w:val="26"/>
        </w:rPr>
        <w:t xml:space="preserve"> </w:t>
      </w:r>
      <w:r w:rsidRPr="0010423C">
        <w:rPr>
          <w:rFonts w:cs="Courier New"/>
          <w:i/>
          <w:iCs/>
          <w:szCs w:val="26"/>
        </w:rPr>
        <w:t>McGrady</w:t>
      </w:r>
      <w:r w:rsidRPr="0010423C">
        <w:rPr>
          <w:rFonts w:cs="Courier New"/>
          <w:szCs w:val="26"/>
        </w:rPr>
        <w:t>, 368 N.C. at 889</w:t>
      </w:r>
      <w:r w:rsidR="009565CA">
        <w:rPr>
          <w:rFonts w:cs="Courier New"/>
          <w:szCs w:val="26"/>
        </w:rPr>
        <w:fldChar w:fldCharType="begin"/>
      </w:r>
      <w:r w:rsidR="009565CA">
        <w:instrText xml:space="preserve"> TA \l "</w:instrText>
      </w:r>
      <w:r w:rsidR="009565CA" w:rsidRPr="00275109">
        <w:rPr>
          <w:rFonts w:cs="Courier New"/>
          <w:i/>
          <w:iCs/>
          <w:szCs w:val="26"/>
        </w:rPr>
        <w:instrText>McGrady</w:instrText>
      </w:r>
      <w:r w:rsidR="009565CA" w:rsidRPr="00275109">
        <w:rPr>
          <w:rFonts w:cs="Courier New"/>
          <w:szCs w:val="26"/>
        </w:rPr>
        <w:instrText>, 368 N.C. at 889</w:instrText>
      </w:r>
      <w:r w:rsidR="009565CA">
        <w:instrText xml:space="preserve">" \s "McGrady, 368 N.C. at 889" \c 1 </w:instrText>
      </w:r>
      <w:r w:rsidR="009565CA">
        <w:rPr>
          <w:rFonts w:cs="Courier New"/>
          <w:szCs w:val="26"/>
        </w:rPr>
        <w:fldChar w:fldCharType="end"/>
      </w:r>
      <w:r w:rsidRPr="0010423C">
        <w:rPr>
          <w:rFonts w:cs="Courier New"/>
          <w:szCs w:val="26"/>
        </w:rPr>
        <w:t>.</w:t>
      </w:r>
      <w:r w:rsidRPr="00DD6DC6">
        <w:rPr>
          <w:rFonts w:cs="Courier New"/>
          <w:szCs w:val="26"/>
        </w:rPr>
        <w:t xml:space="preserve"> </w:t>
      </w:r>
      <w:r>
        <w:rPr>
          <w:rFonts w:cs="Courier New"/>
          <w:szCs w:val="26"/>
        </w:rPr>
        <w:t xml:space="preserve"> These prerequisites to admission impose a gatekeeping role on the trial court.  Here, the State did not satisfy the third prong—that Sealy’s opinion testimony was reliable.</w:t>
      </w:r>
    </w:p>
    <w:p w14:paraId="7A575794" w14:textId="0E0B8EC8" w:rsidR="00BC41E7" w:rsidRPr="00563731" w:rsidRDefault="00BC41E7" w:rsidP="00BC41E7">
      <w:pPr>
        <w:spacing w:line="480" w:lineRule="auto"/>
        <w:ind w:firstLine="720"/>
        <w:jc w:val="both"/>
      </w:pPr>
      <w:r>
        <w:rPr>
          <w:rFonts w:cs="Courier New"/>
          <w:szCs w:val="26"/>
        </w:rPr>
        <w:t>The 2011</w:t>
      </w:r>
      <w:r w:rsidRPr="00563731">
        <w:rPr>
          <w:rFonts w:cs="Courier New"/>
          <w:szCs w:val="26"/>
        </w:rPr>
        <w:t xml:space="preserve"> amendment </w:t>
      </w:r>
      <w:r>
        <w:rPr>
          <w:rFonts w:cs="Courier New"/>
          <w:szCs w:val="26"/>
        </w:rPr>
        <w:t xml:space="preserve">mirrored Fed. R. Evid. 702’s language and </w:t>
      </w:r>
      <w:r w:rsidRPr="00563731">
        <w:rPr>
          <w:rFonts w:cs="Courier New"/>
          <w:szCs w:val="26"/>
        </w:rPr>
        <w:t>incorporated into</w:t>
      </w:r>
      <w:r w:rsidR="002A5DD3">
        <w:rPr>
          <w:rFonts w:cs="Courier New"/>
          <w:szCs w:val="26"/>
        </w:rPr>
        <w:t xml:space="preserve"> our</w:t>
      </w:r>
      <w:r w:rsidRPr="00563731">
        <w:rPr>
          <w:rFonts w:cs="Courier New"/>
          <w:szCs w:val="26"/>
        </w:rPr>
        <w:t xml:space="preserve"> Rule 702 a “three-pronged reliability test” the evidence must satisfy to be admissible:</w:t>
      </w:r>
    </w:p>
    <w:p w14:paraId="03C7C7B3" w14:textId="77777777" w:rsidR="00BC41E7" w:rsidRDefault="00BC41E7" w:rsidP="00BC41E7">
      <w:pPr>
        <w:ind w:left="1080" w:right="1080"/>
        <w:jc w:val="both"/>
      </w:pPr>
      <w:r>
        <w:t xml:space="preserve">(a) If scientific, </w:t>
      </w:r>
      <w:proofErr w:type="gramStart"/>
      <w:r>
        <w:t>technical</w:t>
      </w:r>
      <w:proofErr w:type="gramEnd"/>
      <w:r>
        <w:t xml:space="preserve"> or other specialized knowledge will assist the trier of fact to understand the evidence or to determine a fact in issue, a witness qualified as an expert by knowledge, skill, experience, training, or education, may testify thereto in the form of an opinion, or otherwise, if all of the following apply:</w:t>
      </w:r>
    </w:p>
    <w:p w14:paraId="2244C61E" w14:textId="77777777" w:rsidR="00BC41E7" w:rsidRDefault="00BC41E7" w:rsidP="00BC41E7">
      <w:pPr>
        <w:ind w:left="1080" w:right="1080"/>
        <w:jc w:val="both"/>
      </w:pPr>
    </w:p>
    <w:p w14:paraId="43712731" w14:textId="77777777" w:rsidR="00BC41E7" w:rsidRDefault="00BC41E7" w:rsidP="00BC41E7">
      <w:pPr>
        <w:ind w:left="1440" w:right="1080"/>
        <w:jc w:val="both"/>
      </w:pPr>
      <w:r>
        <w:t>(1) The testimony is based upon sufficient facts or data.</w:t>
      </w:r>
    </w:p>
    <w:p w14:paraId="66F968C7" w14:textId="77777777" w:rsidR="00BC41E7" w:rsidRDefault="00BC41E7" w:rsidP="00BC41E7">
      <w:pPr>
        <w:ind w:left="1440" w:right="1080"/>
        <w:jc w:val="both"/>
      </w:pPr>
    </w:p>
    <w:p w14:paraId="09357C4E" w14:textId="77777777" w:rsidR="00BC41E7" w:rsidRDefault="00BC41E7" w:rsidP="00BC41E7">
      <w:pPr>
        <w:ind w:left="1440" w:right="1080"/>
        <w:jc w:val="both"/>
      </w:pPr>
      <w:r>
        <w:t>(2) The testimony is the product of reliable principles and methods.</w:t>
      </w:r>
    </w:p>
    <w:p w14:paraId="63EE5FED" w14:textId="77777777" w:rsidR="00BC41E7" w:rsidRDefault="00BC41E7" w:rsidP="00BC41E7">
      <w:pPr>
        <w:ind w:left="1440" w:right="1080"/>
        <w:jc w:val="both"/>
      </w:pPr>
    </w:p>
    <w:p w14:paraId="4AE2EBA7" w14:textId="77777777" w:rsidR="00BC41E7" w:rsidRDefault="00BC41E7" w:rsidP="00BC41E7">
      <w:pPr>
        <w:ind w:left="1440" w:right="1080"/>
        <w:jc w:val="both"/>
      </w:pPr>
      <w:r>
        <w:t xml:space="preserve">(3) </w:t>
      </w:r>
      <w:bookmarkStart w:id="10" w:name="_Hlk110594881"/>
      <w:r>
        <w:t>The witness has applied the principles and methods reliably to the facts of the case.</w:t>
      </w:r>
      <w:bookmarkEnd w:id="10"/>
    </w:p>
    <w:p w14:paraId="7E77365D" w14:textId="77777777" w:rsidR="00BC41E7" w:rsidRDefault="00BC41E7" w:rsidP="00BC41E7">
      <w:pPr>
        <w:ind w:left="1440" w:right="1080"/>
      </w:pPr>
    </w:p>
    <w:p w14:paraId="3E6D7FAD" w14:textId="2A8C5F69" w:rsidR="00BC41E7" w:rsidRDefault="00BC41E7" w:rsidP="00BC41E7">
      <w:pPr>
        <w:spacing w:line="480" w:lineRule="auto"/>
      </w:pPr>
      <w:r>
        <w:t>N.C.G.S. § 8C-1, Rule 702(a)</w:t>
      </w:r>
      <w:r w:rsidR="009565CA">
        <w:fldChar w:fldCharType="begin"/>
      </w:r>
      <w:r w:rsidR="009565CA">
        <w:instrText xml:space="preserve"> TA \l "</w:instrText>
      </w:r>
      <w:r w:rsidR="009565CA" w:rsidRPr="00275109">
        <w:instrText>N.C.G.S. § 8C-1, Rule 702(a)</w:instrText>
      </w:r>
      <w:r w:rsidR="009565CA">
        <w:instrText xml:space="preserve">" \s "N.C.G.S. § 8C-1, Rule 702(a)" \c 2 </w:instrText>
      </w:r>
      <w:r w:rsidR="009565CA">
        <w:fldChar w:fldCharType="end"/>
      </w:r>
      <w:r>
        <w:t xml:space="preserve">.  In adopting the federal rule’s language, the General Assembly codified federal precedent regarding the trial court’s “gatekeeping” function explained in </w:t>
      </w:r>
      <w:r w:rsidRPr="00D67673">
        <w:rPr>
          <w:i/>
          <w:iCs/>
        </w:rPr>
        <w:t>Daubert</w:t>
      </w:r>
      <w:r>
        <w:t xml:space="preserve">, </w:t>
      </w:r>
      <w:r w:rsidRPr="00D67673">
        <w:rPr>
          <w:i/>
          <w:iCs/>
        </w:rPr>
        <w:t>Kumho</w:t>
      </w:r>
      <w:r>
        <w:t xml:space="preserve">, and </w:t>
      </w:r>
      <w:r w:rsidRPr="00D67673">
        <w:rPr>
          <w:i/>
          <w:iCs/>
        </w:rPr>
        <w:t>Joiner</w:t>
      </w:r>
      <w:r>
        <w:t>.</w:t>
      </w:r>
      <w:r>
        <w:rPr>
          <w:rStyle w:val="FootnoteReference"/>
        </w:rPr>
        <w:footnoteReference w:id="4"/>
      </w:r>
      <w:r>
        <w:t xml:space="preserve">  </w:t>
      </w:r>
      <w:r w:rsidRPr="00306AF2">
        <w:rPr>
          <w:i/>
          <w:iCs/>
        </w:rPr>
        <w:t>McGrady</w:t>
      </w:r>
      <w:r>
        <w:t>, 368 N.C. at 888</w:t>
      </w:r>
      <w:r w:rsidR="009565CA">
        <w:fldChar w:fldCharType="begin"/>
      </w:r>
      <w:r w:rsidR="009565CA">
        <w:instrText xml:space="preserve"> TA \l "</w:instrText>
      </w:r>
      <w:r w:rsidR="009565CA" w:rsidRPr="00275109">
        <w:rPr>
          <w:i/>
          <w:iCs/>
        </w:rPr>
        <w:instrText>McGrady</w:instrText>
      </w:r>
      <w:r w:rsidR="009565CA" w:rsidRPr="00275109">
        <w:instrText>, 368 N.C. at 888</w:instrText>
      </w:r>
      <w:r w:rsidR="009565CA">
        <w:instrText xml:space="preserve">" \s "McGrady, 368 N.C. at 888" \c 1 </w:instrText>
      </w:r>
      <w:r w:rsidR="009565CA">
        <w:fldChar w:fldCharType="end"/>
      </w:r>
      <w:r>
        <w:t>.</w:t>
      </w:r>
    </w:p>
    <w:p w14:paraId="4F307E6B" w14:textId="1BC1CC51" w:rsidR="00D627C5" w:rsidRDefault="00D627C5" w:rsidP="002C617D">
      <w:pPr>
        <w:pStyle w:val="Heading3"/>
        <w:numPr>
          <w:ilvl w:val="0"/>
          <w:numId w:val="9"/>
        </w:numPr>
        <w:jc w:val="both"/>
      </w:pPr>
      <w:r>
        <w:t xml:space="preserve">The </w:t>
      </w:r>
      <w:bookmarkStart w:id="11" w:name="_Hlk119693333"/>
      <w:r>
        <w:t xml:space="preserve">trial court </w:t>
      </w:r>
      <w:r w:rsidR="00052F71">
        <w:t>failed to perform its “gatekeeping” duty</w:t>
      </w:r>
      <w:r>
        <w:t xml:space="preserve"> when it denied defense counsel’s request to </w:t>
      </w:r>
      <w:proofErr w:type="spellStart"/>
      <w:r>
        <w:t>voir</w:t>
      </w:r>
      <w:proofErr w:type="spellEnd"/>
      <w:r>
        <w:t xml:space="preserve"> dire</w:t>
      </w:r>
      <w:r w:rsidR="00472363">
        <w:t xml:space="preserve"> </w:t>
      </w:r>
      <w:r w:rsidR="00052F71">
        <w:t>Sealy</w:t>
      </w:r>
      <w:r w:rsidR="002C617D">
        <w:t xml:space="preserve">. </w:t>
      </w:r>
      <w:r w:rsidR="00197386">
        <w:t xml:space="preserve"> </w:t>
      </w:r>
      <w:r w:rsidR="002C617D">
        <w:t>The trial court compounded this error by denying</w:t>
      </w:r>
      <w:r w:rsidR="000D2999">
        <w:t xml:space="preserve"> counsel’s request to</w:t>
      </w:r>
      <w:r w:rsidR="00197386">
        <w:t xml:space="preserve"> </w:t>
      </w:r>
      <w:r w:rsidR="00F031FD">
        <w:t>give</w:t>
      </w:r>
      <w:r w:rsidR="00197386">
        <w:t xml:space="preserve"> an offer of proof</w:t>
      </w:r>
      <w:r>
        <w:t xml:space="preserve"> </w:t>
      </w:r>
      <w:r w:rsidR="00F67E03">
        <w:t xml:space="preserve">concerning the </w:t>
      </w:r>
      <w:r>
        <w:t xml:space="preserve">foundation for </w:t>
      </w:r>
      <w:r w:rsidR="00534398">
        <w:t>Sealy’s</w:t>
      </w:r>
      <w:r w:rsidR="00F67E03">
        <w:t xml:space="preserve"> </w:t>
      </w:r>
      <w:r>
        <w:t>DNA opinion testimony</w:t>
      </w:r>
      <w:bookmarkEnd w:id="11"/>
      <w:r>
        <w:t>.</w:t>
      </w:r>
    </w:p>
    <w:p w14:paraId="17AB31EB" w14:textId="77777777" w:rsidR="008C2ED3" w:rsidRPr="008C2ED3" w:rsidRDefault="008C2ED3" w:rsidP="008C2ED3"/>
    <w:p w14:paraId="3379BBA3" w14:textId="31BB3BB2" w:rsidR="008C2ED3" w:rsidRPr="008C2ED3" w:rsidRDefault="008C2ED3" w:rsidP="008C2ED3">
      <w:pPr>
        <w:widowControl w:val="0"/>
        <w:tabs>
          <w:tab w:val="left" w:pos="720"/>
          <w:tab w:val="left" w:pos="1800"/>
          <w:tab w:val="left" w:pos="6840"/>
          <w:tab w:val="left" w:pos="7110"/>
        </w:tabs>
        <w:suppressAutoHyphens/>
        <w:spacing w:line="480" w:lineRule="auto"/>
        <w:jc w:val="both"/>
        <w:rPr>
          <w:rFonts w:cs="Courier New"/>
          <w:szCs w:val="26"/>
        </w:rPr>
      </w:pPr>
      <w:r>
        <w:rPr>
          <w:rFonts w:cs="Courier New"/>
          <w:szCs w:val="26"/>
        </w:rPr>
        <w:tab/>
      </w:r>
      <w:r w:rsidRPr="008C2ED3">
        <w:rPr>
          <w:rFonts w:cs="Courier New"/>
          <w:szCs w:val="26"/>
        </w:rPr>
        <w:t>The trial court failed to conduct its “gatekeeping” role of determining whether Sealy’s testimony was reliable when it</w:t>
      </w:r>
      <w:r w:rsidR="000D2999">
        <w:rPr>
          <w:rFonts w:cs="Courier New"/>
          <w:szCs w:val="26"/>
        </w:rPr>
        <w:t>: (</w:t>
      </w:r>
      <w:proofErr w:type="spellStart"/>
      <w:r w:rsidR="000D2999">
        <w:rPr>
          <w:rFonts w:cs="Courier New"/>
          <w:szCs w:val="26"/>
        </w:rPr>
        <w:t>i</w:t>
      </w:r>
      <w:proofErr w:type="spellEnd"/>
      <w:r w:rsidR="000D2999">
        <w:rPr>
          <w:rFonts w:cs="Courier New"/>
          <w:szCs w:val="26"/>
        </w:rPr>
        <w:t>)</w:t>
      </w:r>
      <w:r w:rsidRPr="008C2ED3">
        <w:rPr>
          <w:rFonts w:cs="Courier New"/>
          <w:szCs w:val="26"/>
        </w:rPr>
        <w:t xml:space="preserve"> </w:t>
      </w:r>
      <w:r w:rsidR="0052438C" w:rsidRPr="008C2ED3">
        <w:rPr>
          <w:rFonts w:cs="Courier New"/>
          <w:szCs w:val="26"/>
        </w:rPr>
        <w:t xml:space="preserve">denied </w:t>
      </w:r>
      <w:r w:rsidRPr="008C2ED3">
        <w:rPr>
          <w:rFonts w:cs="Courier New"/>
          <w:szCs w:val="26"/>
        </w:rPr>
        <w:t xml:space="preserve">defense counsel’s request to </w:t>
      </w:r>
      <w:proofErr w:type="spellStart"/>
      <w:r w:rsidRPr="008C2ED3">
        <w:rPr>
          <w:rFonts w:cs="Courier New"/>
          <w:szCs w:val="26"/>
        </w:rPr>
        <w:t>voir</w:t>
      </w:r>
      <w:proofErr w:type="spellEnd"/>
      <w:r w:rsidRPr="008C2ED3">
        <w:rPr>
          <w:rFonts w:cs="Courier New"/>
          <w:szCs w:val="26"/>
        </w:rPr>
        <w:t xml:space="preserve"> dire Sealy</w:t>
      </w:r>
      <w:r w:rsidR="00980E67">
        <w:rPr>
          <w:rFonts w:cs="Courier New"/>
          <w:szCs w:val="26"/>
        </w:rPr>
        <w:t>, and</w:t>
      </w:r>
      <w:r w:rsidRPr="008C2ED3">
        <w:rPr>
          <w:rFonts w:cs="Courier New"/>
          <w:szCs w:val="26"/>
        </w:rPr>
        <w:t xml:space="preserve"> </w:t>
      </w:r>
      <w:r w:rsidR="006E75C7">
        <w:rPr>
          <w:rFonts w:cs="Courier New"/>
          <w:szCs w:val="26"/>
        </w:rPr>
        <w:t xml:space="preserve">(ii) </w:t>
      </w:r>
      <w:r w:rsidR="0052438C">
        <w:rPr>
          <w:rFonts w:cs="Courier New"/>
          <w:szCs w:val="26"/>
        </w:rPr>
        <w:t xml:space="preserve">denied </w:t>
      </w:r>
      <w:r w:rsidRPr="008C2ED3">
        <w:rPr>
          <w:rFonts w:cs="Courier New"/>
          <w:szCs w:val="26"/>
        </w:rPr>
        <w:t xml:space="preserve">counsel’s request to make an offer of proof.  </w:t>
      </w:r>
      <w:r w:rsidRPr="00012D52">
        <w:rPr>
          <w:rFonts w:cs="Courier New"/>
          <w:i/>
          <w:iCs/>
          <w:szCs w:val="26"/>
        </w:rPr>
        <w:t>McGrady</w:t>
      </w:r>
      <w:r w:rsidRPr="00012D52">
        <w:rPr>
          <w:rFonts w:cs="Courier New"/>
          <w:szCs w:val="26"/>
        </w:rPr>
        <w:t>, 368 N.C. at 893</w:t>
      </w:r>
      <w:r w:rsidRPr="008C2ED3">
        <w:rPr>
          <w:rFonts w:cs="Courier New"/>
          <w:szCs w:val="26"/>
        </w:rPr>
        <w:t xml:space="preserve">.  </w:t>
      </w:r>
    </w:p>
    <w:p w14:paraId="104F951E" w14:textId="77C35AC7" w:rsidR="008C2ED3" w:rsidRDefault="008C2ED3" w:rsidP="008C2ED3">
      <w:pPr>
        <w:pStyle w:val="Heading4"/>
        <w:numPr>
          <w:ilvl w:val="0"/>
          <w:numId w:val="15"/>
        </w:numPr>
        <w:rPr>
          <w:rFonts w:cs="Courier New"/>
          <w:szCs w:val="26"/>
        </w:rPr>
      </w:pPr>
      <w:r>
        <w:rPr>
          <w:rFonts w:cs="Courier New"/>
          <w:szCs w:val="26"/>
        </w:rPr>
        <w:t xml:space="preserve">Denial of Request for </w:t>
      </w:r>
      <w:proofErr w:type="spellStart"/>
      <w:r>
        <w:rPr>
          <w:rFonts w:cs="Courier New"/>
          <w:szCs w:val="26"/>
        </w:rPr>
        <w:t>Voir</w:t>
      </w:r>
      <w:proofErr w:type="spellEnd"/>
      <w:r>
        <w:rPr>
          <w:rFonts w:cs="Courier New"/>
          <w:szCs w:val="26"/>
        </w:rPr>
        <w:t xml:space="preserve"> Dire </w:t>
      </w:r>
    </w:p>
    <w:p w14:paraId="147D77BC" w14:textId="77777777" w:rsidR="008C2ED3" w:rsidRPr="008C2ED3" w:rsidRDefault="008C2ED3" w:rsidP="008C2ED3"/>
    <w:p w14:paraId="40B65B96" w14:textId="60FE5935" w:rsidR="004B6DB7" w:rsidRDefault="005D3815" w:rsidP="00D627C5">
      <w:pPr>
        <w:spacing w:line="480" w:lineRule="auto"/>
        <w:ind w:firstLine="720"/>
        <w:jc w:val="both"/>
      </w:pPr>
      <w:r>
        <w:t>T</w:t>
      </w:r>
      <w:r w:rsidR="00D627C5">
        <w:t xml:space="preserve">he trial court erred </w:t>
      </w:r>
      <w:r w:rsidR="00980E67">
        <w:t>by</w:t>
      </w:r>
      <w:r w:rsidR="00D627C5">
        <w:t xml:space="preserve"> denying defense counsel’s request for </w:t>
      </w:r>
      <w:proofErr w:type="spellStart"/>
      <w:r w:rsidR="00D627C5">
        <w:t>voir</w:t>
      </w:r>
      <w:proofErr w:type="spellEnd"/>
      <w:r w:rsidR="00D627C5">
        <w:t xml:space="preserve"> dire and allowing the expert to testify.</w:t>
      </w:r>
      <w:r w:rsidR="006F6E82">
        <w:t xml:space="preserve">  (T p 591)</w:t>
      </w:r>
      <w:r w:rsidR="00D627C5">
        <w:t xml:space="preserve">  </w:t>
      </w:r>
    </w:p>
    <w:p w14:paraId="349C5D45" w14:textId="058BCB11" w:rsidR="004B6DB7" w:rsidRPr="00472363" w:rsidRDefault="004B6DB7" w:rsidP="004B6DB7">
      <w:pPr>
        <w:spacing w:line="480" w:lineRule="auto"/>
        <w:ind w:firstLine="720"/>
        <w:jc w:val="both"/>
      </w:pPr>
      <w:r>
        <w:rPr>
          <w:rFonts w:cs="Courier New"/>
          <w:szCs w:val="26"/>
        </w:rPr>
        <w:t xml:space="preserve">Although there is no required procedure for how a trial court must perform its gatekeeping function, our Supreme Court recognized that novel or complex areas of expertise require procedures like obtaining </w:t>
      </w:r>
      <w:r>
        <w:t xml:space="preserve">affidavits, conducting an in </w:t>
      </w:r>
      <w:proofErr w:type="spellStart"/>
      <w:r>
        <w:t>limine</w:t>
      </w:r>
      <w:proofErr w:type="spellEnd"/>
      <w:r>
        <w:t xml:space="preserve"> hearing, or conducting </w:t>
      </w:r>
      <w:proofErr w:type="spellStart"/>
      <w:r>
        <w:t>voir</w:t>
      </w:r>
      <w:proofErr w:type="spellEnd"/>
      <w:r>
        <w:t xml:space="preserve"> dire.  </w:t>
      </w:r>
      <w:r>
        <w:rPr>
          <w:i/>
          <w:iCs/>
        </w:rPr>
        <w:t>McGrady</w:t>
      </w:r>
      <w:r>
        <w:t>, 368</w:t>
      </w:r>
      <w:r w:rsidRPr="00650FEC">
        <w:t xml:space="preserve"> </w:t>
      </w:r>
      <w:r>
        <w:t>at 893</w:t>
      </w:r>
      <w:r w:rsidR="009565CA">
        <w:fldChar w:fldCharType="begin"/>
      </w:r>
      <w:r w:rsidR="009565CA">
        <w:instrText xml:space="preserve"> TA \l "</w:instrText>
      </w:r>
      <w:r w:rsidR="009565CA" w:rsidRPr="00275109">
        <w:rPr>
          <w:i/>
          <w:iCs/>
        </w:rPr>
        <w:instrText>McGrady</w:instrText>
      </w:r>
      <w:r w:rsidR="009565CA" w:rsidRPr="00275109">
        <w:instrText>, 368 at 893</w:instrText>
      </w:r>
      <w:r w:rsidR="009565CA">
        <w:instrText xml:space="preserve">" \s "McGrady, 368 at 893" \c 1 </w:instrText>
      </w:r>
      <w:r w:rsidR="009565CA">
        <w:fldChar w:fldCharType="end"/>
      </w:r>
      <w:r>
        <w:t xml:space="preserve"> (citing </w:t>
      </w:r>
      <w:r w:rsidRPr="00A641B6">
        <w:rPr>
          <w:i/>
          <w:iCs/>
        </w:rPr>
        <w:t>Kumho</w:t>
      </w:r>
      <w:r>
        <w:t>, 526 U.S. at 152</w:t>
      </w:r>
      <w:r w:rsidR="009565CA">
        <w:fldChar w:fldCharType="begin"/>
      </w:r>
      <w:r w:rsidR="009565CA">
        <w:instrText xml:space="preserve"> TA \l "</w:instrText>
      </w:r>
      <w:r w:rsidR="009565CA" w:rsidRPr="00275109">
        <w:rPr>
          <w:i/>
          <w:iCs/>
        </w:rPr>
        <w:instrText>Kumho</w:instrText>
      </w:r>
      <w:r w:rsidR="009565CA" w:rsidRPr="00275109">
        <w:instrText>, 526 U.S. at 152</w:instrText>
      </w:r>
      <w:r w:rsidR="009565CA">
        <w:instrText xml:space="preserve">" \s "Kumho, 526 U.S. at 152" \c 1 </w:instrText>
      </w:r>
      <w:r w:rsidR="009565CA">
        <w:fldChar w:fldCharType="end"/>
      </w:r>
      <w:r>
        <w:t>)</w:t>
      </w:r>
      <w:r w:rsidRPr="00A641B6">
        <w:rPr>
          <w:i/>
          <w:iCs/>
        </w:rPr>
        <w:t>.</w:t>
      </w:r>
      <w:r>
        <w:t xml:space="preserve">  “In simpler cases, however, the area of testimony may be sufficiently common or easily understood that the testimony’s foundation can be laid with a few questions in the presence of the jury.”  </w:t>
      </w:r>
      <w:r w:rsidRPr="00A641B6">
        <w:rPr>
          <w:i/>
          <w:iCs/>
        </w:rPr>
        <w:t>Id.</w:t>
      </w:r>
      <w:r>
        <w:t xml:space="preserve">  (</w:t>
      </w:r>
      <w:proofErr w:type="gramStart"/>
      <w:r>
        <w:t>citing</w:t>
      </w:r>
      <w:proofErr w:type="gramEnd"/>
      <w:r>
        <w:t xml:space="preserve"> </w:t>
      </w:r>
      <w:r w:rsidRPr="00A641B6">
        <w:rPr>
          <w:i/>
          <w:iCs/>
        </w:rPr>
        <w:t>Kumho</w:t>
      </w:r>
      <w:r>
        <w:t>, 526 U.S. at 152).  Trial courts “should use a procedure that, given the circumstances of the case, will ‘secure fairness in administration, elimination of unjustifiable expense and delay, and promotion of growth and development of the law of evidence to the end that the truth may be ascertained and proceedings justly determined.</w:t>
      </w:r>
      <w:proofErr w:type="gramStart"/>
      <w:r>
        <w:t>’ ”</w:t>
      </w:r>
      <w:proofErr w:type="gramEnd"/>
      <w:r>
        <w:t xml:space="preserve">  </w:t>
      </w:r>
      <w:r w:rsidRPr="00A641B6">
        <w:rPr>
          <w:i/>
          <w:iCs/>
        </w:rPr>
        <w:t>Id.</w:t>
      </w:r>
      <w:r>
        <w:rPr>
          <w:i/>
          <w:iCs/>
        </w:rPr>
        <w:t xml:space="preserve"> </w:t>
      </w:r>
      <w:r>
        <w:t>(quoting N.C.G.S. § 8C-1, Rule 102(a) (2015)</w:t>
      </w:r>
      <w:r w:rsidR="009565CA">
        <w:fldChar w:fldCharType="begin"/>
      </w:r>
      <w:r w:rsidR="009565CA">
        <w:instrText xml:space="preserve"> TA \l "</w:instrText>
      </w:r>
      <w:r w:rsidR="009565CA" w:rsidRPr="00275109">
        <w:instrText>N.C.G.S. § 8C-1, Rule 102(a) (2015)</w:instrText>
      </w:r>
      <w:r w:rsidR="009565CA">
        <w:instrText xml:space="preserve">" \s "N.C.G.S. § 8C-1, Rule 102(a) (2015)" \c 1 </w:instrText>
      </w:r>
      <w:r w:rsidR="009565CA">
        <w:fldChar w:fldCharType="end"/>
      </w:r>
      <w:r>
        <w:t>).</w:t>
      </w:r>
    </w:p>
    <w:p w14:paraId="6DB2F69B" w14:textId="2941D73C" w:rsidR="004B6DB7" w:rsidRPr="00C52A18" w:rsidRDefault="004B6DB7" w:rsidP="00C52A18">
      <w:pPr>
        <w:spacing w:line="480" w:lineRule="auto"/>
        <w:ind w:firstLine="720"/>
        <w:jc w:val="both"/>
        <w:rPr>
          <w:i/>
          <w:iCs/>
        </w:rPr>
      </w:pPr>
      <w:r>
        <w:t xml:space="preserve">Federal </w:t>
      </w:r>
      <w:r w:rsidR="007D0607">
        <w:t>c</w:t>
      </w:r>
      <w:r>
        <w:t xml:space="preserve">ourts have extolled the virtues of </w:t>
      </w:r>
      <w:proofErr w:type="spellStart"/>
      <w:r>
        <w:t>voir</w:t>
      </w:r>
      <w:proofErr w:type="spellEnd"/>
      <w:r>
        <w:t xml:space="preserve"> dire to assist the trial court in upholding its gatekeeping duty.  </w:t>
      </w:r>
      <w:r w:rsidRPr="00112C62">
        <w:rPr>
          <w:i/>
          <w:iCs/>
        </w:rPr>
        <w:t>See</w:t>
      </w:r>
      <w:r>
        <w:t xml:space="preserve"> </w:t>
      </w:r>
      <w:r w:rsidRPr="00650FEC">
        <w:rPr>
          <w:i/>
          <w:iCs/>
        </w:rPr>
        <w:t>United States v. Holguin</w:t>
      </w:r>
      <w:r>
        <w:t>, Nos. 19-50158, 19-50169, 19-50173, 2022 U.S. App. LEXIS 28477, at *10 (9th Cir. Oct. 13, 2022)</w:t>
      </w:r>
      <w:r w:rsidR="009565CA">
        <w:fldChar w:fldCharType="begin"/>
      </w:r>
      <w:r w:rsidR="009565CA">
        <w:instrText xml:space="preserve"> TA \l "</w:instrText>
      </w:r>
      <w:r w:rsidR="009565CA" w:rsidRPr="00275109">
        <w:rPr>
          <w:i/>
          <w:iCs/>
        </w:rPr>
        <w:instrText>United States v. Holguin</w:instrText>
      </w:r>
      <w:r w:rsidR="009565CA" w:rsidRPr="00275109">
        <w:instrText>, Nos. 19-50158, 19-50169, 19-50173, 2022 U.S. App. LEXIS 28477, at *10 (9th Cir. Oct. 13, 2022)</w:instrText>
      </w:r>
      <w:r w:rsidR="009565CA">
        <w:instrText xml:space="preserve">" \s "United States v. Holguin, Nos. 19-50158, 19-50169, 19-50173, 2022 U.S. App. LEXIS 28477, at *10 (9th Cir. Oct. 13, 2022)" \c 1 </w:instrText>
      </w:r>
      <w:r w:rsidR="009565CA">
        <w:fldChar w:fldCharType="end"/>
      </w:r>
      <w:r>
        <w:t xml:space="preserve">.  In </w:t>
      </w:r>
      <w:r w:rsidRPr="00A41812">
        <w:rPr>
          <w:i/>
          <w:iCs/>
        </w:rPr>
        <w:t>Holguin</w:t>
      </w:r>
      <w:r>
        <w:t xml:space="preserve">, the Ninth Circuit explained: </w:t>
      </w:r>
    </w:p>
    <w:p w14:paraId="05AB90A6" w14:textId="77777777" w:rsidR="004B6DB7" w:rsidRDefault="004B6DB7" w:rsidP="004B6DB7">
      <w:pPr>
        <w:ind w:left="900" w:right="720"/>
        <w:jc w:val="both"/>
      </w:pPr>
      <w:r>
        <w:t>[E]</w:t>
      </w:r>
      <w:proofErr w:type="spellStart"/>
      <w:r>
        <w:t>ven</w:t>
      </w:r>
      <w:proofErr w:type="spellEnd"/>
      <w:r>
        <w:t xml:space="preserve"> if not required, it will often be beneficial for district courts to conduct some proceeding, focused on the reliability of expert testimony, such as a </w:t>
      </w:r>
      <w:r w:rsidRPr="00112C62">
        <w:rPr>
          <w:i/>
          <w:iCs/>
        </w:rPr>
        <w:t>Daubert</w:t>
      </w:r>
      <w:r>
        <w:t xml:space="preserve"> hearing or </w:t>
      </w:r>
      <w:proofErr w:type="spellStart"/>
      <w:r>
        <w:t>voir</w:t>
      </w:r>
      <w:proofErr w:type="spellEnd"/>
      <w:r>
        <w:t xml:space="preserve"> dire of proffered expert testimony</w:t>
      </w:r>
      <w:proofErr w:type="gramStart"/>
      <w:r>
        <w:t>. . . .</w:t>
      </w:r>
      <w:proofErr w:type="gramEnd"/>
      <w:r>
        <w:t xml:space="preserve"> Without such proceedings, it may be difficult in many cases for the [trial] court to clearly discern an expert’s methodology and to evaluate how that methodology connects to the expert’s opinions.  When an expert’s methodology is directly presented and probed, the district court will be well positioned to make the reliability findings that our cases require[.]  </w:t>
      </w:r>
    </w:p>
    <w:p w14:paraId="21D8D8FE" w14:textId="77777777" w:rsidR="004B6DB7" w:rsidRDefault="004B6DB7" w:rsidP="004B6DB7">
      <w:pPr>
        <w:ind w:firstLine="720"/>
        <w:jc w:val="both"/>
      </w:pPr>
    </w:p>
    <w:p w14:paraId="170953F4" w14:textId="77777777" w:rsidR="004B6DB7" w:rsidRDefault="004B6DB7" w:rsidP="004B6DB7">
      <w:pPr>
        <w:jc w:val="both"/>
        <w:rPr>
          <w:i/>
          <w:iCs/>
        </w:rPr>
      </w:pPr>
      <w:r w:rsidRPr="00A41812">
        <w:rPr>
          <w:i/>
          <w:iCs/>
        </w:rPr>
        <w:t>Id.</w:t>
      </w:r>
    </w:p>
    <w:p w14:paraId="5BE67CA6" w14:textId="77777777" w:rsidR="004B6DB7" w:rsidRPr="00A41812" w:rsidRDefault="004B6DB7" w:rsidP="004B6DB7">
      <w:pPr>
        <w:jc w:val="both"/>
        <w:rPr>
          <w:i/>
          <w:iCs/>
        </w:rPr>
      </w:pPr>
    </w:p>
    <w:p w14:paraId="3448D14F" w14:textId="56217C62" w:rsidR="004B6DB7" w:rsidRPr="00714883" w:rsidRDefault="004B6DB7" w:rsidP="004B6DB7">
      <w:pPr>
        <w:spacing w:line="480" w:lineRule="auto"/>
        <w:ind w:firstLine="720"/>
        <w:jc w:val="both"/>
      </w:pPr>
      <w:proofErr w:type="gramStart"/>
      <w:r>
        <w:t>And,</w:t>
      </w:r>
      <w:proofErr w:type="gramEnd"/>
      <w:r>
        <w:t xml:space="preserve"> </w:t>
      </w:r>
      <w:proofErr w:type="spellStart"/>
      <w:r>
        <w:t>voir</w:t>
      </w:r>
      <w:proofErr w:type="spellEnd"/>
      <w:r>
        <w:t xml:space="preserve"> dire is all the more important when a party objects to expert testimony and </w:t>
      </w:r>
      <w:r w:rsidRPr="00C36AF2">
        <w:rPr>
          <w:i/>
          <w:iCs/>
        </w:rPr>
        <w:t>requests</w:t>
      </w:r>
      <w:r>
        <w:t xml:space="preserve"> </w:t>
      </w:r>
      <w:proofErr w:type="spellStart"/>
      <w:r>
        <w:t>voir</w:t>
      </w:r>
      <w:proofErr w:type="spellEnd"/>
      <w:r>
        <w:t xml:space="preserve"> dire.  </w:t>
      </w:r>
      <w:r w:rsidRPr="00112C62">
        <w:rPr>
          <w:i/>
          <w:iCs/>
        </w:rPr>
        <w:t>See</w:t>
      </w:r>
      <w:r>
        <w:t xml:space="preserve"> </w:t>
      </w:r>
      <w:r w:rsidRPr="00112C62">
        <w:rPr>
          <w:i/>
          <w:iCs/>
        </w:rPr>
        <w:t>United States v. Sepulveda</w:t>
      </w:r>
      <w:r>
        <w:t>, 15 F.3d 1161, 1184 n.15 (1st Cir. 1993)</w:t>
      </w:r>
      <w:r w:rsidR="009565CA">
        <w:fldChar w:fldCharType="begin"/>
      </w:r>
      <w:r w:rsidR="009565CA">
        <w:instrText xml:space="preserve"> TA \l "</w:instrText>
      </w:r>
      <w:r w:rsidR="009565CA" w:rsidRPr="00275109">
        <w:rPr>
          <w:i/>
          <w:iCs/>
        </w:rPr>
        <w:instrText>United States v. Sepulveda</w:instrText>
      </w:r>
      <w:r w:rsidR="009565CA" w:rsidRPr="00275109">
        <w:instrText>, 15 F.3d 1161, 1184 n.15 (1st Cir. 1993)</w:instrText>
      </w:r>
      <w:r w:rsidR="009565CA">
        <w:instrText xml:space="preserve">" \s "United States v. Sepulveda, 15 F.3d 1161, 1184 n.15 (1st Cir. 1993)" \c 1 </w:instrText>
      </w:r>
      <w:r w:rsidR="009565CA">
        <w:fldChar w:fldCharType="end"/>
      </w:r>
      <w:r>
        <w:t xml:space="preserve"> (“When uncertainty attends a proffer of opinion evidence, </w:t>
      </w:r>
      <w:proofErr w:type="spellStart"/>
      <w:r>
        <w:t>voir</w:t>
      </w:r>
      <w:proofErr w:type="spellEnd"/>
      <w:r>
        <w:t xml:space="preserve"> dire screenings are standard fare. . . . But although appellants moved in </w:t>
      </w:r>
      <w:proofErr w:type="spellStart"/>
      <w:r>
        <w:t>limine</w:t>
      </w:r>
      <w:proofErr w:type="spellEnd"/>
      <w:r>
        <w:t xml:space="preserve"> to forfend [the expert’s] testimony, they apparently never sought permission to conduct a </w:t>
      </w:r>
      <w:proofErr w:type="spellStart"/>
      <w:r w:rsidRPr="00753D99">
        <w:t>voir</w:t>
      </w:r>
      <w:proofErr w:type="spellEnd"/>
      <w:r w:rsidRPr="00753D99">
        <w:t xml:space="preserve"> dire.”) (</w:t>
      </w:r>
      <w:proofErr w:type="gramStart"/>
      <w:r w:rsidRPr="00753D99">
        <w:t>citations</w:t>
      </w:r>
      <w:proofErr w:type="gramEnd"/>
      <w:r w:rsidRPr="00753D99">
        <w:t xml:space="preserve"> omitted</w:t>
      </w:r>
      <w:r>
        <w:t>).</w:t>
      </w:r>
      <w:r w:rsidR="00714883">
        <w:t xml:space="preserve">  While federal circuit court precedent typically is not controlling, our Supreme Court has recognized its importance for interpreting our amended Rule 702. </w:t>
      </w:r>
      <w:r w:rsidR="00994A41">
        <w:t xml:space="preserve"> </w:t>
      </w:r>
      <w:r w:rsidR="00714883">
        <w:rPr>
          <w:i/>
          <w:iCs/>
        </w:rPr>
        <w:t>McGrady</w:t>
      </w:r>
      <w:r w:rsidR="00714883">
        <w:t xml:space="preserve">, 368 N.C. at </w:t>
      </w:r>
      <w:r w:rsidR="00994A41">
        <w:t>888</w:t>
      </w:r>
      <w:r w:rsidR="009565CA">
        <w:fldChar w:fldCharType="begin"/>
      </w:r>
      <w:r w:rsidR="009565CA">
        <w:instrText xml:space="preserve"> TA \s "McGrady, 368 N.C. at 888" </w:instrText>
      </w:r>
      <w:r w:rsidR="009565CA">
        <w:fldChar w:fldCharType="end"/>
      </w:r>
      <w:r w:rsidR="00994A41">
        <w:t>.</w:t>
      </w:r>
    </w:p>
    <w:p w14:paraId="689297D7" w14:textId="3000C231" w:rsidR="004B6DB7" w:rsidRDefault="004B6DB7" w:rsidP="004B6DB7">
      <w:pPr>
        <w:spacing w:line="480" w:lineRule="auto"/>
        <w:ind w:firstLine="720"/>
        <w:jc w:val="both"/>
      </w:pPr>
      <w:r>
        <w:t xml:space="preserve">This is not a case where </w:t>
      </w:r>
      <w:r w:rsidR="00980E67">
        <w:t xml:space="preserve">the </w:t>
      </w:r>
      <w:r>
        <w:t xml:space="preserve">expert’s testimony is simple and </w:t>
      </w:r>
      <w:r w:rsidR="00980E67">
        <w:t>closely</w:t>
      </w:r>
      <w:r>
        <w:t xml:space="preserve"> tied to the expert’s training and experience </w:t>
      </w:r>
      <w:r w:rsidR="00714883">
        <w:t xml:space="preserve">such </w:t>
      </w:r>
      <w:r>
        <w:t>that</w:t>
      </w:r>
      <w:r w:rsidR="00980E67">
        <w:t xml:space="preserve"> there </w:t>
      </w:r>
      <w:r w:rsidR="00714883">
        <w:t>wa</w:t>
      </w:r>
      <w:r w:rsidR="00980E67">
        <w:t>s no need for</w:t>
      </w:r>
      <w:r>
        <w:t xml:space="preserve"> </w:t>
      </w:r>
      <w:proofErr w:type="spellStart"/>
      <w:r>
        <w:t>voir</w:t>
      </w:r>
      <w:proofErr w:type="spellEnd"/>
      <w:r>
        <w:t xml:space="preserve"> dire</w:t>
      </w:r>
      <w:r w:rsidR="00980E67">
        <w:t>.</w:t>
      </w:r>
      <w:r>
        <w:t xml:space="preserve">  </w:t>
      </w:r>
      <w:r w:rsidRPr="0088750B">
        <w:rPr>
          <w:i/>
          <w:iCs/>
        </w:rPr>
        <w:t>See</w:t>
      </w:r>
      <w:r>
        <w:t xml:space="preserve"> </w:t>
      </w:r>
      <w:r w:rsidRPr="00A641B6">
        <w:rPr>
          <w:i/>
          <w:iCs/>
        </w:rPr>
        <w:t>McGrady</w:t>
      </w:r>
      <w:r>
        <w:t>, 368 N.C. at 893</w:t>
      </w:r>
      <w:r w:rsidR="009565CA">
        <w:fldChar w:fldCharType="begin"/>
      </w:r>
      <w:r w:rsidR="009565CA">
        <w:instrText xml:space="preserve"> TA \l "</w:instrText>
      </w:r>
      <w:r w:rsidR="009565CA" w:rsidRPr="00275109">
        <w:rPr>
          <w:i/>
          <w:iCs/>
        </w:rPr>
        <w:instrText>McGrady</w:instrText>
      </w:r>
      <w:r w:rsidR="009565CA" w:rsidRPr="00275109">
        <w:instrText>, 368 N.C. at 893</w:instrText>
      </w:r>
      <w:r w:rsidR="009565CA">
        <w:instrText xml:space="preserve">" \s "McGrady, 368 N.C. at 893" \c 1 </w:instrText>
      </w:r>
      <w:r w:rsidR="009565CA">
        <w:fldChar w:fldCharType="end"/>
      </w:r>
      <w:r>
        <w:t xml:space="preserve">; </w:t>
      </w:r>
      <w:r w:rsidR="00980E67" w:rsidRPr="004D74C1">
        <w:rPr>
          <w:i/>
          <w:iCs/>
        </w:rPr>
        <w:t>C.f.</w:t>
      </w:r>
      <w:r w:rsidR="00980E67">
        <w:rPr>
          <w:i/>
          <w:iCs/>
        </w:rPr>
        <w:t xml:space="preserve"> </w:t>
      </w:r>
      <w:r w:rsidRPr="0088750B">
        <w:rPr>
          <w:i/>
          <w:iCs/>
        </w:rPr>
        <w:t>United States v. Kenyon</w:t>
      </w:r>
      <w:r>
        <w:t>, 481 F.3d 1054, 1061 (8th Cir. 2007)</w:t>
      </w:r>
      <w:r w:rsidR="009565CA">
        <w:fldChar w:fldCharType="begin"/>
      </w:r>
      <w:r w:rsidR="009565CA">
        <w:instrText xml:space="preserve"> TA \l "</w:instrText>
      </w:r>
      <w:r w:rsidR="009565CA" w:rsidRPr="00275109">
        <w:rPr>
          <w:i/>
          <w:iCs/>
        </w:rPr>
        <w:instrText>United States v. Kenyon</w:instrText>
      </w:r>
      <w:r w:rsidR="009565CA" w:rsidRPr="00275109">
        <w:instrText>, 481 F.3d 1054, 1061 (8th Cir. 2007)</w:instrText>
      </w:r>
      <w:r w:rsidR="009565CA">
        <w:instrText xml:space="preserve">" \s "United States v. Kenyon, 481 F.3d 1054, 1061 (8th Cir. 2007)" \c 1 </w:instrText>
      </w:r>
      <w:r w:rsidR="009565CA">
        <w:fldChar w:fldCharType="end"/>
      </w:r>
      <w:r>
        <w:t xml:space="preserve"> (“When a district court is satisfied with an expert’s education, training, and experience, and the expert’s testimony is reasonably based on that education, training, and experience, the court does not abuse its discretion by admitting the testimony without a preliminary hearing.”)</w:t>
      </w:r>
      <w:r w:rsidR="00753D99">
        <w:t xml:space="preserve"> (</w:t>
      </w:r>
      <w:proofErr w:type="gramStart"/>
      <w:r w:rsidR="00753D99">
        <w:t>citations</w:t>
      </w:r>
      <w:proofErr w:type="gramEnd"/>
      <w:r w:rsidR="00753D99">
        <w:t xml:space="preserve"> omitted)</w:t>
      </w:r>
      <w:r>
        <w:t>.</w:t>
      </w:r>
    </w:p>
    <w:p w14:paraId="5AD812A2" w14:textId="665AB297" w:rsidR="004B6DB7" w:rsidRDefault="004B6DB7" w:rsidP="004B6DB7">
      <w:pPr>
        <w:spacing w:line="480" w:lineRule="auto"/>
        <w:ind w:firstLine="720"/>
        <w:jc w:val="both"/>
      </w:pPr>
      <w:r>
        <w:t xml:space="preserve">Rather, expert testimony regarding DNA evidence, like the key evidence in this case, falls on the complex end of the evidentiary spectrum.  </w:t>
      </w:r>
      <w:r w:rsidRPr="006051B2">
        <w:rPr>
          <w:i/>
          <w:iCs/>
        </w:rPr>
        <w:t>See</w:t>
      </w:r>
      <w:r>
        <w:t xml:space="preserve"> </w:t>
      </w:r>
      <w:r w:rsidRPr="00A641B6">
        <w:rPr>
          <w:i/>
          <w:iCs/>
        </w:rPr>
        <w:t>McGrady</w:t>
      </w:r>
      <w:r>
        <w:t>, 368 N.C. at 893</w:t>
      </w:r>
      <w:r w:rsidR="009565CA">
        <w:fldChar w:fldCharType="begin"/>
      </w:r>
      <w:r w:rsidR="009565CA">
        <w:instrText xml:space="preserve"> TA \s "McGrady, 368 N.C. at 893" </w:instrText>
      </w:r>
      <w:r w:rsidR="009565CA">
        <w:fldChar w:fldCharType="end"/>
      </w:r>
      <w:r>
        <w:t xml:space="preserve">; </w:t>
      </w:r>
      <w:r w:rsidRPr="00967E72">
        <w:rPr>
          <w:i/>
          <w:iCs/>
        </w:rPr>
        <w:t>State v. Futrell</w:t>
      </w:r>
      <w:r>
        <w:t>, 112 N.C. App. 651, 659 (1993)</w:t>
      </w:r>
      <w:r w:rsidR="009565CA">
        <w:fldChar w:fldCharType="begin"/>
      </w:r>
      <w:r w:rsidR="009565CA">
        <w:instrText xml:space="preserve"> TA \l "</w:instrText>
      </w:r>
      <w:r w:rsidR="009565CA" w:rsidRPr="00275109">
        <w:rPr>
          <w:i/>
          <w:iCs/>
        </w:rPr>
        <w:instrText>State v. Futrell</w:instrText>
      </w:r>
      <w:r w:rsidR="009565CA" w:rsidRPr="00275109">
        <w:instrText>, 112 N.C. App. 651, 659 (1993)</w:instrText>
      </w:r>
      <w:r w:rsidR="009565CA">
        <w:instrText xml:space="preserve">" \s "State v. Futrell, 112 N.C. App. 651, 659 (1993)" \c 1 </w:instrText>
      </w:r>
      <w:r w:rsidR="009565CA">
        <w:fldChar w:fldCharType="end"/>
      </w:r>
      <w:r>
        <w:t xml:space="preserve"> (“The methodology of DNA testing is complex and the terminology difficult.”); </w:t>
      </w:r>
      <w:bookmarkStart w:id="12" w:name="_Hlk119595964"/>
      <w:r w:rsidRPr="00B35D0B">
        <w:rPr>
          <w:i/>
          <w:iCs/>
        </w:rPr>
        <w:t>State v. Phillips</w:t>
      </w:r>
      <w:r>
        <w:t>, 844 S.E.2d 651, 661 (</w:t>
      </w:r>
      <w:r w:rsidR="00994A41">
        <w:t xml:space="preserve">S.C. </w:t>
      </w:r>
      <w:r>
        <w:t>2020)</w:t>
      </w:r>
      <w:r w:rsidR="009565CA">
        <w:fldChar w:fldCharType="begin"/>
      </w:r>
      <w:r w:rsidR="009565CA">
        <w:instrText xml:space="preserve"> TA \l "</w:instrText>
      </w:r>
      <w:r w:rsidR="009565CA" w:rsidRPr="00275109">
        <w:rPr>
          <w:i/>
          <w:iCs/>
        </w:rPr>
        <w:instrText>State v. Phillips</w:instrText>
      </w:r>
      <w:r w:rsidR="009565CA" w:rsidRPr="00275109">
        <w:instrText>, 844 S.E.2d 651, 661 (S.C. 2020)</w:instrText>
      </w:r>
      <w:r w:rsidR="009565CA">
        <w:instrText xml:space="preserve">" \s "State v. Phillips, 844 S.E.2d 651, 661 (S.C. 2020)" \c 1 </w:instrText>
      </w:r>
      <w:r w:rsidR="009565CA">
        <w:fldChar w:fldCharType="end"/>
      </w:r>
      <w:r>
        <w:t xml:space="preserve"> </w:t>
      </w:r>
      <w:bookmarkEnd w:id="12"/>
      <w:r>
        <w:t>(“DNA—particularly touch DNA—is a complicated scientific field of study that requires detailed explanation.”).  Thus, as a complex field of study, foundation for such testimony cannot be laid “with a few questions</w:t>
      </w:r>
      <w:r w:rsidR="007D0607">
        <w:t>”</w:t>
      </w:r>
      <w:r>
        <w:t xml:space="preserve"> in the </w:t>
      </w:r>
      <w:r w:rsidR="007D0607">
        <w:t>jury’s presence</w:t>
      </w:r>
      <w:r>
        <w:t xml:space="preserve">.  </w:t>
      </w:r>
      <w:r>
        <w:rPr>
          <w:i/>
          <w:iCs/>
        </w:rPr>
        <w:t xml:space="preserve">See </w:t>
      </w:r>
      <w:r w:rsidRPr="00A641B6">
        <w:rPr>
          <w:i/>
          <w:iCs/>
        </w:rPr>
        <w:t>McGrady</w:t>
      </w:r>
      <w:r>
        <w:t xml:space="preserve">, 368 N.C. at 893.  </w:t>
      </w:r>
    </w:p>
    <w:p w14:paraId="76D065B8" w14:textId="2B537D72" w:rsidR="004B6DB7" w:rsidRDefault="004B6DB7" w:rsidP="0052438C">
      <w:pPr>
        <w:spacing w:line="480" w:lineRule="auto"/>
        <w:ind w:firstLine="720"/>
        <w:jc w:val="both"/>
      </w:pPr>
      <w:r>
        <w:t>Here, d</w:t>
      </w:r>
      <w:r w:rsidR="005C1677">
        <w:t xml:space="preserve">efense counsel objected to the expert testifying </w:t>
      </w:r>
      <w:r w:rsidR="00C36AF2">
        <w:t>about the</w:t>
      </w:r>
      <w:r w:rsidR="005C1677">
        <w:t xml:space="preserve"> results of a comparison between the partial DNA found at the scene and Mr. Rodgers’s DNA.  (T p 591</w:t>
      </w:r>
      <w:proofErr w:type="gramStart"/>
      <w:r w:rsidR="005C1677">
        <w:t>)  Trial</w:t>
      </w:r>
      <w:proofErr w:type="gramEnd"/>
      <w:r w:rsidR="005C1677">
        <w:t xml:space="preserve"> counsel asked for </w:t>
      </w:r>
      <w:proofErr w:type="spellStart"/>
      <w:r w:rsidR="005C1677">
        <w:t>voir</w:t>
      </w:r>
      <w:proofErr w:type="spellEnd"/>
      <w:r w:rsidR="005C1677">
        <w:t xml:space="preserve"> dire.  </w:t>
      </w:r>
      <w:r w:rsidR="008327A1">
        <w:t>The trial court</w:t>
      </w:r>
      <w:r w:rsidR="00714883">
        <w:t xml:space="preserve"> did not grant the request.  Instead, it</w:t>
      </w:r>
      <w:r w:rsidR="008327A1">
        <w:t xml:space="preserve"> </w:t>
      </w:r>
      <w:r w:rsidR="005C1677">
        <w:t xml:space="preserve">stated, “Let me ask a couple of </w:t>
      </w:r>
      <w:proofErr w:type="gramStart"/>
      <w:r w:rsidR="005C1677">
        <w:t>questions</w:t>
      </w:r>
      <w:r w:rsidR="00714883">
        <w:t>[</w:t>
      </w:r>
      <w:proofErr w:type="gramEnd"/>
      <w:r w:rsidR="00714883">
        <w:t>,]</w:t>
      </w:r>
      <w:r w:rsidR="005C1677">
        <w:t>”</w:t>
      </w:r>
      <w:r w:rsidR="00714883">
        <w:t xml:space="preserve"> </w:t>
      </w:r>
      <w:r w:rsidR="005C1677">
        <w:t xml:space="preserve"> engaged in </w:t>
      </w:r>
      <w:r w:rsidR="0052438C">
        <w:t>a short</w:t>
      </w:r>
      <w:r w:rsidR="005C1677">
        <w:t xml:space="preserve"> colloquy with Sealy</w:t>
      </w:r>
      <w:r w:rsidR="00E26E89">
        <w:t xml:space="preserve"> in the jury’s presence</w:t>
      </w:r>
      <w:r w:rsidR="00714883">
        <w:t>, and overruled the objection</w:t>
      </w:r>
      <w:r w:rsidR="0052438C">
        <w:t xml:space="preserve">.  (T pp 591-93)  </w:t>
      </w:r>
    </w:p>
    <w:p w14:paraId="17A5AEC7" w14:textId="621FE686" w:rsidR="00A41812" w:rsidRDefault="009A36E3" w:rsidP="00285776">
      <w:pPr>
        <w:spacing w:line="480" w:lineRule="auto"/>
        <w:ind w:firstLine="720"/>
        <w:jc w:val="both"/>
      </w:pPr>
      <w:r>
        <w:t>Because</w:t>
      </w:r>
      <w:r w:rsidR="00BA0EC4">
        <w:t xml:space="preserve"> of the complexity of</w:t>
      </w:r>
      <w:r>
        <w:t xml:space="preserve"> the touch DNA evidence, the trial court should have </w:t>
      </w:r>
      <w:r w:rsidR="00CB2C27">
        <w:t>granted</w:t>
      </w:r>
      <w:r>
        <w:t xml:space="preserve"> defense counsel’s request to question Sealy outside the jury’s presence.  </w:t>
      </w:r>
      <w:r w:rsidR="00F87B06" w:rsidRPr="00F87B06">
        <w:rPr>
          <w:i/>
          <w:iCs/>
        </w:rPr>
        <w:t>See</w:t>
      </w:r>
      <w:r w:rsidR="00F87B06">
        <w:t xml:space="preserve"> </w:t>
      </w:r>
      <w:r w:rsidR="00052F71" w:rsidRPr="00A641B6">
        <w:rPr>
          <w:i/>
          <w:iCs/>
        </w:rPr>
        <w:t>McGrady</w:t>
      </w:r>
      <w:r w:rsidR="00052F71">
        <w:t>, 368 N.C. at 893</w:t>
      </w:r>
      <w:r w:rsidR="004C7CCA">
        <w:t xml:space="preserve"> (</w:t>
      </w:r>
      <w:r w:rsidR="004D2317">
        <w:t xml:space="preserve">describing appropriate procedures for </w:t>
      </w:r>
      <w:r w:rsidR="0025779D">
        <w:t>evaluating admissibility of expert opinion testimony</w:t>
      </w:r>
      <w:r w:rsidR="004C7CCA">
        <w:t>)</w:t>
      </w:r>
      <w:r w:rsidR="00DB0494">
        <w:t xml:space="preserve">; </w:t>
      </w:r>
      <w:r w:rsidR="000F280F" w:rsidRPr="00CE2185">
        <w:rPr>
          <w:i/>
          <w:iCs/>
        </w:rPr>
        <w:t>Holguin</w:t>
      </w:r>
      <w:r w:rsidR="000F280F">
        <w:t>, 2022 U.S. App. LEXIS 28477, at *10</w:t>
      </w:r>
      <w:r w:rsidR="009565CA">
        <w:fldChar w:fldCharType="begin"/>
      </w:r>
      <w:r w:rsidR="009565CA">
        <w:instrText xml:space="preserve"> TA \l "</w:instrText>
      </w:r>
      <w:r w:rsidR="009565CA" w:rsidRPr="00275109">
        <w:rPr>
          <w:i/>
          <w:iCs/>
        </w:rPr>
        <w:instrText>Holguin</w:instrText>
      </w:r>
      <w:r w:rsidR="009565CA" w:rsidRPr="00275109">
        <w:instrText>, 2022 U.S. App. LEXIS 28477, at *10</w:instrText>
      </w:r>
      <w:r w:rsidR="009565CA">
        <w:instrText xml:space="preserve">" \s "Holguin, 2022 U.S. App. LEXIS 28477, at *10" \c 1 </w:instrText>
      </w:r>
      <w:r w:rsidR="009565CA">
        <w:fldChar w:fldCharType="end"/>
      </w:r>
      <w:r w:rsidR="000F280F">
        <w:t xml:space="preserve">; </w:t>
      </w:r>
      <w:r w:rsidR="000F280F" w:rsidRPr="00112C62">
        <w:rPr>
          <w:i/>
          <w:iCs/>
        </w:rPr>
        <w:t>Sepulveda</w:t>
      </w:r>
      <w:r w:rsidR="000F280F">
        <w:t>, 15 F.3d at 1184 n.15</w:t>
      </w:r>
      <w:r w:rsidR="009565CA">
        <w:fldChar w:fldCharType="begin"/>
      </w:r>
      <w:r w:rsidR="009565CA">
        <w:instrText xml:space="preserve"> TA \l "</w:instrText>
      </w:r>
      <w:r w:rsidR="009565CA" w:rsidRPr="00275109">
        <w:rPr>
          <w:i/>
          <w:iCs/>
        </w:rPr>
        <w:instrText>Sepulveda</w:instrText>
      </w:r>
      <w:r w:rsidR="009565CA" w:rsidRPr="00275109">
        <w:instrText>, 15 F.3d at 1184 n.15</w:instrText>
      </w:r>
      <w:r w:rsidR="009565CA">
        <w:instrText xml:space="preserve">" \s "Sepulveda, 15 F.3d at 1184 n.15" \c 1 </w:instrText>
      </w:r>
      <w:r w:rsidR="009565CA">
        <w:fldChar w:fldCharType="end"/>
      </w:r>
      <w:r w:rsidR="000F280F">
        <w:t xml:space="preserve">.  </w:t>
      </w:r>
      <w:r>
        <w:t xml:space="preserve">  </w:t>
      </w:r>
    </w:p>
    <w:p w14:paraId="3CE2089C" w14:textId="1DA5632C" w:rsidR="00602FF9" w:rsidRDefault="002929A9" w:rsidP="00E8169A">
      <w:pPr>
        <w:spacing w:line="480" w:lineRule="auto"/>
        <w:ind w:firstLine="720"/>
        <w:jc w:val="both"/>
      </w:pPr>
      <w:r>
        <w:t>Cases involving challenges to eyewitness identification testimony are instructive here.  Both DNA and eyewitness identification evidence are used to identify a defendant.  Juries give both types of evidence extraordinary weight, thus increasing the importance of careful preliminary procedures to ensure the reliability of the evidence the jury hears.</w:t>
      </w:r>
      <w:r w:rsidRPr="002929A9">
        <w:rPr>
          <w:rStyle w:val="FootnoteReference"/>
        </w:rPr>
        <w:t xml:space="preserve"> </w:t>
      </w:r>
      <w:r>
        <w:rPr>
          <w:rStyle w:val="FootnoteReference"/>
        </w:rPr>
        <w:footnoteReference w:id="5"/>
      </w:r>
      <w:r>
        <w:t xml:space="preserve">  </w:t>
      </w:r>
    </w:p>
    <w:p w14:paraId="0371AC96" w14:textId="31B8A56F" w:rsidR="00362885" w:rsidRDefault="00602FF9" w:rsidP="002929A9">
      <w:pPr>
        <w:spacing w:line="480" w:lineRule="auto"/>
        <w:ind w:firstLine="720"/>
        <w:jc w:val="both"/>
      </w:pPr>
      <w:r>
        <w:t>Indeed, o</w:t>
      </w:r>
      <w:r w:rsidR="008D7550">
        <w:t>ur courts favor</w:t>
      </w:r>
      <w:r w:rsidR="00077A75">
        <w:t xml:space="preserve"> </w:t>
      </w:r>
      <w:proofErr w:type="spellStart"/>
      <w:r w:rsidR="008D7550">
        <w:t>voir</w:t>
      </w:r>
      <w:proofErr w:type="spellEnd"/>
      <w:r w:rsidR="008D7550">
        <w:t xml:space="preserve"> dire hearings when </w:t>
      </w:r>
      <w:r w:rsidR="00A41812">
        <w:t xml:space="preserve">defendants challenge </w:t>
      </w:r>
      <w:r w:rsidR="008D7550">
        <w:t>identification testimony</w:t>
      </w:r>
      <w:r w:rsidR="00A41812">
        <w:t xml:space="preserve"> </w:t>
      </w:r>
      <w:r w:rsidR="008D7550">
        <w:t xml:space="preserve">based on potentially suggestive out-of-court identification procedures.  </w:t>
      </w:r>
      <w:r w:rsidR="008D7550" w:rsidRPr="008D7550">
        <w:rPr>
          <w:i/>
          <w:iCs/>
        </w:rPr>
        <w:t xml:space="preserve">See </w:t>
      </w:r>
      <w:r w:rsidR="002929A9" w:rsidRPr="00D627C5">
        <w:rPr>
          <w:i/>
          <w:iCs/>
        </w:rPr>
        <w:t>State v. Smith</w:t>
      </w:r>
      <w:r w:rsidR="002929A9">
        <w:t>, 134 N.C. App. 123, 129 (1999)</w:t>
      </w:r>
      <w:r w:rsidR="009565CA">
        <w:fldChar w:fldCharType="begin"/>
      </w:r>
      <w:r w:rsidR="009565CA">
        <w:instrText xml:space="preserve"> TA \l "</w:instrText>
      </w:r>
      <w:r w:rsidR="009565CA" w:rsidRPr="00275109">
        <w:rPr>
          <w:i/>
          <w:iCs/>
        </w:rPr>
        <w:instrText>State v. Smith</w:instrText>
      </w:r>
      <w:r w:rsidR="009565CA" w:rsidRPr="00275109">
        <w:instrText>, 134 N.C. App. 123, 129 (1999)</w:instrText>
      </w:r>
      <w:r w:rsidR="009565CA">
        <w:instrText xml:space="preserve">" \s "State v. Smith, 134 N.C. App. 123, 129 (1999)" \c 1 </w:instrText>
      </w:r>
      <w:r w:rsidR="009565CA">
        <w:fldChar w:fldCharType="end"/>
      </w:r>
      <w:r w:rsidR="002929A9">
        <w:t xml:space="preserve"> (the trial court erred by failing to conduct a </w:t>
      </w:r>
      <w:proofErr w:type="spellStart"/>
      <w:r w:rsidR="002929A9" w:rsidRPr="0044762D">
        <w:t>voir</w:t>
      </w:r>
      <w:proofErr w:type="spellEnd"/>
      <w:r w:rsidR="002929A9" w:rsidRPr="0044762D">
        <w:t xml:space="preserve"> dire</w:t>
      </w:r>
      <w:r w:rsidR="002929A9">
        <w:t xml:space="preserve"> hearing to determine the admissibility of the officer’s identification evidence); </w:t>
      </w:r>
      <w:r w:rsidR="008D7550" w:rsidRPr="008D7550">
        <w:rPr>
          <w:i/>
          <w:iCs/>
        </w:rPr>
        <w:t>State v. Waddell</w:t>
      </w:r>
      <w:r w:rsidR="008D7550">
        <w:t>, 289 N.C. 19, 30 (1975)</w:t>
      </w:r>
      <w:r w:rsidR="009565CA">
        <w:fldChar w:fldCharType="begin"/>
      </w:r>
      <w:r w:rsidR="009565CA">
        <w:instrText xml:space="preserve"> TA \l "</w:instrText>
      </w:r>
      <w:r w:rsidR="009565CA" w:rsidRPr="00275109">
        <w:rPr>
          <w:i/>
          <w:iCs/>
        </w:rPr>
        <w:instrText>State v. Waddell</w:instrText>
      </w:r>
      <w:r w:rsidR="009565CA" w:rsidRPr="00275109">
        <w:instrText>, 289 N.C. 19, 30 (1975)</w:instrText>
      </w:r>
      <w:r w:rsidR="009565CA">
        <w:instrText xml:space="preserve">" \s "State v. Waddell, 289 N.C. 19, 30 (1975)" \c 1 </w:instrText>
      </w:r>
      <w:r w:rsidR="009565CA">
        <w:fldChar w:fldCharType="end"/>
      </w:r>
      <w:r w:rsidR="008D7550">
        <w:t xml:space="preserve"> (“</w:t>
      </w:r>
      <w:r w:rsidR="008D7550" w:rsidRPr="008D7550">
        <w:t xml:space="preserve">When the State offers evidence of identification and there is an objection and a request for a </w:t>
      </w:r>
      <w:proofErr w:type="spellStart"/>
      <w:r w:rsidR="008D7550" w:rsidRPr="008D7550">
        <w:t>voir</w:t>
      </w:r>
      <w:proofErr w:type="spellEnd"/>
      <w:r w:rsidR="008D7550" w:rsidRPr="008D7550">
        <w:t xml:space="preserve"> dire hearing, the trial judge should conduct a </w:t>
      </w:r>
      <w:proofErr w:type="spellStart"/>
      <w:r w:rsidR="008D7550" w:rsidRPr="008D7550">
        <w:t>voir</w:t>
      </w:r>
      <w:proofErr w:type="spellEnd"/>
      <w:r w:rsidR="008D7550" w:rsidRPr="008D7550">
        <w:t xml:space="preserve"> dire and hear the evidence from both the defendant and the State, find facts and determine the admissibility of the proffered evidence.</w:t>
      </w:r>
      <w:r w:rsidR="008D7550">
        <w:t>”);</w:t>
      </w:r>
      <w:r w:rsidR="008D7550" w:rsidRPr="008D7550">
        <w:t xml:space="preserve"> </w:t>
      </w:r>
      <w:r w:rsidR="008D7550" w:rsidRPr="008D7550">
        <w:rPr>
          <w:i/>
          <w:iCs/>
        </w:rPr>
        <w:t>State v. Accor</w:t>
      </w:r>
      <w:r w:rsidR="008D7550" w:rsidRPr="008D7550">
        <w:t>, 277 N.C. 65, 79</w:t>
      </w:r>
      <w:r w:rsidR="008D7550">
        <w:t xml:space="preserve"> (1970)</w:t>
      </w:r>
      <w:r w:rsidR="009565CA">
        <w:fldChar w:fldCharType="begin"/>
      </w:r>
      <w:r w:rsidR="009565CA">
        <w:instrText xml:space="preserve"> TA \l "</w:instrText>
      </w:r>
      <w:r w:rsidR="009565CA" w:rsidRPr="00275109">
        <w:rPr>
          <w:i/>
          <w:iCs/>
        </w:rPr>
        <w:instrText>State v. Accor</w:instrText>
      </w:r>
      <w:r w:rsidR="009565CA" w:rsidRPr="00275109">
        <w:instrText>, 277 N.C. 65, 79 (1970)</w:instrText>
      </w:r>
      <w:r w:rsidR="009565CA">
        <w:instrText xml:space="preserve">" \s "State v. Accor, 277 N.C. 65, 79 (1970)" \c 1 </w:instrText>
      </w:r>
      <w:r w:rsidR="009565CA">
        <w:fldChar w:fldCharType="end"/>
      </w:r>
      <w:r w:rsidR="008D7550">
        <w:t xml:space="preserve"> (</w:t>
      </w:r>
      <w:r w:rsidR="00EE47B8">
        <w:t xml:space="preserve">recognizing the need for a </w:t>
      </w:r>
      <w:proofErr w:type="spellStart"/>
      <w:r w:rsidR="00EE47B8">
        <w:t>voir</w:t>
      </w:r>
      <w:proofErr w:type="spellEnd"/>
      <w:r w:rsidR="00EE47B8">
        <w:t xml:space="preserve"> dire hearing where all </w:t>
      </w:r>
      <w:r w:rsidR="006F2D3E">
        <w:t xml:space="preserve">material </w:t>
      </w:r>
      <w:r w:rsidR="00EE47B8">
        <w:t>facts can be elicited and factual questions relevant to the admissibility of the evidence can be answered).</w:t>
      </w:r>
    </w:p>
    <w:p w14:paraId="61E913DB" w14:textId="09801F63" w:rsidR="008D7550" w:rsidRDefault="006F2D3E" w:rsidP="00520F3A">
      <w:pPr>
        <w:spacing w:line="480" w:lineRule="auto"/>
        <w:ind w:firstLine="720"/>
        <w:jc w:val="both"/>
      </w:pPr>
      <w:r>
        <w:t>W</w:t>
      </w:r>
      <w:r w:rsidR="003726D7">
        <w:t>hether</w:t>
      </w:r>
      <w:r>
        <w:t xml:space="preserve"> certain</w:t>
      </w:r>
      <w:r w:rsidR="003726D7">
        <w:t xml:space="preserve"> DNA </w:t>
      </w:r>
      <w:r>
        <w:t xml:space="preserve">opinion </w:t>
      </w:r>
      <w:r w:rsidR="003726D7">
        <w:t xml:space="preserve">testimony </w:t>
      </w:r>
      <w:r w:rsidR="004B4408">
        <w:t>is</w:t>
      </w:r>
      <w:r w:rsidR="003726D7">
        <w:t xml:space="preserve"> reliable is a different </w:t>
      </w:r>
      <w:r w:rsidR="00077A75">
        <w:t>question</w:t>
      </w:r>
      <w:r w:rsidR="003726D7">
        <w:t xml:space="preserve"> from whether an out-of-court identification procedure </w:t>
      </w:r>
      <w:r w:rsidR="004B4408">
        <w:t>was</w:t>
      </w:r>
      <w:r w:rsidR="003726D7">
        <w:t xml:space="preserve"> </w:t>
      </w:r>
      <w:r>
        <w:t xml:space="preserve">suggestive </w:t>
      </w:r>
      <w:r w:rsidR="003726D7">
        <w:t>and</w:t>
      </w:r>
      <w:r>
        <w:t xml:space="preserve"> whether it</w:t>
      </w:r>
      <w:r w:rsidR="003726D7">
        <w:t xml:space="preserve"> tainted </w:t>
      </w:r>
      <w:r>
        <w:t xml:space="preserve">in-court </w:t>
      </w:r>
      <w:r w:rsidR="003726D7">
        <w:t>identification testimony</w:t>
      </w:r>
      <w:r>
        <w:t>.</w:t>
      </w:r>
      <w:r w:rsidR="003726D7">
        <w:t xml:space="preserve"> </w:t>
      </w:r>
      <w:r>
        <w:t xml:space="preserve">However, </w:t>
      </w:r>
      <w:r w:rsidR="003726D7">
        <w:t xml:space="preserve">the two questions </w:t>
      </w:r>
      <w:r w:rsidR="00472363">
        <w:t>address</w:t>
      </w:r>
      <w:r w:rsidR="003726D7">
        <w:t xml:space="preserve"> the same issue: the foundation and admissibility of in-court identification testimony.  DNA evidence is at least as </w:t>
      </w:r>
      <w:r>
        <w:t>persuasive to</w:t>
      </w:r>
      <w:r w:rsidR="003726D7">
        <w:t xml:space="preserve"> a jury as eyewitness testimony.</w:t>
      </w:r>
      <w:r w:rsidR="00520F3A">
        <w:rPr>
          <w:rStyle w:val="FootnoteReference"/>
        </w:rPr>
        <w:footnoteReference w:id="6"/>
      </w:r>
      <w:r w:rsidR="00520F3A">
        <w:t xml:space="preserve">  </w:t>
      </w:r>
      <w:r w:rsidR="000F280F">
        <w:t xml:space="preserve">Here, defense counsel timely objected to Sealy’s DNA identification testimony and asked to </w:t>
      </w:r>
      <w:proofErr w:type="spellStart"/>
      <w:r w:rsidR="000F280F">
        <w:t>voir</w:t>
      </w:r>
      <w:proofErr w:type="spellEnd"/>
      <w:r w:rsidR="000F280F">
        <w:t xml:space="preserve"> dire the witness.  </w:t>
      </w:r>
      <w:r w:rsidR="004B4408">
        <w:t xml:space="preserve">Thus, the trial court should have allowed defense counsel to </w:t>
      </w:r>
      <w:proofErr w:type="spellStart"/>
      <w:r w:rsidR="004B4408">
        <w:t>voir</w:t>
      </w:r>
      <w:proofErr w:type="spellEnd"/>
      <w:r w:rsidR="004B4408">
        <w:t xml:space="preserve"> dire Sealy to elicit the relevant facts and to determine the factual questions regarding the admissibility of her opinion testimony.  </w:t>
      </w:r>
      <w:r w:rsidR="00EE47B8">
        <w:rPr>
          <w:i/>
          <w:iCs/>
        </w:rPr>
        <w:t xml:space="preserve">See </w:t>
      </w:r>
      <w:r w:rsidR="000F280F" w:rsidRPr="008D7550">
        <w:rPr>
          <w:i/>
          <w:iCs/>
        </w:rPr>
        <w:t>State v. Accor</w:t>
      </w:r>
      <w:r w:rsidR="000F280F" w:rsidRPr="008D7550">
        <w:t xml:space="preserve">, 277 N.C. </w:t>
      </w:r>
      <w:r w:rsidR="000F280F">
        <w:t>at</w:t>
      </w:r>
      <w:r w:rsidR="000F280F" w:rsidRPr="008D7550">
        <w:t xml:space="preserve"> 79</w:t>
      </w:r>
      <w:r w:rsidR="009565CA">
        <w:fldChar w:fldCharType="begin"/>
      </w:r>
      <w:r w:rsidR="009565CA">
        <w:instrText xml:space="preserve"> TA \l "</w:instrText>
      </w:r>
      <w:r w:rsidR="009565CA" w:rsidRPr="00275109">
        <w:rPr>
          <w:i/>
          <w:iCs/>
        </w:rPr>
        <w:instrText>State v. Accor</w:instrText>
      </w:r>
      <w:r w:rsidR="009565CA" w:rsidRPr="00275109">
        <w:instrText>, 277 N.C. at 79</w:instrText>
      </w:r>
      <w:r w:rsidR="009565CA">
        <w:instrText xml:space="preserve">" \s "State v. Accor, 277 N.C. at 79" \c 1 </w:instrText>
      </w:r>
      <w:r w:rsidR="009565CA">
        <w:fldChar w:fldCharType="end"/>
      </w:r>
      <w:r w:rsidR="000F280F">
        <w:t>.</w:t>
      </w:r>
    </w:p>
    <w:p w14:paraId="079E2E7C" w14:textId="67BB56E7" w:rsidR="009A251A" w:rsidRDefault="009A36E3" w:rsidP="00285776">
      <w:pPr>
        <w:spacing w:line="480" w:lineRule="auto"/>
        <w:ind w:firstLine="720"/>
        <w:jc w:val="both"/>
      </w:pPr>
      <w:r>
        <w:t xml:space="preserve">By </w:t>
      </w:r>
      <w:r w:rsidR="00A34AD4">
        <w:t>denying</w:t>
      </w:r>
      <w:r>
        <w:t xml:space="preserve"> </w:t>
      </w:r>
      <w:proofErr w:type="spellStart"/>
      <w:r>
        <w:t>voir</w:t>
      </w:r>
      <w:proofErr w:type="spellEnd"/>
      <w:r>
        <w:t xml:space="preserve"> dire, the trial court failed to perform its gatekeeping duty</w:t>
      </w:r>
      <w:r w:rsidR="00EE47B8">
        <w:t xml:space="preserve"> in a fully informed and fair manner</w:t>
      </w:r>
      <w:r>
        <w:t>.</w:t>
      </w:r>
      <w:r w:rsidR="00CB2C27">
        <w:t xml:space="preserve">  </w:t>
      </w:r>
      <w:bookmarkStart w:id="14" w:name="_Hlk119418968"/>
      <w:r w:rsidR="001E7611">
        <w:rPr>
          <w:i/>
          <w:iCs/>
        </w:rPr>
        <w:t xml:space="preserve">See </w:t>
      </w:r>
      <w:r w:rsidR="001E7611" w:rsidRPr="008D7550">
        <w:rPr>
          <w:i/>
          <w:iCs/>
        </w:rPr>
        <w:t>Waddell</w:t>
      </w:r>
      <w:r w:rsidR="001E7611">
        <w:t>, 289 N.C. at 30</w:t>
      </w:r>
      <w:r w:rsidR="009565CA">
        <w:fldChar w:fldCharType="begin"/>
      </w:r>
      <w:r w:rsidR="009565CA">
        <w:instrText xml:space="preserve"> TA \l "</w:instrText>
      </w:r>
      <w:r w:rsidR="009565CA" w:rsidRPr="00275109">
        <w:rPr>
          <w:i/>
          <w:iCs/>
        </w:rPr>
        <w:instrText>Waddell</w:instrText>
      </w:r>
      <w:r w:rsidR="009565CA" w:rsidRPr="00275109">
        <w:instrText>, 289 N.C. at 30</w:instrText>
      </w:r>
      <w:r w:rsidR="009565CA">
        <w:instrText xml:space="preserve">" \s "Waddell, 289 N.C. at 30" \c 1 </w:instrText>
      </w:r>
      <w:r w:rsidR="009565CA">
        <w:fldChar w:fldCharType="end"/>
      </w:r>
      <w:r w:rsidR="001E7611">
        <w:t xml:space="preserve">; </w:t>
      </w:r>
      <w:r w:rsidR="00285776" w:rsidRPr="00A641B6">
        <w:rPr>
          <w:i/>
          <w:iCs/>
        </w:rPr>
        <w:t>McGrady</w:t>
      </w:r>
      <w:r w:rsidR="00285776">
        <w:t>, 368 N.C. at 893</w:t>
      </w:r>
      <w:r w:rsidR="009565CA">
        <w:fldChar w:fldCharType="begin"/>
      </w:r>
      <w:r w:rsidR="009565CA">
        <w:instrText xml:space="preserve"> TA \s "McGrady, 368 N.C. at 893" </w:instrText>
      </w:r>
      <w:r w:rsidR="009565CA">
        <w:fldChar w:fldCharType="end"/>
      </w:r>
      <w:r w:rsidR="00285776">
        <w:t>.</w:t>
      </w:r>
      <w:bookmarkEnd w:id="14"/>
      <w:r w:rsidR="00285776">
        <w:t xml:space="preserve">  </w:t>
      </w:r>
      <w:r w:rsidR="006F2D3E">
        <w:t xml:space="preserve">The procedure it chose failed to satisfy </w:t>
      </w:r>
      <w:r w:rsidR="006F2D3E">
        <w:rPr>
          <w:i/>
          <w:iCs/>
        </w:rPr>
        <w:t xml:space="preserve">McGrady’s </w:t>
      </w:r>
      <w:r w:rsidR="006F2D3E">
        <w:t>directive that the procedures chosen</w:t>
      </w:r>
      <w:r w:rsidR="002A6FB8">
        <w:t xml:space="preserve"> should</w:t>
      </w:r>
      <w:r w:rsidR="006F2D3E">
        <w:t xml:space="preserve"> secure fairness in </w:t>
      </w:r>
      <w:r w:rsidR="002A6FB8">
        <w:t xml:space="preserve">administration and further the cause of ascertaining truth and ensuring that proceedings are justly determined. </w:t>
      </w:r>
      <w:r w:rsidR="00994A41">
        <w:t xml:space="preserve"> </w:t>
      </w:r>
      <w:r w:rsidR="002A6FB8">
        <w:rPr>
          <w:i/>
          <w:iCs/>
        </w:rPr>
        <w:t>McGrady</w:t>
      </w:r>
      <w:r w:rsidR="002A6FB8">
        <w:t>, 368 N.C. at 893.  G</w:t>
      </w:r>
      <w:r w:rsidR="006F2D3E">
        <w:t xml:space="preserve">ranting defense counsel an opportunity to </w:t>
      </w:r>
      <w:proofErr w:type="spellStart"/>
      <w:r w:rsidR="006F2D3E">
        <w:t>voir</w:t>
      </w:r>
      <w:proofErr w:type="spellEnd"/>
      <w:r w:rsidR="006F2D3E">
        <w:t xml:space="preserve"> dire </w:t>
      </w:r>
      <w:r w:rsidR="006F2D3E" w:rsidRPr="00994A41">
        <w:t>Sealy</w:t>
      </w:r>
      <w:r w:rsidR="006F2D3E">
        <w:rPr>
          <w:i/>
          <w:iCs/>
        </w:rPr>
        <w:t xml:space="preserve"> </w:t>
      </w:r>
      <w:r w:rsidR="006F2D3E">
        <w:t>under the circumstances of this case</w:t>
      </w:r>
      <w:r w:rsidR="002A6FB8">
        <w:t>—</w:t>
      </w:r>
      <w:r w:rsidR="006F2D3E">
        <w:t>which involved a miniscule amount of touch DNA</w:t>
      </w:r>
      <w:r w:rsidR="002A6FB8">
        <w:t>—was necessary to achieve these goals.  T</w:t>
      </w:r>
      <w:r w:rsidR="00D627C5">
        <w:t xml:space="preserve">he trial court </w:t>
      </w:r>
      <w:r w:rsidR="002A6FB8">
        <w:t>erred</w:t>
      </w:r>
      <w:r w:rsidR="00D627C5">
        <w:t xml:space="preserve"> when it </w:t>
      </w:r>
      <w:r w:rsidR="002A6FB8">
        <w:t xml:space="preserve">admitted Sealy’s testimony without allowing defense counsel the opportunity to </w:t>
      </w:r>
      <w:proofErr w:type="spellStart"/>
      <w:r w:rsidR="002A6FB8">
        <w:t>voir</w:t>
      </w:r>
      <w:proofErr w:type="spellEnd"/>
      <w:r w:rsidR="002A6FB8">
        <w:t xml:space="preserve"> dire her to challenge the reliability of her opinion</w:t>
      </w:r>
      <w:r w:rsidR="00D627C5">
        <w:t xml:space="preserve">.   </w:t>
      </w:r>
    </w:p>
    <w:p w14:paraId="3C493256" w14:textId="5AB2F589" w:rsidR="00155FEA" w:rsidRPr="00801943" w:rsidRDefault="00155FEA" w:rsidP="002929A9">
      <w:pPr>
        <w:pStyle w:val="Heading4"/>
        <w:numPr>
          <w:ilvl w:val="0"/>
          <w:numId w:val="26"/>
        </w:numPr>
        <w:ind w:left="720" w:hanging="360"/>
      </w:pPr>
      <w:r w:rsidRPr="00801943">
        <w:t>Denial of the Offer of Proof</w:t>
      </w:r>
    </w:p>
    <w:p w14:paraId="1E828155" w14:textId="77777777" w:rsidR="00155FEA" w:rsidRPr="00155FEA" w:rsidRDefault="00155FEA" w:rsidP="00155FEA"/>
    <w:p w14:paraId="7812E5AA" w14:textId="17950C8A" w:rsidR="00116FAA" w:rsidRDefault="001E7611" w:rsidP="00526212">
      <w:pPr>
        <w:spacing w:line="480" w:lineRule="auto"/>
        <w:ind w:firstLine="720"/>
        <w:jc w:val="both"/>
      </w:pPr>
      <w:r>
        <w:t>T</w:t>
      </w:r>
      <w:r w:rsidR="009A251A">
        <w:t xml:space="preserve">he trial court </w:t>
      </w:r>
      <w:r w:rsidR="00472363">
        <w:t>abused its discretion</w:t>
      </w:r>
      <w:r w:rsidR="009A251A">
        <w:t xml:space="preserve"> by not allowing defense counsel to make an offer of proof as to what the </w:t>
      </w:r>
      <w:proofErr w:type="spellStart"/>
      <w:r w:rsidR="009A251A">
        <w:t>voir</w:t>
      </w:r>
      <w:proofErr w:type="spellEnd"/>
      <w:r w:rsidR="009A251A">
        <w:t xml:space="preserve"> dire examination might elicit from Sealy.  </w:t>
      </w:r>
      <w:r w:rsidR="009A251A" w:rsidRPr="009A251A">
        <w:rPr>
          <w:i/>
          <w:iCs/>
        </w:rPr>
        <w:t>See</w:t>
      </w:r>
      <w:r w:rsidR="009A251A">
        <w:t xml:space="preserve"> </w:t>
      </w:r>
      <w:r w:rsidR="004D77D8" w:rsidRPr="00CB2C27">
        <w:rPr>
          <w:i/>
          <w:iCs/>
        </w:rPr>
        <w:t>State v. Brown</w:t>
      </w:r>
      <w:r w:rsidR="004D77D8" w:rsidRPr="00CB2C27">
        <w:t>, 116 N.C. App. 445</w:t>
      </w:r>
      <w:r w:rsidR="00C701C0">
        <w:t xml:space="preserve">, </w:t>
      </w:r>
      <w:r w:rsidR="004978D7">
        <w:t xml:space="preserve">447 </w:t>
      </w:r>
      <w:r w:rsidR="004D77D8" w:rsidRPr="00CB2C27">
        <w:t>(1994)</w:t>
      </w:r>
      <w:r w:rsidR="009565CA">
        <w:fldChar w:fldCharType="begin"/>
      </w:r>
      <w:r w:rsidR="009565CA">
        <w:instrText xml:space="preserve"> TA \l "</w:instrText>
      </w:r>
      <w:r w:rsidR="009565CA" w:rsidRPr="00275109">
        <w:rPr>
          <w:i/>
          <w:iCs/>
        </w:rPr>
        <w:instrText>State v. Brown</w:instrText>
      </w:r>
      <w:r w:rsidR="009565CA" w:rsidRPr="00275109">
        <w:instrText>, 116 N.C. App. 445, 447 (1994)</w:instrText>
      </w:r>
      <w:r w:rsidR="009565CA">
        <w:instrText xml:space="preserve">" \s "State v. Brown, 116 N.C. App. 445, 447 (1994)" \c 1 </w:instrText>
      </w:r>
      <w:r w:rsidR="009565CA">
        <w:fldChar w:fldCharType="end"/>
      </w:r>
      <w:r w:rsidR="006B164C">
        <w:t xml:space="preserve">. </w:t>
      </w:r>
      <w:r w:rsidR="004D77D8" w:rsidRPr="00CB2C27">
        <w:t xml:space="preserve"> </w:t>
      </w:r>
      <w:r w:rsidR="009A251A">
        <w:t xml:space="preserve">In </w:t>
      </w:r>
      <w:r w:rsidR="009A251A" w:rsidRPr="00D82048">
        <w:rPr>
          <w:i/>
          <w:iCs/>
        </w:rPr>
        <w:t>Brown</w:t>
      </w:r>
      <w:r w:rsidR="009A251A">
        <w:t>, the trial court denied the defendant’s attempts to call a witness to testify</w:t>
      </w:r>
      <w:r w:rsidR="00534A2B">
        <w:t xml:space="preserve"> and </w:t>
      </w:r>
      <w:r w:rsidR="009A251A">
        <w:t xml:space="preserve">did not allow the defendant to make an offer of proof as to what the witness’s testimony would be.  </w:t>
      </w:r>
      <w:r w:rsidR="009A251A" w:rsidRPr="00D82048">
        <w:rPr>
          <w:i/>
          <w:iCs/>
        </w:rPr>
        <w:t>Id.</w:t>
      </w:r>
      <w:r w:rsidR="009A251A">
        <w:t xml:space="preserve">  This Court held that </w:t>
      </w:r>
      <w:r w:rsidR="00D82048">
        <w:t xml:space="preserve">the trial court erred in denying the offer of proof because trial counsel was prevented from making a sufficient record.  </w:t>
      </w:r>
      <w:r w:rsidR="00D82048" w:rsidRPr="00285776">
        <w:rPr>
          <w:i/>
          <w:iCs/>
        </w:rPr>
        <w:t>Id.</w:t>
      </w:r>
      <w:r w:rsidR="00D82048">
        <w:t xml:space="preserve"> at 447.  The </w:t>
      </w:r>
      <w:r w:rsidR="00D82048" w:rsidRPr="00D82048">
        <w:rPr>
          <w:i/>
          <w:iCs/>
        </w:rPr>
        <w:t>Brown</w:t>
      </w:r>
      <w:r w:rsidR="00D82048">
        <w:t xml:space="preserve"> Court reasoned: </w:t>
      </w:r>
      <w:proofErr w:type="gramStart"/>
      <w:r w:rsidR="00D82048">
        <w:t>“</w:t>
      </w:r>
      <w:r w:rsidR="00D5470B">
        <w:t xml:space="preserve"> ‘</w:t>
      </w:r>
      <w:proofErr w:type="gramEnd"/>
      <w:r w:rsidR="00D82048">
        <w:t>A judge should be loath to deny an attorney [the] right to have the record show the answer a witness would have made</w:t>
      </w:r>
      <w:r w:rsidR="00D5470B">
        <w:t xml:space="preserve">’ </w:t>
      </w:r>
      <w:r w:rsidR="00D82048">
        <w:t xml:space="preserve">” because </w:t>
      </w:r>
      <w:r w:rsidR="00472363">
        <w:t>our</w:t>
      </w:r>
      <w:r w:rsidR="00D82048">
        <w:t xml:space="preserve"> appellate courts may not concur in the judge’s ruling</w:t>
      </w:r>
      <w:r>
        <w:t>.</w:t>
      </w:r>
      <w:r w:rsidR="00D82048">
        <w:t xml:space="preserve"> </w:t>
      </w:r>
      <w:r w:rsidR="00D82048" w:rsidRPr="00D82048">
        <w:rPr>
          <w:i/>
          <w:iCs/>
        </w:rPr>
        <w:t>Id.</w:t>
      </w:r>
      <w:r w:rsidR="00D82048">
        <w:t xml:space="preserve"> </w:t>
      </w:r>
      <w:r w:rsidR="00D5470B">
        <w:t xml:space="preserve">(quoting </w:t>
      </w:r>
      <w:r w:rsidR="00D5470B" w:rsidRPr="00D5470B">
        <w:rPr>
          <w:i/>
          <w:iCs/>
        </w:rPr>
        <w:t>State v. Chapman</w:t>
      </w:r>
      <w:r w:rsidR="00D5470B">
        <w:t>, 294 N.C. 407, 415 (1978)</w:t>
      </w:r>
      <w:r w:rsidR="009565CA">
        <w:fldChar w:fldCharType="begin"/>
      </w:r>
      <w:r w:rsidR="009565CA">
        <w:instrText xml:space="preserve"> TA \l "</w:instrText>
      </w:r>
      <w:r w:rsidR="009565CA" w:rsidRPr="00275109">
        <w:rPr>
          <w:i/>
          <w:iCs/>
        </w:rPr>
        <w:instrText>State v. Chapman</w:instrText>
      </w:r>
      <w:r w:rsidR="009565CA" w:rsidRPr="00275109">
        <w:instrText>, 294 N.C. 407, 415 (1978)</w:instrText>
      </w:r>
      <w:r w:rsidR="009565CA">
        <w:instrText xml:space="preserve">" \s "State v. Chapman, 294 N.C. 407, 415 (1978)" \c 1 </w:instrText>
      </w:r>
      <w:r w:rsidR="009565CA">
        <w:fldChar w:fldCharType="end"/>
      </w:r>
      <w:r w:rsidR="00D5470B">
        <w:t xml:space="preserve">). </w:t>
      </w:r>
      <w:r w:rsidR="00D82048">
        <w:t xml:space="preserve"> </w:t>
      </w:r>
      <w:r w:rsidR="00526212">
        <w:t xml:space="preserve">This Court has also held a trial court abuses its discretion where a defense is substantially inhibited by the trial court denying counsel the opportunity to make a complete record.  </w:t>
      </w:r>
      <w:r w:rsidR="00526212" w:rsidRPr="00526212">
        <w:rPr>
          <w:i/>
          <w:iCs/>
        </w:rPr>
        <w:t>State v. Rudd</w:t>
      </w:r>
      <w:r w:rsidR="00526212">
        <w:t>, 60 N.C. App. 425, 427-28 (1983)</w:t>
      </w:r>
      <w:r w:rsidR="009565CA">
        <w:fldChar w:fldCharType="begin"/>
      </w:r>
      <w:r w:rsidR="009565CA">
        <w:instrText xml:space="preserve"> TA \l "</w:instrText>
      </w:r>
      <w:r w:rsidR="009565CA" w:rsidRPr="00275109">
        <w:rPr>
          <w:i/>
          <w:iCs/>
        </w:rPr>
        <w:instrText>State v. Rudd</w:instrText>
      </w:r>
      <w:r w:rsidR="009565CA" w:rsidRPr="00275109">
        <w:instrText>, 60 N.C. App. 425, 427-28 (1983)</w:instrText>
      </w:r>
      <w:r w:rsidR="009565CA">
        <w:instrText xml:space="preserve">" \s "State v. Rudd, 60 N.C. App. 425, 427-28 (1983)" \c 1 </w:instrText>
      </w:r>
      <w:r w:rsidR="009565CA">
        <w:fldChar w:fldCharType="end"/>
      </w:r>
      <w:r w:rsidR="00DF5E94">
        <w:t xml:space="preserve"> (remanding for a new trial)</w:t>
      </w:r>
      <w:r w:rsidR="00526212">
        <w:t>.</w:t>
      </w:r>
    </w:p>
    <w:p w14:paraId="18854993" w14:textId="3EAA9E79" w:rsidR="00A34AD4" w:rsidRDefault="00596025" w:rsidP="00A34AD4">
      <w:pPr>
        <w:spacing w:line="480" w:lineRule="auto"/>
        <w:ind w:firstLine="720"/>
        <w:jc w:val="both"/>
      </w:pPr>
      <w:r>
        <w:t>After the trial court engaged in its colloquy with Sealy, defense counsel asked to approach the bench.  (T pp 593-94</w:t>
      </w:r>
      <w:proofErr w:type="gramStart"/>
      <w:r>
        <w:t xml:space="preserve">)  </w:t>
      </w:r>
      <w:r w:rsidR="007D0607">
        <w:t>D</w:t>
      </w:r>
      <w:r>
        <w:t>efense</w:t>
      </w:r>
      <w:proofErr w:type="gramEnd"/>
      <w:r>
        <w:t xml:space="preserve"> counsel requested to make an offer of proof as to what her </w:t>
      </w:r>
      <w:proofErr w:type="spellStart"/>
      <w:r>
        <w:t>voir</w:t>
      </w:r>
      <w:proofErr w:type="spellEnd"/>
      <w:r>
        <w:t xml:space="preserve"> dire might elicit from Sealy; the trial court denied that request “in [its] discretion.”  (T pp 668-69</w:t>
      </w:r>
      <w:proofErr w:type="gramStart"/>
      <w:r>
        <w:t xml:space="preserve">)  </w:t>
      </w:r>
      <w:r w:rsidR="00116FAA">
        <w:t>Although</w:t>
      </w:r>
      <w:proofErr w:type="gramEnd"/>
      <w:r w:rsidR="00116FAA">
        <w:t xml:space="preserve"> defense counsel was able to </w:t>
      </w:r>
      <w:r w:rsidR="001E7611">
        <w:t xml:space="preserve">ask </w:t>
      </w:r>
      <w:r w:rsidR="00116FAA">
        <w:t xml:space="preserve">some </w:t>
      </w:r>
      <w:r w:rsidR="001E7611">
        <w:t>reliability questions during</w:t>
      </w:r>
      <w:r w:rsidR="00116FAA">
        <w:t xml:space="preserve"> cross examination, </w:t>
      </w:r>
      <w:r w:rsidR="001E7611">
        <w:t xml:space="preserve">this was not an adequate substitute for </w:t>
      </w:r>
      <w:proofErr w:type="spellStart"/>
      <w:r w:rsidR="001E7611">
        <w:t>voir</w:t>
      </w:r>
      <w:proofErr w:type="spellEnd"/>
      <w:r w:rsidR="001E7611">
        <w:t xml:space="preserve"> dire or an offer of proof</w:t>
      </w:r>
      <w:r w:rsidR="00402D79">
        <w:t>.</w:t>
      </w:r>
      <w:r w:rsidR="007D0607">
        <w:t xml:space="preserve"> </w:t>
      </w:r>
      <w:r w:rsidR="00DF5E94">
        <w:t xml:space="preserve"> </w:t>
      </w:r>
      <w:r w:rsidR="00DF5E94" w:rsidRPr="00D5470B">
        <w:rPr>
          <w:i/>
          <w:iCs/>
        </w:rPr>
        <w:t>Chapman</w:t>
      </w:r>
      <w:r w:rsidR="00DF5E94">
        <w:t>, 294 N.C. at 415</w:t>
      </w:r>
      <w:r w:rsidR="009565CA">
        <w:fldChar w:fldCharType="begin"/>
      </w:r>
      <w:r w:rsidR="009565CA">
        <w:instrText xml:space="preserve"> TA \l "</w:instrText>
      </w:r>
      <w:r w:rsidR="009565CA" w:rsidRPr="00275109">
        <w:rPr>
          <w:i/>
          <w:iCs/>
        </w:rPr>
        <w:instrText>Chapman</w:instrText>
      </w:r>
      <w:r w:rsidR="009565CA" w:rsidRPr="00275109">
        <w:instrText>, 294 N.C. at 415</w:instrText>
      </w:r>
      <w:r w:rsidR="009565CA">
        <w:instrText xml:space="preserve">" \s "Chapman, 294 N.C. at 415" \c 1 </w:instrText>
      </w:r>
      <w:r w:rsidR="009565CA">
        <w:fldChar w:fldCharType="end"/>
      </w:r>
      <w:r w:rsidR="00402D79">
        <w:t>.</w:t>
      </w:r>
      <w:r w:rsidR="00DF5E94" w:rsidRPr="00DF5E94">
        <w:rPr>
          <w:i/>
          <w:iCs/>
        </w:rPr>
        <w:t xml:space="preserve"> </w:t>
      </w:r>
      <w:r w:rsidR="00DF5E94">
        <w:rPr>
          <w:i/>
          <w:iCs/>
        </w:rPr>
        <w:t xml:space="preserve"> </w:t>
      </w:r>
      <w:r w:rsidR="00116FAA">
        <w:t xml:space="preserve"> </w:t>
      </w:r>
      <w:r w:rsidR="00DF5E94">
        <w:t xml:space="preserve">Mr. Rodgers’s defense was substantially inhibited because his counsel was not able to make a complete record of the foundational </w:t>
      </w:r>
      <w:proofErr w:type="gramStart"/>
      <w:r w:rsidR="00DF5E94">
        <w:t>questions</w:t>
      </w:r>
      <w:proofErr w:type="gramEnd"/>
      <w:r w:rsidR="00DF5E94">
        <w:t xml:space="preserve"> she would have asked on </w:t>
      </w:r>
      <w:proofErr w:type="spellStart"/>
      <w:r w:rsidR="00DF5E94">
        <w:t>voir</w:t>
      </w:r>
      <w:proofErr w:type="spellEnd"/>
      <w:r w:rsidR="00DF5E94">
        <w:t xml:space="preserve"> dire.  </w:t>
      </w:r>
      <w:r w:rsidR="00753D99" w:rsidRPr="00753D99">
        <w:rPr>
          <w:i/>
          <w:iCs/>
        </w:rPr>
        <w:t>See</w:t>
      </w:r>
      <w:r w:rsidR="00753D99">
        <w:t xml:space="preserve"> </w:t>
      </w:r>
      <w:r w:rsidR="00DF5E94" w:rsidRPr="00526212">
        <w:rPr>
          <w:i/>
          <w:iCs/>
        </w:rPr>
        <w:t>Rudd</w:t>
      </w:r>
      <w:r w:rsidR="00DF5E94">
        <w:t>, 60 N.C. App. at, 427-28</w:t>
      </w:r>
      <w:r w:rsidR="009565CA">
        <w:fldChar w:fldCharType="begin"/>
      </w:r>
      <w:r w:rsidR="009565CA">
        <w:instrText xml:space="preserve"> TA \l "</w:instrText>
      </w:r>
      <w:r w:rsidR="009565CA" w:rsidRPr="00275109">
        <w:rPr>
          <w:i/>
          <w:iCs/>
        </w:rPr>
        <w:instrText>Rudd</w:instrText>
      </w:r>
      <w:r w:rsidR="009565CA" w:rsidRPr="00275109">
        <w:instrText>, 60 N.C. App. at, 427-28</w:instrText>
      </w:r>
      <w:r w:rsidR="009565CA">
        <w:instrText xml:space="preserve">" \s "Rudd, 60 N.C. App. at, 427-28" \c 1 </w:instrText>
      </w:r>
      <w:r w:rsidR="009565CA">
        <w:fldChar w:fldCharType="end"/>
      </w:r>
      <w:r w:rsidR="00DF5E94">
        <w:t xml:space="preserve">.  </w:t>
      </w:r>
      <w:r w:rsidR="00402D79">
        <w:t>Further, t</w:t>
      </w:r>
      <w:r w:rsidR="00DF5E94">
        <w:t xml:space="preserve">he </w:t>
      </w:r>
      <w:r w:rsidR="00402D79">
        <w:t xml:space="preserve">time </w:t>
      </w:r>
      <w:r w:rsidR="00DF5E94">
        <w:t xml:space="preserve">to </w:t>
      </w:r>
      <w:r w:rsidR="00402D79">
        <w:t>assess</w:t>
      </w:r>
      <w:r w:rsidR="00DF5E94">
        <w:t xml:space="preserve"> the reliability of Sealy’s opinion testimony was before </w:t>
      </w:r>
      <w:r w:rsidR="002C617D">
        <w:t xml:space="preserve">the trial court admitted the testimony.  </w:t>
      </w:r>
      <w:r w:rsidR="002C617D" w:rsidRPr="00A641B6">
        <w:rPr>
          <w:i/>
          <w:iCs/>
        </w:rPr>
        <w:t>McGrady</w:t>
      </w:r>
      <w:r w:rsidR="002C617D">
        <w:t>, 368 N.C. at 893</w:t>
      </w:r>
      <w:r w:rsidR="009565CA">
        <w:fldChar w:fldCharType="begin"/>
      </w:r>
      <w:r w:rsidR="009565CA">
        <w:instrText xml:space="preserve"> TA \s "McGrady, 368 N.C. at 893" </w:instrText>
      </w:r>
      <w:r w:rsidR="009565CA">
        <w:fldChar w:fldCharType="end"/>
      </w:r>
      <w:r w:rsidR="002C617D">
        <w:t xml:space="preserve">.  </w:t>
      </w:r>
    </w:p>
    <w:p w14:paraId="00F0AA4C" w14:textId="2370F372" w:rsidR="00916243" w:rsidRDefault="00E24A6F" w:rsidP="006B164C">
      <w:pPr>
        <w:pStyle w:val="Heading3"/>
        <w:ind w:left="360"/>
        <w:jc w:val="both"/>
      </w:pPr>
      <w:r>
        <w:t>D</w:t>
      </w:r>
      <w:r w:rsidR="004709F6">
        <w:t xml:space="preserve">. </w:t>
      </w:r>
      <w:bookmarkStart w:id="15" w:name="_Hlk119693404"/>
      <w:r w:rsidR="00052F71">
        <w:t>The trial court</w:t>
      </w:r>
      <w:r w:rsidR="00D627C5">
        <w:t xml:space="preserve"> abused its discretion </w:t>
      </w:r>
      <w:r w:rsidR="00614853">
        <w:t>in</w:t>
      </w:r>
      <w:r w:rsidR="00D627C5">
        <w:t xml:space="preserve"> admitting the testimony whe</w:t>
      </w:r>
      <w:r w:rsidR="00052F71">
        <w:t>n</w:t>
      </w:r>
      <w:r w:rsidR="00D627C5">
        <w:t xml:space="preserve"> </w:t>
      </w:r>
      <w:r w:rsidR="0088750B">
        <w:t>Sealy’s testimony did not satisfy Rule 702’s reliability prongs and by not making any reliability findings</w:t>
      </w:r>
      <w:bookmarkEnd w:id="15"/>
      <w:r w:rsidR="00916243">
        <w:t>.</w:t>
      </w:r>
    </w:p>
    <w:p w14:paraId="47C280B8" w14:textId="0BD0E365" w:rsidR="00916243" w:rsidRDefault="00916243" w:rsidP="00916243"/>
    <w:p w14:paraId="65CD34C5" w14:textId="63471EF2" w:rsidR="00AC5493" w:rsidRDefault="00402D79" w:rsidP="00402D79">
      <w:pPr>
        <w:spacing w:line="480" w:lineRule="auto"/>
        <w:ind w:firstLine="720"/>
        <w:jc w:val="both"/>
      </w:pPr>
      <w:r>
        <w:t xml:space="preserve">Even if this Court concludes the trial court did not </w:t>
      </w:r>
      <w:r w:rsidR="002A6FB8">
        <w:t xml:space="preserve">err by admitting Sealy’s testimony without allowing </w:t>
      </w:r>
      <w:proofErr w:type="spellStart"/>
      <w:r>
        <w:t>voir</w:t>
      </w:r>
      <w:proofErr w:type="spellEnd"/>
      <w:r>
        <w:t xml:space="preserve"> dire </w:t>
      </w:r>
      <w:r w:rsidR="002A6FB8">
        <w:t>or an</w:t>
      </w:r>
      <w:r>
        <w:t xml:space="preserve"> offer of proof, </w:t>
      </w:r>
      <w:r w:rsidR="00AC5493">
        <w:t xml:space="preserve">the trial court still </w:t>
      </w:r>
      <w:r w:rsidR="002A6FB8">
        <w:t>erred</w:t>
      </w:r>
      <w:r w:rsidR="00AC5493">
        <w:t xml:space="preserve"> by admitting Sealy’s testimony for three reasons: (</w:t>
      </w:r>
      <w:proofErr w:type="spellStart"/>
      <w:r w:rsidR="00790ED7">
        <w:t>i</w:t>
      </w:r>
      <w:proofErr w:type="spellEnd"/>
      <w:r w:rsidR="00AC5493">
        <w:t xml:space="preserve">) </w:t>
      </w:r>
      <w:r>
        <w:t>the trial court’s cursory questions to Sealy did not establish reliability</w:t>
      </w:r>
      <w:r w:rsidR="00AC5493">
        <w:t>; (</w:t>
      </w:r>
      <w:r w:rsidR="00790ED7">
        <w:t>ii</w:t>
      </w:r>
      <w:r w:rsidR="00AC5493">
        <w:t>) the trial court failed to make findings on reliability;</w:t>
      </w:r>
      <w:r w:rsidR="008B3EFA">
        <w:t xml:space="preserve"> and</w:t>
      </w:r>
      <w:r w:rsidR="00AC5493">
        <w:t xml:space="preserve"> (</w:t>
      </w:r>
      <w:r w:rsidR="00790ED7">
        <w:t>iii</w:t>
      </w:r>
      <w:r w:rsidR="00AC5493">
        <w:t>) Sealy’s testimony demonstrated the unreliability of her opinion</w:t>
      </w:r>
      <w:r w:rsidR="0016675A">
        <w:t>.</w:t>
      </w:r>
      <w:r w:rsidR="00AC5493">
        <w:t xml:space="preserve">  Because Sealy’s </w:t>
      </w:r>
      <w:r w:rsidR="00994A41">
        <w:t xml:space="preserve">unfounded </w:t>
      </w:r>
      <w:r w:rsidR="00AC5493">
        <w:t xml:space="preserve">opinion testimony was the only evidence putting Mr. Rogers at the crime scene, the error prejudiced </w:t>
      </w:r>
      <w:proofErr w:type="gramStart"/>
      <w:r w:rsidR="00AC5493">
        <w:t>him</w:t>
      </w:r>
      <w:proofErr w:type="gramEnd"/>
      <w:r w:rsidR="00AC5493">
        <w:t xml:space="preserve"> and he should receive a new trial.</w:t>
      </w:r>
    </w:p>
    <w:p w14:paraId="3A7B277F" w14:textId="21A6F719" w:rsidR="00686928" w:rsidRDefault="00686928" w:rsidP="00402D79">
      <w:pPr>
        <w:spacing w:line="480" w:lineRule="auto"/>
        <w:ind w:firstLine="720"/>
        <w:jc w:val="both"/>
      </w:pPr>
    </w:p>
    <w:p w14:paraId="1D624A42" w14:textId="5EC78716" w:rsidR="00686928" w:rsidRDefault="00686928" w:rsidP="00402D79">
      <w:pPr>
        <w:spacing w:line="480" w:lineRule="auto"/>
        <w:ind w:firstLine="720"/>
        <w:jc w:val="both"/>
      </w:pPr>
    </w:p>
    <w:p w14:paraId="27965147" w14:textId="77777777" w:rsidR="00686928" w:rsidRDefault="00686928" w:rsidP="00402D79">
      <w:pPr>
        <w:spacing w:line="480" w:lineRule="auto"/>
        <w:ind w:firstLine="720"/>
        <w:jc w:val="both"/>
      </w:pPr>
    </w:p>
    <w:p w14:paraId="5516BF0C" w14:textId="3E005EFC" w:rsidR="00AC5493" w:rsidRDefault="00AC5493" w:rsidP="0016675A">
      <w:pPr>
        <w:pStyle w:val="ListParagraph"/>
        <w:numPr>
          <w:ilvl w:val="0"/>
          <w:numId w:val="28"/>
        </w:numPr>
        <w:spacing w:line="480" w:lineRule="auto"/>
        <w:jc w:val="both"/>
      </w:pPr>
      <w:r w:rsidRPr="0016675A">
        <w:rPr>
          <w:i/>
          <w:iCs/>
        </w:rPr>
        <w:t>The Trial Court’s Questions were Insufficient.</w:t>
      </w:r>
    </w:p>
    <w:p w14:paraId="064D2D4C" w14:textId="4F1C837F" w:rsidR="00402D79" w:rsidRDefault="00402D79" w:rsidP="00402D79">
      <w:pPr>
        <w:spacing w:line="480" w:lineRule="auto"/>
        <w:ind w:firstLine="720"/>
        <w:jc w:val="both"/>
      </w:pPr>
      <w:r>
        <w:t xml:space="preserve">Before overruling defense counsel’s objection to the DNA comparison opinion and denying counsel’s request for </w:t>
      </w:r>
      <w:proofErr w:type="spellStart"/>
      <w:r>
        <w:t>voir</w:t>
      </w:r>
      <w:proofErr w:type="spellEnd"/>
      <w:r>
        <w:t xml:space="preserve"> dire, the trial court engaged in the following colloquy with Sealy:</w:t>
      </w:r>
    </w:p>
    <w:p w14:paraId="59CF5E53" w14:textId="77777777" w:rsidR="00402D79" w:rsidRDefault="00402D79" w:rsidP="00402D79">
      <w:pPr>
        <w:spacing w:line="480" w:lineRule="auto"/>
        <w:ind w:firstLine="720"/>
        <w:jc w:val="both"/>
      </w:pPr>
      <w:r>
        <w:t>THE COURT: You’ve indicated that there are 24 loci.  Is that correct?</w:t>
      </w:r>
    </w:p>
    <w:p w14:paraId="03628C51" w14:textId="77777777" w:rsidR="00402D79" w:rsidRDefault="00402D79" w:rsidP="00402D79">
      <w:pPr>
        <w:spacing w:line="480" w:lineRule="auto"/>
        <w:ind w:firstLine="720"/>
        <w:jc w:val="both"/>
      </w:pPr>
      <w:r>
        <w:t>WITNESS:  That’s correct?</w:t>
      </w:r>
    </w:p>
    <w:p w14:paraId="76ADC40F" w14:textId="77777777" w:rsidR="00402D79" w:rsidRDefault="00402D79" w:rsidP="00402D79">
      <w:pPr>
        <w:spacing w:line="480" w:lineRule="auto"/>
        <w:ind w:firstLine="720"/>
        <w:jc w:val="both"/>
      </w:pPr>
      <w:r>
        <w:t>THE COURT:  On a full DNA sample?</w:t>
      </w:r>
    </w:p>
    <w:p w14:paraId="03475BFA" w14:textId="77777777" w:rsidR="00402D79" w:rsidRDefault="00402D79" w:rsidP="00402D79">
      <w:pPr>
        <w:spacing w:line="480" w:lineRule="auto"/>
        <w:ind w:firstLine="720"/>
        <w:jc w:val="both"/>
      </w:pPr>
      <w:r>
        <w:t>WITNESS:  For a male, that’s correct.</w:t>
      </w:r>
    </w:p>
    <w:p w14:paraId="63A04848" w14:textId="77777777" w:rsidR="00402D79" w:rsidRDefault="00402D79" w:rsidP="00402D79">
      <w:pPr>
        <w:ind w:left="720"/>
        <w:jc w:val="both"/>
      </w:pPr>
      <w:r>
        <w:t>THE COURT:  Okay.  In this instance, how many loci were there on the DNA profile – partial profile taken from underneath the window?</w:t>
      </w:r>
    </w:p>
    <w:p w14:paraId="1701D06C" w14:textId="77777777" w:rsidR="00402D79" w:rsidRDefault="00402D79" w:rsidP="00402D79">
      <w:pPr>
        <w:ind w:left="720"/>
        <w:jc w:val="both"/>
      </w:pPr>
    </w:p>
    <w:p w14:paraId="3BA576AF" w14:textId="77777777" w:rsidR="00402D79" w:rsidRDefault="00402D79" w:rsidP="00402D79">
      <w:pPr>
        <w:spacing w:line="480" w:lineRule="auto"/>
        <w:ind w:firstLine="720"/>
        <w:jc w:val="both"/>
      </w:pPr>
      <w:r>
        <w:t>WITNESS: May I refer to my notes?</w:t>
      </w:r>
    </w:p>
    <w:p w14:paraId="55C6DAEF" w14:textId="77777777" w:rsidR="00402D79" w:rsidRDefault="00402D79" w:rsidP="00402D79">
      <w:pPr>
        <w:spacing w:line="480" w:lineRule="auto"/>
        <w:ind w:firstLine="720"/>
        <w:jc w:val="both"/>
      </w:pPr>
      <w:r>
        <w:t>THE COURT: Yes.</w:t>
      </w:r>
    </w:p>
    <w:p w14:paraId="48C9E7FA" w14:textId="77777777" w:rsidR="00402D79" w:rsidRDefault="00402D79" w:rsidP="00402D79">
      <w:pPr>
        <w:spacing w:line="480" w:lineRule="auto"/>
        <w:ind w:firstLine="720"/>
        <w:jc w:val="both"/>
      </w:pPr>
      <w:r>
        <w:t>WITNESS:  There was information at each location except for three.</w:t>
      </w:r>
    </w:p>
    <w:p w14:paraId="04D543E8" w14:textId="77777777" w:rsidR="00402D79" w:rsidRDefault="00402D79" w:rsidP="00402D79">
      <w:pPr>
        <w:spacing w:line="480" w:lineRule="auto"/>
        <w:ind w:firstLine="720"/>
        <w:jc w:val="both"/>
      </w:pPr>
      <w:r w:rsidRPr="005C1677">
        <w:t xml:space="preserve">THE COURT: </w:t>
      </w:r>
      <w:proofErr w:type="gramStart"/>
      <w:r w:rsidRPr="005C1677">
        <w:t>So</w:t>
      </w:r>
      <w:proofErr w:type="gramEnd"/>
      <w:r w:rsidRPr="005C1677">
        <w:t xml:space="preserve"> 8, or 21 of the 24? </w:t>
      </w:r>
    </w:p>
    <w:p w14:paraId="049AC5D8" w14:textId="77777777" w:rsidR="00402D79" w:rsidRDefault="00402D79" w:rsidP="00402D79">
      <w:pPr>
        <w:spacing w:line="480" w:lineRule="auto"/>
        <w:ind w:firstLine="720"/>
        <w:jc w:val="both"/>
      </w:pPr>
      <w:r w:rsidRPr="005C1677">
        <w:t xml:space="preserve">WITNESS: Correct. </w:t>
      </w:r>
    </w:p>
    <w:p w14:paraId="40A4A98A" w14:textId="77777777" w:rsidR="00402D79" w:rsidRDefault="00402D79" w:rsidP="00402D79">
      <w:pPr>
        <w:ind w:left="720"/>
        <w:jc w:val="both"/>
      </w:pPr>
      <w:r w:rsidRPr="005C1677">
        <w:t xml:space="preserve">THE COURT: Is there a standard for the number of loci that must be present on a partial DNA profile to permit comparison? </w:t>
      </w:r>
    </w:p>
    <w:p w14:paraId="0808E435" w14:textId="77777777" w:rsidR="00402D79" w:rsidRDefault="00402D79" w:rsidP="00402D79">
      <w:pPr>
        <w:ind w:left="720"/>
        <w:jc w:val="both"/>
      </w:pPr>
    </w:p>
    <w:p w14:paraId="58278D42" w14:textId="77777777" w:rsidR="00402D79" w:rsidRDefault="00402D79" w:rsidP="00402D79">
      <w:pPr>
        <w:spacing w:line="480" w:lineRule="auto"/>
        <w:ind w:firstLine="720"/>
        <w:jc w:val="both"/>
      </w:pPr>
      <w:r w:rsidRPr="005C1677">
        <w:t xml:space="preserve">WITNESS: Yes. </w:t>
      </w:r>
    </w:p>
    <w:p w14:paraId="00630C2D" w14:textId="77777777" w:rsidR="00402D79" w:rsidRDefault="00402D79" w:rsidP="00402D79">
      <w:pPr>
        <w:spacing w:line="480" w:lineRule="auto"/>
        <w:ind w:firstLine="720"/>
        <w:jc w:val="both"/>
      </w:pPr>
      <w:r w:rsidRPr="005C1677">
        <w:t>THE COURT: What</w:t>
      </w:r>
      <w:r>
        <w:t>’</w:t>
      </w:r>
      <w:r w:rsidRPr="005C1677">
        <w:t>s that standard?</w:t>
      </w:r>
    </w:p>
    <w:p w14:paraId="72D6BCBD" w14:textId="77777777" w:rsidR="00402D79" w:rsidRDefault="00402D79" w:rsidP="00402D79">
      <w:pPr>
        <w:ind w:left="720"/>
        <w:jc w:val="both"/>
      </w:pPr>
      <w:r w:rsidRPr="005B78AE">
        <w:t>WITNESS: Well, it is when we</w:t>
      </w:r>
      <w:r>
        <w:t>’</w:t>
      </w:r>
      <w:r w:rsidRPr="005B78AE">
        <w:t>re looking at a profile and we</w:t>
      </w:r>
      <w:r>
        <w:t>’</w:t>
      </w:r>
      <w:r w:rsidRPr="005B78AE">
        <w:t xml:space="preserve">re examining the -- for the information </w:t>
      </w:r>
      <w:proofErr w:type="gramStart"/>
      <w:r w:rsidRPr="005B78AE">
        <w:t>to  make</w:t>
      </w:r>
      <w:proofErr w:type="gramEnd"/>
      <w:r w:rsidRPr="005B78AE">
        <w:t xml:space="preserve"> an interpretation, we need at least 7 loci that give us complete information, and of those 7, at least 4 must be complete genotypes as opposed to some information missing as well.</w:t>
      </w:r>
      <w:r>
        <w:t xml:space="preserve">  </w:t>
      </w:r>
      <w:r w:rsidRPr="005B78AE">
        <w:t>And so, when I</w:t>
      </w:r>
      <w:r>
        <w:t>’</w:t>
      </w:r>
      <w:r w:rsidRPr="005B78AE">
        <w:t>m talking about 24, that</w:t>
      </w:r>
      <w:r>
        <w:t>’</w:t>
      </w:r>
      <w:r w:rsidRPr="005B78AE">
        <w:t>s 21 plus the 3, but when we</w:t>
      </w:r>
      <w:r>
        <w:t>’</w:t>
      </w:r>
      <w:r w:rsidRPr="005B78AE">
        <w:t>re talking about a partial profile it</w:t>
      </w:r>
      <w:r>
        <w:t>’</w:t>
      </w:r>
      <w:r w:rsidRPr="005B78AE">
        <w:t xml:space="preserve">s okay to be missing the 3 that are the sex determining. </w:t>
      </w:r>
      <w:r>
        <w:t xml:space="preserve"> </w:t>
      </w:r>
      <w:proofErr w:type="gramStart"/>
      <w:r w:rsidRPr="005B78AE">
        <w:t>So</w:t>
      </w:r>
      <w:proofErr w:type="gramEnd"/>
      <w:r w:rsidRPr="005B78AE">
        <w:t xml:space="preserve"> it</w:t>
      </w:r>
      <w:r>
        <w:t>’</w:t>
      </w:r>
      <w:r w:rsidRPr="005B78AE">
        <w:t>s -- of the 24 it</w:t>
      </w:r>
      <w:r>
        <w:t>’</w:t>
      </w:r>
      <w:r w:rsidRPr="005B78AE">
        <w:t>s really 21 that we</w:t>
      </w:r>
      <w:r>
        <w:t>’</w:t>
      </w:r>
      <w:r w:rsidRPr="005B78AE">
        <w:t xml:space="preserve">re looking at. </w:t>
      </w:r>
      <w:r>
        <w:t xml:space="preserve"> </w:t>
      </w:r>
      <w:r w:rsidRPr="005B78AE">
        <w:t xml:space="preserve">Of those, at least 7 need information, and from those 7, at least 4 need to be </w:t>
      </w:r>
      <w:proofErr w:type="gramStart"/>
      <w:r w:rsidRPr="005B78AE">
        <w:t>absolutely unambiguous</w:t>
      </w:r>
      <w:proofErr w:type="gramEnd"/>
      <w:r w:rsidRPr="005B78AE">
        <w:t xml:space="preserve">. </w:t>
      </w:r>
    </w:p>
    <w:p w14:paraId="331386D0" w14:textId="77777777" w:rsidR="00402D79" w:rsidRDefault="00402D79" w:rsidP="00402D79">
      <w:pPr>
        <w:ind w:left="720"/>
        <w:jc w:val="both"/>
      </w:pPr>
    </w:p>
    <w:p w14:paraId="0F27ADDC" w14:textId="77777777" w:rsidR="00402D79" w:rsidRDefault="00402D79" w:rsidP="00402D79">
      <w:pPr>
        <w:spacing w:line="480" w:lineRule="auto"/>
        <w:ind w:firstLine="720"/>
        <w:jc w:val="both"/>
      </w:pPr>
      <w:r w:rsidRPr="005B78AE">
        <w:t xml:space="preserve">THE COURT: Were the three that are sex determinant present? </w:t>
      </w:r>
    </w:p>
    <w:p w14:paraId="004591AA" w14:textId="77777777" w:rsidR="00402D79" w:rsidRDefault="00402D79" w:rsidP="00402D79">
      <w:pPr>
        <w:spacing w:line="480" w:lineRule="auto"/>
        <w:ind w:firstLine="720"/>
        <w:jc w:val="both"/>
      </w:pPr>
      <w:r w:rsidRPr="005B78AE">
        <w:t xml:space="preserve">WITNESS: May I refer to my notes? </w:t>
      </w:r>
    </w:p>
    <w:p w14:paraId="07F1D7D7" w14:textId="77777777" w:rsidR="00402D79" w:rsidRDefault="00402D79" w:rsidP="00402D79">
      <w:pPr>
        <w:spacing w:line="480" w:lineRule="auto"/>
        <w:ind w:firstLine="720"/>
        <w:jc w:val="both"/>
      </w:pPr>
      <w:r w:rsidRPr="005B78AE">
        <w:t xml:space="preserve">THE COURT: Yes. </w:t>
      </w:r>
    </w:p>
    <w:p w14:paraId="63F2059B" w14:textId="77777777" w:rsidR="00402D79" w:rsidRDefault="00402D79" w:rsidP="00402D79">
      <w:pPr>
        <w:spacing w:line="480" w:lineRule="auto"/>
        <w:ind w:firstLine="720"/>
        <w:jc w:val="both"/>
      </w:pPr>
      <w:r w:rsidRPr="005B78AE">
        <w:t xml:space="preserve">THE COURT: Yes. </w:t>
      </w:r>
    </w:p>
    <w:p w14:paraId="56CE03DC" w14:textId="77777777" w:rsidR="00402D79" w:rsidRDefault="00402D79" w:rsidP="00402D79">
      <w:pPr>
        <w:spacing w:line="480" w:lineRule="auto"/>
        <w:ind w:firstLine="720"/>
        <w:jc w:val="both"/>
      </w:pPr>
      <w:r w:rsidRPr="005B78AE">
        <w:t>(Witness reviews notes.)</w:t>
      </w:r>
    </w:p>
    <w:p w14:paraId="3876E371" w14:textId="77777777" w:rsidR="00402D79" w:rsidRDefault="00402D79" w:rsidP="00402D79">
      <w:pPr>
        <w:spacing w:line="480" w:lineRule="auto"/>
        <w:ind w:firstLine="720"/>
        <w:jc w:val="both"/>
      </w:pPr>
      <w:r w:rsidRPr="005B78AE">
        <w:t xml:space="preserve">WITNESS: Yes. </w:t>
      </w:r>
    </w:p>
    <w:p w14:paraId="44003BB2" w14:textId="77777777" w:rsidR="00402D79" w:rsidRDefault="00402D79" w:rsidP="00402D79">
      <w:pPr>
        <w:ind w:left="720"/>
        <w:jc w:val="both"/>
      </w:pPr>
      <w:r w:rsidRPr="005B78AE">
        <w:t xml:space="preserve">THE COURT: Okay, and what entity sets the standard for how many loci need to be present to permit the comparison of a partial sample? </w:t>
      </w:r>
    </w:p>
    <w:p w14:paraId="57FEE6BE" w14:textId="77777777" w:rsidR="00402D79" w:rsidRDefault="00402D79" w:rsidP="00402D79">
      <w:pPr>
        <w:ind w:firstLine="720"/>
        <w:jc w:val="both"/>
      </w:pPr>
    </w:p>
    <w:p w14:paraId="68E6E103" w14:textId="77777777" w:rsidR="00402D79" w:rsidRDefault="00402D79" w:rsidP="00402D79">
      <w:pPr>
        <w:spacing w:line="480" w:lineRule="auto"/>
        <w:ind w:firstLine="720"/>
        <w:jc w:val="both"/>
      </w:pPr>
      <w:r w:rsidRPr="005B78AE">
        <w:t xml:space="preserve">WITNESS: We would need at least 7. </w:t>
      </w:r>
    </w:p>
    <w:p w14:paraId="7C530FB2" w14:textId="77777777" w:rsidR="00402D79" w:rsidRDefault="00402D79" w:rsidP="00402D79">
      <w:pPr>
        <w:ind w:left="720"/>
        <w:jc w:val="both"/>
      </w:pPr>
      <w:r w:rsidRPr="005B78AE">
        <w:t xml:space="preserve">THE COURT: But what entity established that standard? </w:t>
      </w:r>
      <w:r>
        <w:t xml:space="preserve"> </w:t>
      </w:r>
      <w:r w:rsidRPr="005B78AE">
        <w:t xml:space="preserve">Is that the crime lab? </w:t>
      </w:r>
      <w:r>
        <w:t xml:space="preserve"> </w:t>
      </w:r>
      <w:r w:rsidRPr="005B78AE">
        <w:t xml:space="preserve">The FBI? </w:t>
      </w:r>
      <w:r>
        <w:t xml:space="preserve"> </w:t>
      </w:r>
      <w:r w:rsidRPr="005B78AE">
        <w:t xml:space="preserve">The accrediting entity? </w:t>
      </w:r>
    </w:p>
    <w:p w14:paraId="198E172D" w14:textId="77777777" w:rsidR="00402D79" w:rsidRDefault="00402D79" w:rsidP="00402D79">
      <w:pPr>
        <w:ind w:left="720"/>
        <w:jc w:val="both"/>
      </w:pPr>
    </w:p>
    <w:p w14:paraId="7B1BE865" w14:textId="77777777" w:rsidR="00402D79" w:rsidRDefault="00402D79" w:rsidP="00402D79">
      <w:pPr>
        <w:ind w:left="720"/>
        <w:jc w:val="both"/>
      </w:pPr>
      <w:r w:rsidRPr="005B78AE">
        <w:t>WITNESS: Oh, I see what you</w:t>
      </w:r>
      <w:r>
        <w:t>’</w:t>
      </w:r>
      <w:r w:rsidRPr="005B78AE">
        <w:t xml:space="preserve">re saying. </w:t>
      </w:r>
      <w:r>
        <w:t xml:space="preserve"> </w:t>
      </w:r>
      <w:r w:rsidRPr="005B78AE">
        <w:t xml:space="preserve">Validations are done at the crime lab that we have done using this particular -- these reagents, this process, and so, our technical lead, we have a </w:t>
      </w:r>
      <w:proofErr w:type="gramStart"/>
      <w:r w:rsidRPr="005B78AE">
        <w:t>standard operating procedures</w:t>
      </w:r>
      <w:proofErr w:type="gramEnd"/>
      <w:r w:rsidRPr="005B78AE">
        <w:t xml:space="preserve"> and within that there</w:t>
      </w:r>
      <w:r>
        <w:t>’</w:t>
      </w:r>
      <w:r w:rsidRPr="005B78AE">
        <w:t xml:space="preserve">s interpretation guidelines. </w:t>
      </w:r>
      <w:r>
        <w:t xml:space="preserve"> </w:t>
      </w:r>
      <w:r w:rsidRPr="005B78AE">
        <w:t xml:space="preserve">And we follow those interpretation guidelines </w:t>
      </w:r>
      <w:proofErr w:type="gramStart"/>
      <w:r w:rsidRPr="005B78AE">
        <w:t>in order to</w:t>
      </w:r>
      <w:proofErr w:type="gramEnd"/>
      <w:r w:rsidRPr="005B78AE">
        <w:t xml:space="preserve"> make any type of analysis, and using those interpretation guidelines, I determined that there is enough quantity and quality of data present in order to make a determination interpretation of the single source profile. </w:t>
      </w:r>
    </w:p>
    <w:p w14:paraId="78AF5CBB" w14:textId="77777777" w:rsidR="00402D79" w:rsidRDefault="00402D79" w:rsidP="00402D79">
      <w:pPr>
        <w:ind w:left="720"/>
        <w:jc w:val="both"/>
      </w:pPr>
    </w:p>
    <w:p w14:paraId="7A855D74" w14:textId="77777777" w:rsidR="00402D79" w:rsidRDefault="00402D79" w:rsidP="00402D79">
      <w:pPr>
        <w:ind w:left="720"/>
        <w:jc w:val="both"/>
      </w:pPr>
      <w:r w:rsidRPr="005B78AE">
        <w:t xml:space="preserve">THE COURT: </w:t>
      </w:r>
      <w:r>
        <w:t xml:space="preserve"> </w:t>
      </w:r>
      <w:r w:rsidRPr="005B78AE">
        <w:t>And so that</w:t>
      </w:r>
      <w:r>
        <w:t>’</w:t>
      </w:r>
      <w:r w:rsidRPr="005B78AE">
        <w:t>s the lab</w:t>
      </w:r>
      <w:r>
        <w:t>’</w:t>
      </w:r>
      <w:r w:rsidRPr="005B78AE">
        <w:t>s -- the Charlotte Mecklenburg crime lab</w:t>
      </w:r>
      <w:r>
        <w:t>’</w:t>
      </w:r>
      <w:r w:rsidRPr="005B78AE">
        <w:t xml:space="preserve">s standard? </w:t>
      </w:r>
    </w:p>
    <w:p w14:paraId="695F1E27" w14:textId="77777777" w:rsidR="00402D79" w:rsidRDefault="00402D79" w:rsidP="00402D79">
      <w:pPr>
        <w:ind w:firstLine="720"/>
        <w:jc w:val="both"/>
      </w:pPr>
    </w:p>
    <w:p w14:paraId="0114B77B" w14:textId="77777777" w:rsidR="00402D79" w:rsidRDefault="00402D79" w:rsidP="00402D79">
      <w:pPr>
        <w:ind w:left="720"/>
        <w:jc w:val="both"/>
      </w:pPr>
      <w:r w:rsidRPr="005B78AE">
        <w:t xml:space="preserve">WITNESS: </w:t>
      </w:r>
      <w:r>
        <w:t xml:space="preserve"> </w:t>
      </w:r>
      <w:r w:rsidRPr="005B78AE">
        <w:t xml:space="preserve">Correct, each lab would be different dependent upon on what their thresholds are. </w:t>
      </w:r>
    </w:p>
    <w:p w14:paraId="12CFA016" w14:textId="77777777" w:rsidR="00402D79" w:rsidRDefault="00402D79" w:rsidP="00402D79">
      <w:pPr>
        <w:ind w:left="720"/>
        <w:jc w:val="both"/>
      </w:pPr>
    </w:p>
    <w:p w14:paraId="423D1A86" w14:textId="7130DF5E" w:rsidR="00402D79" w:rsidRDefault="00402D79" w:rsidP="00402D79">
      <w:pPr>
        <w:spacing w:line="480" w:lineRule="auto"/>
        <w:ind w:firstLine="720"/>
        <w:jc w:val="both"/>
      </w:pPr>
      <w:r w:rsidRPr="005B78AE">
        <w:t xml:space="preserve">THE COURT: </w:t>
      </w:r>
      <w:r>
        <w:t xml:space="preserve"> </w:t>
      </w:r>
      <w:r w:rsidRPr="005B78AE">
        <w:t xml:space="preserve">All right. </w:t>
      </w:r>
      <w:r>
        <w:t xml:space="preserve"> </w:t>
      </w:r>
      <w:proofErr w:type="gramStart"/>
      <w:r w:rsidRPr="005B78AE">
        <w:t>In light of</w:t>
      </w:r>
      <w:proofErr w:type="gramEnd"/>
      <w:r w:rsidRPr="005B78AE">
        <w:t xml:space="preserve"> that, overruled. </w:t>
      </w:r>
      <w:r>
        <w:t xml:space="preserve"> </w:t>
      </w:r>
    </w:p>
    <w:p w14:paraId="3D2F644E" w14:textId="77777777" w:rsidR="00402D79" w:rsidRDefault="00402D79" w:rsidP="00402D79">
      <w:pPr>
        <w:spacing w:line="480" w:lineRule="auto"/>
        <w:jc w:val="both"/>
      </w:pPr>
      <w:r>
        <w:t>(T pp 591-93)</w:t>
      </w:r>
    </w:p>
    <w:p w14:paraId="5E27C96B" w14:textId="40E866A8" w:rsidR="00402D79" w:rsidRPr="00EE6F93" w:rsidRDefault="00402D79" w:rsidP="00402D79">
      <w:pPr>
        <w:spacing w:line="480" w:lineRule="auto"/>
        <w:ind w:firstLine="720"/>
        <w:jc w:val="both"/>
      </w:pPr>
      <w:r>
        <w:t xml:space="preserve">The trial court’s questions to Sealy did not serve as an appropriate substitute for defense counsel’s </w:t>
      </w:r>
      <w:proofErr w:type="spellStart"/>
      <w:r>
        <w:t>voir</w:t>
      </w:r>
      <w:proofErr w:type="spellEnd"/>
      <w:r>
        <w:t xml:space="preserve"> dire examination.  </w:t>
      </w:r>
      <w:r w:rsidRPr="006F51F5">
        <w:rPr>
          <w:i/>
          <w:iCs/>
        </w:rPr>
        <w:t>See</w:t>
      </w:r>
      <w:r w:rsidRPr="006F51F5">
        <w:t xml:space="preserve"> </w:t>
      </w:r>
      <w:r w:rsidRPr="006F51F5">
        <w:rPr>
          <w:i/>
          <w:iCs/>
        </w:rPr>
        <w:t>McGrady</w:t>
      </w:r>
      <w:r w:rsidRPr="006F51F5">
        <w:t>, 368 N.C. at 893</w:t>
      </w:r>
      <w:r w:rsidR="009565CA">
        <w:fldChar w:fldCharType="begin"/>
      </w:r>
      <w:r w:rsidR="009565CA">
        <w:instrText xml:space="preserve"> TA \s "McGrady, 368 N.C. at 893" </w:instrText>
      </w:r>
      <w:r w:rsidR="009565CA">
        <w:fldChar w:fldCharType="end"/>
      </w:r>
      <w:r w:rsidRPr="006F51F5">
        <w:t xml:space="preserve">; </w:t>
      </w:r>
      <w:r w:rsidRPr="006F51F5">
        <w:rPr>
          <w:i/>
          <w:iCs/>
        </w:rPr>
        <w:t>Smith</w:t>
      </w:r>
      <w:r w:rsidRPr="006F51F5">
        <w:t>, 134 N.C. App. at 129</w:t>
      </w:r>
      <w:r w:rsidR="009565CA">
        <w:fldChar w:fldCharType="begin"/>
      </w:r>
      <w:r w:rsidR="009565CA">
        <w:instrText xml:space="preserve"> TA \l "</w:instrText>
      </w:r>
      <w:r w:rsidR="009565CA" w:rsidRPr="00275109">
        <w:rPr>
          <w:i/>
          <w:iCs/>
        </w:rPr>
        <w:instrText>Smith</w:instrText>
      </w:r>
      <w:r w:rsidR="009565CA" w:rsidRPr="00275109">
        <w:instrText>, 134 N.C. App. at 129</w:instrText>
      </w:r>
      <w:r w:rsidR="009565CA">
        <w:instrText xml:space="preserve">" \s "Smith, 134 N.C. App. at 129" \c 1 </w:instrText>
      </w:r>
      <w:r w:rsidR="009565CA">
        <w:fldChar w:fldCharType="end"/>
      </w:r>
      <w:r w:rsidRPr="006F51F5">
        <w:t>.</w:t>
      </w:r>
      <w:r>
        <w:t xml:space="preserve">  The trial court’s questions to Sealy boiled down to: (1) how many loci had allele data; and (2) who set the standard for how many loci were required to have data </w:t>
      </w:r>
      <w:proofErr w:type="gramStart"/>
      <w:r>
        <w:t>in order to</w:t>
      </w:r>
      <w:proofErr w:type="gramEnd"/>
      <w:r>
        <w:t xml:space="preserve"> interpret and compare the sample.  </w:t>
      </w:r>
      <w:r w:rsidR="00AC5493">
        <w:t xml:space="preserve">These questions and Sealy’s answers did not address the three prongs required under Rule 702: </w:t>
      </w:r>
      <w:r>
        <w:t xml:space="preserve">The trial court did not ask how much DNA was extracted from the sample, how that tiny amount of DNA would affect the reliability of Sealy’s conclusion, how the police crime lab’s thresholds and internal validation procedures compared to other, independent labs’, or whether Sealy applied the police crime lab’s protocols reliably.  </w:t>
      </w:r>
      <w:r w:rsidR="000D5308">
        <w:t>As discussed</w:t>
      </w:r>
      <w:r>
        <w:t xml:space="preserve"> below, Sealy’s testimony on cross </w:t>
      </w:r>
      <w:r w:rsidR="000D5308">
        <w:t>answered some of these questions in a manner that undermined the reliability of her opinion testimony and highlighted the inadequacy of the trial court’s inquiry</w:t>
      </w:r>
      <w:r>
        <w:t>.</w:t>
      </w:r>
      <w:r w:rsidR="000D5308">
        <w:t xml:space="preserve">  </w:t>
      </w:r>
    </w:p>
    <w:p w14:paraId="57D69EF5" w14:textId="6FF454E1" w:rsidR="00A05DFB" w:rsidRDefault="00A05DFB" w:rsidP="0016675A">
      <w:pPr>
        <w:pStyle w:val="Heading4"/>
        <w:numPr>
          <w:ilvl w:val="0"/>
          <w:numId w:val="28"/>
        </w:numPr>
      </w:pPr>
      <w:r>
        <w:t xml:space="preserve">The trial court </w:t>
      </w:r>
      <w:r w:rsidR="00995C2D">
        <w:t>erred</w:t>
      </w:r>
      <w:r>
        <w:t xml:space="preserve"> by not making reliability findings.</w:t>
      </w:r>
    </w:p>
    <w:p w14:paraId="5F9D0753" w14:textId="77777777" w:rsidR="00A05DFB" w:rsidRDefault="00A05DFB" w:rsidP="00A05DFB">
      <w:pPr>
        <w:ind w:firstLine="720"/>
        <w:jc w:val="both"/>
      </w:pPr>
    </w:p>
    <w:p w14:paraId="262EF1B1" w14:textId="75B66A58" w:rsidR="00A05DFB" w:rsidRDefault="00A05DFB" w:rsidP="00A05DFB">
      <w:pPr>
        <w:spacing w:line="480" w:lineRule="auto"/>
        <w:ind w:firstLine="720"/>
        <w:jc w:val="both"/>
      </w:pPr>
      <w:r>
        <w:t xml:space="preserve">The trial court also abused its discretion in admitting Sealy’s testimony without making reliability findings after trial counsel objected to the testimony on Rule 702 grounds.  </w:t>
      </w:r>
    </w:p>
    <w:p w14:paraId="71FAD469" w14:textId="70DC821F" w:rsidR="00A05DFB" w:rsidRDefault="00A05DFB" w:rsidP="00A05DFB">
      <w:pPr>
        <w:spacing w:line="480" w:lineRule="auto"/>
        <w:ind w:firstLine="720"/>
        <w:jc w:val="both"/>
      </w:pPr>
      <w:r>
        <w:t xml:space="preserve">Although trial courts have wide discretion in making admissibility determinations and on the procedures used to make those determinations, they do not have discretion about </w:t>
      </w:r>
      <w:r w:rsidRPr="001A22F4">
        <w:rPr>
          <w:i/>
          <w:iCs/>
        </w:rPr>
        <w:t>whether</w:t>
      </w:r>
      <w:r>
        <w:t xml:space="preserve"> to make those determinations.  </w:t>
      </w:r>
      <w:r w:rsidRPr="00A641B6">
        <w:rPr>
          <w:i/>
          <w:iCs/>
        </w:rPr>
        <w:t>McGrady</w:t>
      </w:r>
      <w:r>
        <w:t>, 368 N.C. at 893</w:t>
      </w:r>
      <w:r w:rsidR="009565CA">
        <w:fldChar w:fldCharType="begin"/>
      </w:r>
      <w:r w:rsidR="009565CA">
        <w:instrText xml:space="preserve"> TA \s "McGrady, 368 N.C. at 893" </w:instrText>
      </w:r>
      <w:r w:rsidR="009565CA">
        <w:fldChar w:fldCharType="end"/>
      </w:r>
      <w:r>
        <w:t xml:space="preserve">; </w:t>
      </w:r>
      <w:r w:rsidRPr="00CE2185">
        <w:rPr>
          <w:i/>
          <w:iCs/>
        </w:rPr>
        <w:t>Holguin</w:t>
      </w:r>
      <w:r>
        <w:t>, 2022 U.S. App. LEXIS 28477, at *11</w:t>
      </w:r>
      <w:r w:rsidR="009565CA">
        <w:fldChar w:fldCharType="begin"/>
      </w:r>
      <w:r w:rsidR="009565CA">
        <w:instrText xml:space="preserve"> TA \l "</w:instrText>
      </w:r>
      <w:r w:rsidR="009565CA" w:rsidRPr="00275109">
        <w:rPr>
          <w:i/>
          <w:iCs/>
        </w:rPr>
        <w:instrText>Holguin</w:instrText>
      </w:r>
      <w:r w:rsidR="009565CA" w:rsidRPr="00275109">
        <w:instrText>, 2022 U.S. App. LEXIS 28477, at *11</w:instrText>
      </w:r>
      <w:r w:rsidR="009565CA">
        <w:instrText xml:space="preserve">" \s "Holguin, 2022 U.S. App. LEXIS 28477, at *11" \c 1 </w:instrText>
      </w:r>
      <w:r w:rsidR="009565CA">
        <w:fldChar w:fldCharType="end"/>
      </w:r>
      <w:r>
        <w:t xml:space="preserve"> (“While a district court’s inquiry is flexible . . . the flexibility afforded to the gatekeeper goes to </w:t>
      </w:r>
      <w:r w:rsidRPr="001A22F4">
        <w:rPr>
          <w:i/>
          <w:iCs/>
        </w:rPr>
        <w:t>how</w:t>
      </w:r>
      <w:r>
        <w:t xml:space="preserve"> to determine reliability, not </w:t>
      </w:r>
      <w:r w:rsidRPr="001A22F4">
        <w:rPr>
          <w:i/>
          <w:iCs/>
        </w:rPr>
        <w:t>whether</w:t>
      </w:r>
      <w:r>
        <w:t xml:space="preserve"> to determine reliability. . . . A district court abdicates its gatekeeping role, and necessarily abuses its discretion, when it makes no reliability findings.”)</w:t>
      </w:r>
      <w:r w:rsidRPr="00E8169A">
        <w:t xml:space="preserve"> </w:t>
      </w:r>
      <w:r>
        <w:t>(</w:t>
      </w:r>
      <w:proofErr w:type="gramStart"/>
      <w:r>
        <w:t>citations</w:t>
      </w:r>
      <w:proofErr w:type="gramEnd"/>
      <w:r>
        <w:t xml:space="preserve"> and quotations omitted).  When a party challenges the foundation for an expert’s opinion, the trial court must make findings of reliability before admitting the testimony.  </w:t>
      </w:r>
      <w:r w:rsidRPr="00CE2185">
        <w:rPr>
          <w:i/>
          <w:iCs/>
        </w:rPr>
        <w:t>Holguin</w:t>
      </w:r>
      <w:r>
        <w:t>, 2022 U.S. App. LEXIS 28477, at *15-16</w:t>
      </w:r>
      <w:r w:rsidR="0093086E">
        <w:t xml:space="preserve"> </w:t>
      </w:r>
      <w:r>
        <w:t>(</w:t>
      </w:r>
      <w:r w:rsidR="00790ED7">
        <w:t>When a defendant challenges the expert opinion’s reliability, the trial court abuses its discretion by not making express reliability findings</w:t>
      </w:r>
      <w:r>
        <w:t>)</w:t>
      </w:r>
      <w:r w:rsidRPr="00CE2185">
        <w:t>.</w:t>
      </w:r>
      <w:r>
        <w:t xml:space="preserve"> </w:t>
      </w:r>
    </w:p>
    <w:p w14:paraId="3EB3BA6E" w14:textId="09439D88" w:rsidR="00A05DFB" w:rsidRDefault="00A05DFB" w:rsidP="00A05DFB">
      <w:pPr>
        <w:spacing w:line="480" w:lineRule="auto"/>
        <w:ind w:firstLine="720"/>
        <w:contextualSpacing/>
        <w:jc w:val="both"/>
      </w:pPr>
      <w:r>
        <w:t xml:space="preserve">Although this court has held—in the context of drug identification testimony—that experts do not necessarily need to provide precise details about how they reached their opinions, </w:t>
      </w:r>
      <w:r w:rsidRPr="005C6F85">
        <w:rPr>
          <w:i/>
          <w:iCs/>
        </w:rPr>
        <w:t xml:space="preserve">State v. </w:t>
      </w:r>
      <w:proofErr w:type="spellStart"/>
      <w:r w:rsidRPr="005C6F85">
        <w:rPr>
          <w:i/>
          <w:iCs/>
        </w:rPr>
        <w:t>Piland</w:t>
      </w:r>
      <w:proofErr w:type="spellEnd"/>
      <w:r>
        <w:t>, 263 N.C. App. 323, 338 (2018)</w:t>
      </w:r>
      <w:r w:rsidR="009565CA">
        <w:fldChar w:fldCharType="begin"/>
      </w:r>
      <w:r w:rsidR="009565CA">
        <w:instrText xml:space="preserve"> TA \l "</w:instrText>
      </w:r>
      <w:r w:rsidR="009565CA" w:rsidRPr="00275109">
        <w:rPr>
          <w:i/>
          <w:iCs/>
        </w:rPr>
        <w:instrText>State v. Piland</w:instrText>
      </w:r>
      <w:r w:rsidR="009565CA" w:rsidRPr="00275109">
        <w:instrText>, 263 N.C. App. 323, 338 (2018)</w:instrText>
      </w:r>
      <w:r w:rsidR="009565CA">
        <w:instrText xml:space="preserve">" \s "State v. Piland, 263 N.C. App. 323, 338 (2018)" \c 1 </w:instrText>
      </w:r>
      <w:r w:rsidR="009565CA">
        <w:fldChar w:fldCharType="end"/>
      </w:r>
      <w:r>
        <w:t xml:space="preserve">; </w:t>
      </w:r>
      <w:r w:rsidRPr="005C6F85">
        <w:rPr>
          <w:i/>
          <w:iCs/>
        </w:rPr>
        <w:t>State v. Sasek</w:t>
      </w:r>
      <w:r>
        <w:t>, 271 N.C. App. 568</w:t>
      </w:r>
      <w:r w:rsidR="00291FC1">
        <w:t>,</w:t>
      </w:r>
      <w:r>
        <w:t xml:space="preserve"> 573-75</w:t>
      </w:r>
      <w:r w:rsidR="00291FC1">
        <w:fldChar w:fldCharType="begin"/>
      </w:r>
      <w:r w:rsidR="00291FC1">
        <w:instrText xml:space="preserve"> TA \l "</w:instrText>
      </w:r>
      <w:r w:rsidR="00291FC1" w:rsidRPr="00275109">
        <w:rPr>
          <w:i/>
          <w:iCs/>
        </w:rPr>
        <w:instrText>State v. Sasek</w:instrText>
      </w:r>
      <w:r w:rsidR="00291FC1" w:rsidRPr="00275109">
        <w:instrText>, 271 N.C. App. 568 573-75</w:instrText>
      </w:r>
      <w:r w:rsidR="00291FC1">
        <w:instrText xml:space="preserve">" \s "State v. Sasek, 271 N.C. App. 568 573-75" \c 1 </w:instrText>
      </w:r>
      <w:r w:rsidR="00291FC1">
        <w:fldChar w:fldCharType="end"/>
      </w:r>
      <w:r w:rsidR="00291FC1">
        <w:t xml:space="preserve"> (2020),</w:t>
      </w:r>
      <w:r w:rsidR="00291FC1">
        <w:t xml:space="preserve"> </w:t>
      </w:r>
      <w:r>
        <w:t xml:space="preserve">the methods for testing DNA and interpreting the results are more complex and require more explanation than methods used in drug analyses.  In drug cases, the test will simply determine </w:t>
      </w:r>
      <w:proofErr w:type="gramStart"/>
      <w:r>
        <w:t>whether or not</w:t>
      </w:r>
      <w:proofErr w:type="gramEnd"/>
      <w:r>
        <w:t xml:space="preserve"> the evidence contains a controlled substance.  In DNA cases, especially cases involving partial profiles obtained from minute amounts of touch DNA, the risk of unreliable results creates the need to examine the foundation for the expert’s ultimate opinion more closely.  </w:t>
      </w:r>
      <w:r w:rsidRPr="006051B2">
        <w:rPr>
          <w:i/>
          <w:iCs/>
        </w:rPr>
        <w:t>See</w:t>
      </w:r>
      <w:r>
        <w:t xml:space="preserve"> </w:t>
      </w:r>
      <w:r w:rsidRPr="00967E72">
        <w:rPr>
          <w:i/>
          <w:iCs/>
        </w:rPr>
        <w:t>Futrell</w:t>
      </w:r>
      <w:r>
        <w:t>, 112 N.C. App. at 659</w:t>
      </w:r>
      <w:r w:rsidR="009565CA">
        <w:fldChar w:fldCharType="begin"/>
      </w:r>
      <w:r w:rsidR="009565CA">
        <w:instrText xml:space="preserve"> TA \l "</w:instrText>
      </w:r>
      <w:r w:rsidR="009565CA" w:rsidRPr="00275109">
        <w:rPr>
          <w:i/>
          <w:iCs/>
        </w:rPr>
        <w:instrText>Futrell</w:instrText>
      </w:r>
      <w:r w:rsidR="009565CA" w:rsidRPr="00275109">
        <w:instrText>, 112 N.C. App. at 659</w:instrText>
      </w:r>
      <w:r w:rsidR="009565CA">
        <w:instrText xml:space="preserve">" \s "Futrell, 112 N.C. App. at 659" \c 1 </w:instrText>
      </w:r>
      <w:r w:rsidR="009565CA">
        <w:fldChar w:fldCharType="end"/>
      </w:r>
      <w:r>
        <w:t xml:space="preserve">; </w:t>
      </w:r>
      <w:bookmarkStart w:id="16" w:name="_Hlk119915525"/>
      <w:r w:rsidRPr="00291FC1">
        <w:rPr>
          <w:i/>
          <w:iCs/>
        </w:rPr>
        <w:t>Phillips</w:t>
      </w:r>
      <w:r w:rsidRPr="00291FC1">
        <w:t>, 844 S.E.2d at 661</w:t>
      </w:r>
      <w:bookmarkEnd w:id="16"/>
      <w:r w:rsidR="009565CA">
        <w:fldChar w:fldCharType="begin"/>
      </w:r>
      <w:r w:rsidR="009565CA">
        <w:instrText xml:space="preserve"> TA \l "</w:instrText>
      </w:r>
      <w:r w:rsidR="009565CA" w:rsidRPr="00275109">
        <w:rPr>
          <w:i/>
          <w:iCs/>
        </w:rPr>
        <w:instrText>Phillips</w:instrText>
      </w:r>
      <w:r w:rsidR="009565CA" w:rsidRPr="00275109">
        <w:instrText>, 430 S.C. at 338, 844 S.E.2d at 661</w:instrText>
      </w:r>
      <w:r w:rsidR="009565CA">
        <w:instrText xml:space="preserve">" \s "Phillips, 430 S.C. at 338, 844 S.E.2d at 661" \c 1 </w:instrText>
      </w:r>
      <w:r w:rsidR="009565CA">
        <w:fldChar w:fldCharType="end"/>
      </w:r>
      <w:r>
        <w:t xml:space="preserve"> (“Rather, DNA—particularly touch DNA—is a complicated scientific field of study that requires detailed explanation.”).</w:t>
      </w:r>
    </w:p>
    <w:p w14:paraId="1003D239" w14:textId="40EDEF10" w:rsidR="00A05DFB" w:rsidRDefault="00A05DFB" w:rsidP="00A05DFB">
      <w:pPr>
        <w:spacing w:line="480" w:lineRule="auto"/>
        <w:ind w:firstLine="720"/>
        <w:contextualSpacing/>
        <w:jc w:val="both"/>
      </w:pPr>
      <w:r>
        <w:t xml:space="preserve">Moreover, in </w:t>
      </w:r>
      <w:proofErr w:type="spellStart"/>
      <w:r w:rsidRPr="005C6F85">
        <w:rPr>
          <w:i/>
          <w:iCs/>
        </w:rPr>
        <w:t>Piland</w:t>
      </w:r>
      <w:proofErr w:type="spellEnd"/>
      <w:r w:rsidRPr="005C6F85">
        <w:rPr>
          <w:i/>
          <w:iCs/>
        </w:rPr>
        <w:t xml:space="preserve"> </w:t>
      </w:r>
      <w:r>
        <w:t xml:space="preserve">and </w:t>
      </w:r>
      <w:r w:rsidRPr="005C6F85">
        <w:rPr>
          <w:i/>
          <w:iCs/>
        </w:rPr>
        <w:t>Sasek</w:t>
      </w:r>
      <w:r>
        <w:t xml:space="preserve">, the defendants did not object to the expert testimony.  </w:t>
      </w:r>
      <w:proofErr w:type="spellStart"/>
      <w:r w:rsidRPr="005C6F85">
        <w:rPr>
          <w:i/>
          <w:iCs/>
        </w:rPr>
        <w:t>Piland</w:t>
      </w:r>
      <w:proofErr w:type="spellEnd"/>
      <w:r>
        <w:t>, 263 N.C. App. at 338</w:t>
      </w:r>
      <w:r w:rsidR="009565CA">
        <w:fldChar w:fldCharType="begin"/>
      </w:r>
      <w:r w:rsidR="009565CA">
        <w:instrText xml:space="preserve"> TA \l "</w:instrText>
      </w:r>
      <w:r w:rsidR="009565CA" w:rsidRPr="00275109">
        <w:rPr>
          <w:i/>
          <w:iCs/>
        </w:rPr>
        <w:instrText>Piland</w:instrText>
      </w:r>
      <w:r w:rsidR="009565CA" w:rsidRPr="00275109">
        <w:instrText>, 263 N.C. App. at 338</w:instrText>
      </w:r>
      <w:r w:rsidR="009565CA">
        <w:instrText xml:space="preserve">" \s "Piland, 263 N.C. App. at 338" \c 1 </w:instrText>
      </w:r>
      <w:r w:rsidR="009565CA">
        <w:fldChar w:fldCharType="end"/>
      </w:r>
      <w:r>
        <w:t xml:space="preserve">; </w:t>
      </w:r>
      <w:r w:rsidRPr="005C6F85">
        <w:rPr>
          <w:i/>
          <w:iCs/>
        </w:rPr>
        <w:t>Sasek</w:t>
      </w:r>
      <w:r>
        <w:t>, 271 N.C. App. at 571</w:t>
      </w:r>
      <w:r w:rsidR="009565CA">
        <w:fldChar w:fldCharType="begin"/>
      </w:r>
      <w:r w:rsidR="009565CA">
        <w:instrText xml:space="preserve"> TA \l "</w:instrText>
      </w:r>
      <w:r w:rsidR="009565CA" w:rsidRPr="00275109">
        <w:rPr>
          <w:i/>
          <w:iCs/>
        </w:rPr>
        <w:instrText>Sasek</w:instrText>
      </w:r>
      <w:r w:rsidR="009565CA" w:rsidRPr="00275109">
        <w:instrText>, 271 N.C. App. at 571</w:instrText>
      </w:r>
      <w:r w:rsidR="009565CA">
        <w:instrText xml:space="preserve">" \s "Sasek, 271 N.C. App. at 571" \c 1 </w:instrText>
      </w:r>
      <w:r w:rsidR="009565CA">
        <w:fldChar w:fldCharType="end"/>
      </w:r>
      <w:r>
        <w:t xml:space="preserve">.  Consequently, the defendants could not show plain error where the experts testified that they at least performed a chemical analysis.  </w:t>
      </w:r>
      <w:proofErr w:type="spellStart"/>
      <w:r w:rsidRPr="005C6F85">
        <w:rPr>
          <w:i/>
          <w:iCs/>
        </w:rPr>
        <w:t>Piland</w:t>
      </w:r>
      <w:proofErr w:type="spellEnd"/>
      <w:r>
        <w:t xml:space="preserve">, 263 N.C. App. at 339-40; </w:t>
      </w:r>
      <w:r w:rsidRPr="005C6F85">
        <w:rPr>
          <w:i/>
          <w:iCs/>
        </w:rPr>
        <w:t>Sasek</w:t>
      </w:r>
      <w:r>
        <w:t>, 271 N.C. App. at 574-75</w:t>
      </w:r>
      <w:r w:rsidR="009565CA">
        <w:fldChar w:fldCharType="begin"/>
      </w:r>
      <w:r w:rsidR="009565CA">
        <w:instrText xml:space="preserve"> TA \l "</w:instrText>
      </w:r>
      <w:r w:rsidR="009565CA" w:rsidRPr="00275109">
        <w:rPr>
          <w:i/>
          <w:iCs/>
        </w:rPr>
        <w:instrText>Sasek</w:instrText>
      </w:r>
      <w:r w:rsidR="009565CA" w:rsidRPr="00275109">
        <w:instrText>, 271 N.C. App. at 574-75</w:instrText>
      </w:r>
      <w:r w:rsidR="009565CA">
        <w:instrText xml:space="preserve">" \s "Sasek, 271 N.C. App. at 574-75" \c 1 </w:instrText>
      </w:r>
      <w:r w:rsidR="009565CA">
        <w:fldChar w:fldCharType="end"/>
      </w:r>
      <w:r>
        <w:t xml:space="preserve">.  But here, defense counsel objected on 702 grounds, asked to </w:t>
      </w:r>
      <w:proofErr w:type="spellStart"/>
      <w:r>
        <w:t>voir</w:t>
      </w:r>
      <w:proofErr w:type="spellEnd"/>
      <w:r>
        <w:t xml:space="preserve"> dire the witness, and asked to make an offer of proof.  Thus, defense counsel alerted the trial court that a more in-depth inquiry into Sealy’s foundation for her opinion was necessary.</w:t>
      </w:r>
    </w:p>
    <w:p w14:paraId="7DA49A63" w14:textId="2CBD500C" w:rsidR="00A05DFB" w:rsidRDefault="00A05DFB" w:rsidP="00A05DFB">
      <w:pPr>
        <w:spacing w:line="480" w:lineRule="auto"/>
        <w:ind w:firstLine="720"/>
        <w:contextualSpacing/>
        <w:jc w:val="both"/>
      </w:pPr>
      <w:r>
        <w:t>T</w:t>
      </w:r>
      <w:r w:rsidRPr="00A66608">
        <w:t xml:space="preserve">rial courts must assess the reliability of expert testimony to ensure that it complies with Rule 702(a)’s three-pronged test.  </w:t>
      </w:r>
      <w:r>
        <w:t>T</w:t>
      </w:r>
      <w:r w:rsidRPr="00A66608">
        <w:t xml:space="preserve">he court has discretion to consider any of the </w:t>
      </w:r>
      <w:proofErr w:type="gramStart"/>
      <w:r w:rsidRPr="00A66608">
        <w:t>particular factors</w:t>
      </w:r>
      <w:proofErr w:type="gramEnd"/>
      <w:r w:rsidRPr="00A66608">
        <w:t xml:space="preserve"> articulated in previous cases, or other factors it may identify</w:t>
      </w:r>
      <w:r>
        <w:t xml:space="preserve">, but it cannot admit the evidence without first making the required reliability determination based on </w:t>
      </w:r>
      <w:r>
        <w:rPr>
          <w:i/>
          <w:iCs/>
        </w:rPr>
        <w:t xml:space="preserve">some </w:t>
      </w:r>
      <w:r>
        <w:t xml:space="preserve">reasons.  Otherwise, its decision is, by definition, arbitrary.  </w:t>
      </w:r>
      <w:r w:rsidRPr="00CE2185">
        <w:rPr>
          <w:i/>
          <w:iCs/>
        </w:rPr>
        <w:t>Holguin</w:t>
      </w:r>
      <w:r>
        <w:t>, 2022 U.S. App. LEXIS 28477, at *15-16</w:t>
      </w:r>
      <w:r w:rsidR="009565CA">
        <w:fldChar w:fldCharType="begin"/>
      </w:r>
      <w:r w:rsidR="009565CA">
        <w:instrText xml:space="preserve"> TA \l "</w:instrText>
      </w:r>
      <w:r w:rsidR="009565CA" w:rsidRPr="00275109">
        <w:rPr>
          <w:i/>
          <w:iCs/>
        </w:rPr>
        <w:instrText>Holguin</w:instrText>
      </w:r>
      <w:r w:rsidR="009565CA" w:rsidRPr="00275109">
        <w:instrText>, 2022 U.S. App. LEXIS 28477, at *15-16</w:instrText>
      </w:r>
      <w:r w:rsidR="009565CA">
        <w:instrText xml:space="preserve">" \s "Holguin, 2022 U.S. App. LEXIS 28477, at *15-16" \c 1 </w:instrText>
      </w:r>
      <w:r w:rsidR="009565CA">
        <w:fldChar w:fldCharType="end"/>
      </w:r>
      <w:r>
        <w:t>.</w:t>
      </w:r>
      <w:r w:rsidRPr="00A66608">
        <w:t xml:space="preserve"> </w:t>
      </w:r>
      <w:r>
        <w:t xml:space="preserve"> </w:t>
      </w:r>
    </w:p>
    <w:p w14:paraId="04B362CE" w14:textId="15ADAF33" w:rsidR="00402D79" w:rsidRDefault="00A05DFB" w:rsidP="00521F20">
      <w:pPr>
        <w:spacing w:line="480" w:lineRule="auto"/>
        <w:ind w:firstLine="720"/>
        <w:jc w:val="both"/>
      </w:pPr>
      <w:r>
        <w:t xml:space="preserve">Here, trial counsel objected to Sealy’s testimony and asked to </w:t>
      </w:r>
      <w:proofErr w:type="spellStart"/>
      <w:r>
        <w:t>voir</w:t>
      </w:r>
      <w:proofErr w:type="spellEnd"/>
      <w:r>
        <w:t xml:space="preserve"> dire Sealy.  (T p 591</w:t>
      </w:r>
      <w:proofErr w:type="gramStart"/>
      <w:r>
        <w:t>)  The</w:t>
      </w:r>
      <w:proofErr w:type="gramEnd"/>
      <w:r>
        <w:t xml:space="preserve"> trial court made no findings on the record; it simply overruled the objection and allowed Sealy’s opinion after asking a few cursory questions.  (T pp 591-93</w:t>
      </w:r>
      <w:proofErr w:type="gramStart"/>
      <w:r>
        <w:t>)  Had</w:t>
      </w:r>
      <w:proofErr w:type="gramEnd"/>
      <w:r>
        <w:t xml:space="preserve"> the trial court allowed trial counsel to </w:t>
      </w:r>
      <w:proofErr w:type="spellStart"/>
      <w:r>
        <w:t>voir</w:t>
      </w:r>
      <w:proofErr w:type="spellEnd"/>
      <w:r>
        <w:t xml:space="preserve"> dire Sealy, the trial court may have been able to make the required reliability findings.  </w:t>
      </w:r>
      <w:r w:rsidRPr="00524918">
        <w:rPr>
          <w:i/>
          <w:iCs/>
        </w:rPr>
        <w:t>McGrady</w:t>
      </w:r>
      <w:r>
        <w:t>, 368 N.C. at 893</w:t>
      </w:r>
      <w:r w:rsidR="009565CA">
        <w:fldChar w:fldCharType="begin"/>
      </w:r>
      <w:r w:rsidR="009565CA">
        <w:instrText xml:space="preserve"> TA \s "McGrady, 368 N.C. at 893" </w:instrText>
      </w:r>
      <w:r w:rsidR="009565CA">
        <w:fldChar w:fldCharType="end"/>
      </w:r>
      <w:r>
        <w:t xml:space="preserve">; </w:t>
      </w:r>
      <w:r w:rsidRPr="00634B7E">
        <w:rPr>
          <w:i/>
          <w:iCs/>
        </w:rPr>
        <w:t>Holguin</w:t>
      </w:r>
      <w:r>
        <w:t>, 2022 U.S. App. LEXIS 28477, at *10</w:t>
      </w:r>
      <w:r w:rsidR="009565CA">
        <w:fldChar w:fldCharType="begin"/>
      </w:r>
      <w:r w:rsidR="009565CA">
        <w:instrText xml:space="preserve"> TA \s "Holguin, 2022 U.S. App. LEXIS 28477, at *10" </w:instrText>
      </w:r>
      <w:r w:rsidR="009565CA">
        <w:fldChar w:fldCharType="end"/>
      </w:r>
      <w:r>
        <w:t>.  Because the trial did not, and because the trial court did not make any reliability findings, it abdicated its gatekeeping duty.</w:t>
      </w:r>
    </w:p>
    <w:p w14:paraId="2D35A87B" w14:textId="46201216" w:rsidR="00402D79" w:rsidRPr="0093086E" w:rsidRDefault="00A05DFB" w:rsidP="00521F20">
      <w:pPr>
        <w:pStyle w:val="ListParagraph"/>
        <w:numPr>
          <w:ilvl w:val="0"/>
          <w:numId w:val="28"/>
        </w:numPr>
        <w:jc w:val="both"/>
        <w:rPr>
          <w:i/>
          <w:iCs/>
        </w:rPr>
      </w:pPr>
      <w:r w:rsidRPr="0093086E">
        <w:rPr>
          <w:i/>
          <w:iCs/>
        </w:rPr>
        <w:t>Sealy’s Testimony Demonstrated the Unreliability of her Opinion.</w:t>
      </w:r>
    </w:p>
    <w:p w14:paraId="3339DBE7" w14:textId="7878A841" w:rsidR="009E3690" w:rsidRDefault="00047AEB" w:rsidP="0016675A">
      <w:pPr>
        <w:spacing w:before="240" w:line="480" w:lineRule="auto"/>
        <w:ind w:firstLine="720"/>
        <w:contextualSpacing/>
        <w:jc w:val="both"/>
      </w:pPr>
      <w:r>
        <w:t xml:space="preserve">The trial court abused its discretion by admitting Sealy’s testimony </w:t>
      </w:r>
      <w:r w:rsidR="0088750B">
        <w:t xml:space="preserve">because Sealy’s </w:t>
      </w:r>
      <w:r w:rsidR="008B3EFA">
        <w:t xml:space="preserve">opinion </w:t>
      </w:r>
      <w:r w:rsidR="0088750B">
        <w:t>testimony did not satisfy Rule 702’s reliability prongs</w:t>
      </w:r>
      <w:r w:rsidR="008B3EFA">
        <w:t>.</w:t>
      </w:r>
      <w:r>
        <w:t xml:space="preserve"> </w:t>
      </w:r>
      <w:r w:rsidR="00F22336">
        <w:t>B</w:t>
      </w:r>
      <w:r>
        <w:t xml:space="preserve">ecause </w:t>
      </w:r>
      <w:r w:rsidR="00995C2D">
        <w:t xml:space="preserve">the court </w:t>
      </w:r>
      <w:r w:rsidR="00F22336">
        <w:t xml:space="preserve">did not </w:t>
      </w:r>
      <w:r w:rsidR="008B3EFA">
        <w:t>adequately determine the reliability of Sealy’s opinion</w:t>
      </w:r>
      <w:r w:rsidR="005E7645">
        <w:t xml:space="preserve"> </w:t>
      </w:r>
      <w:r w:rsidR="005E7645" w:rsidRPr="005E7645">
        <w:rPr>
          <w:i/>
          <w:iCs/>
        </w:rPr>
        <w:t>before</w:t>
      </w:r>
      <w:r w:rsidR="005E7645">
        <w:t xml:space="preserve"> </w:t>
      </w:r>
      <w:r w:rsidR="008B3EFA">
        <w:t xml:space="preserve">allowing </w:t>
      </w:r>
      <w:r w:rsidR="005E7645">
        <w:t>Sealy’s</w:t>
      </w:r>
      <w:r w:rsidR="008B3EFA">
        <w:t xml:space="preserve"> to give it</w:t>
      </w:r>
      <w:r w:rsidR="00F22336">
        <w:t xml:space="preserve">, </w:t>
      </w:r>
      <w:r w:rsidR="008B3EFA">
        <w:t>the court</w:t>
      </w:r>
      <w:r>
        <w:t xml:space="preserve"> failed to perform its gatekeeping duty</w:t>
      </w:r>
      <w:r w:rsidR="00F22336">
        <w:t>.</w:t>
      </w:r>
      <w:r w:rsidR="0023552F">
        <w:t xml:space="preserve"> </w:t>
      </w:r>
      <w:r>
        <w:t xml:space="preserve"> </w:t>
      </w:r>
      <w:r w:rsidR="006F29B0" w:rsidRPr="0023552F">
        <w:rPr>
          <w:i/>
          <w:iCs/>
        </w:rPr>
        <w:t>McGrady</w:t>
      </w:r>
      <w:r w:rsidR="006F29B0" w:rsidRPr="0023552F">
        <w:t>, 368 N.C. at 892</w:t>
      </w:r>
      <w:r w:rsidR="0023552F" w:rsidRPr="0023552F">
        <w:t>-93</w:t>
      </w:r>
      <w:r w:rsidR="0023552F">
        <w:t xml:space="preserve">; </w:t>
      </w:r>
      <w:r w:rsidR="0023552F" w:rsidRPr="00CE2185">
        <w:rPr>
          <w:i/>
          <w:iCs/>
        </w:rPr>
        <w:t>Holguin</w:t>
      </w:r>
      <w:r w:rsidR="0023552F">
        <w:t>, 2022 U.S. App. LEXIS 28477, at *15-16</w:t>
      </w:r>
      <w:r w:rsidR="0023552F" w:rsidRPr="0023552F">
        <w:t xml:space="preserve">. </w:t>
      </w:r>
      <w:r w:rsidR="006F29B0" w:rsidRPr="0023552F">
        <w:t xml:space="preserve"> </w:t>
      </w:r>
      <w:r w:rsidR="005E7645">
        <w:t xml:space="preserve">However, even </w:t>
      </w:r>
      <w:r w:rsidR="00614853" w:rsidRPr="000104D3">
        <w:t>Sealy’s</w:t>
      </w:r>
      <w:r w:rsidR="00995C2D">
        <w:t xml:space="preserve"> trial</w:t>
      </w:r>
      <w:r w:rsidR="00614853" w:rsidRPr="000104D3">
        <w:t xml:space="preserve"> testimony</w:t>
      </w:r>
      <w:r w:rsidR="00994A41">
        <w:t xml:space="preserve"> </w:t>
      </w:r>
      <w:r w:rsidR="00995C2D">
        <w:t>failed to</w:t>
      </w:r>
      <w:r w:rsidR="00614853" w:rsidRPr="000104D3">
        <w:t xml:space="preserve"> establish</w:t>
      </w:r>
      <w:r w:rsidR="000104D3" w:rsidRPr="000104D3">
        <w:t xml:space="preserve"> Sealy</w:t>
      </w:r>
      <w:r w:rsidR="00A07B1D" w:rsidRPr="000104D3">
        <w:t>:</w:t>
      </w:r>
      <w:r w:rsidR="002B65DD" w:rsidRPr="000104D3">
        <w:t xml:space="preserve"> </w:t>
      </w:r>
      <w:r w:rsidR="00A07B1D" w:rsidRPr="000104D3">
        <w:t>(</w:t>
      </w:r>
      <w:proofErr w:type="spellStart"/>
      <w:r w:rsidR="00A07B1D" w:rsidRPr="000104D3">
        <w:t>i</w:t>
      </w:r>
      <w:proofErr w:type="spellEnd"/>
      <w:r w:rsidR="00A07B1D" w:rsidRPr="000104D3">
        <w:t xml:space="preserve">) </w:t>
      </w:r>
      <w:r w:rsidR="000104D3" w:rsidRPr="000104D3">
        <w:t>based her opinion</w:t>
      </w:r>
      <w:r w:rsidR="002B65DD" w:rsidRPr="000104D3">
        <w:t xml:space="preserve"> on sufficient data</w:t>
      </w:r>
      <w:r w:rsidR="00A07B1D" w:rsidRPr="000104D3">
        <w:t>;</w:t>
      </w:r>
      <w:r w:rsidR="002B65DD" w:rsidRPr="000104D3">
        <w:t xml:space="preserve"> </w:t>
      </w:r>
      <w:r w:rsidR="00A07B1D" w:rsidRPr="000104D3">
        <w:t xml:space="preserve">(ii) </w:t>
      </w:r>
      <w:r w:rsidR="002B65DD" w:rsidRPr="000104D3">
        <w:t>used reliable principles in analyzing the DNA evidence</w:t>
      </w:r>
      <w:r w:rsidR="00A07B1D" w:rsidRPr="000104D3">
        <w:t>;</w:t>
      </w:r>
      <w:r w:rsidR="002B65DD" w:rsidRPr="000104D3">
        <w:t xml:space="preserve"> or </w:t>
      </w:r>
      <w:r w:rsidR="00A07B1D" w:rsidRPr="000104D3">
        <w:t>(iii)</w:t>
      </w:r>
      <w:r w:rsidR="002B65DD" w:rsidRPr="000104D3">
        <w:t xml:space="preserve"> reliably applied those principles in analyzing the evidence</w:t>
      </w:r>
      <w:r w:rsidR="00A07B1D" w:rsidRPr="000104D3">
        <w:t>.</w:t>
      </w:r>
      <w:r w:rsidR="00A07B1D">
        <w:t xml:space="preserve">  </w:t>
      </w:r>
    </w:p>
    <w:p w14:paraId="18A6DCA1" w14:textId="41C97FB5" w:rsidR="00A32525" w:rsidRPr="0093086E" w:rsidRDefault="003B7A05" w:rsidP="00275771">
      <w:pPr>
        <w:pStyle w:val="ListParagraph"/>
        <w:numPr>
          <w:ilvl w:val="0"/>
          <w:numId w:val="4"/>
        </w:numPr>
        <w:spacing w:line="480" w:lineRule="auto"/>
        <w:ind w:left="720"/>
        <w:jc w:val="both"/>
      </w:pPr>
      <w:r w:rsidRPr="0093086E">
        <w:t xml:space="preserve">Sealy’s opinion was </w:t>
      </w:r>
      <w:r w:rsidR="00F93065" w:rsidRPr="0093086E">
        <w:t xml:space="preserve">not </w:t>
      </w:r>
      <w:r w:rsidRPr="0093086E">
        <w:t>based on sufficient facts or data.</w:t>
      </w:r>
    </w:p>
    <w:p w14:paraId="17CF3E87" w14:textId="066FEB37" w:rsidR="00440B1B" w:rsidRDefault="00A66608" w:rsidP="00916243">
      <w:pPr>
        <w:spacing w:line="480" w:lineRule="auto"/>
        <w:ind w:firstLine="720"/>
        <w:contextualSpacing/>
        <w:jc w:val="both"/>
      </w:pPr>
      <w:r>
        <w:t xml:space="preserve">The record suggests Sealy’s opinion was not based on sufficient data.  </w:t>
      </w:r>
      <w:r w:rsidR="003B7A05" w:rsidRPr="00EE6F93">
        <w:t>On cross examination</w:t>
      </w:r>
      <w:r w:rsidR="003B7A05">
        <w:t xml:space="preserve">, Sealy testified that the original amount of DNA the </w:t>
      </w:r>
      <w:r w:rsidR="009B05A9">
        <w:t xml:space="preserve">police </w:t>
      </w:r>
      <w:r w:rsidR="003B7A05">
        <w:t>lab used to replicate</w:t>
      </w:r>
      <w:r w:rsidR="00546DB4">
        <w:t xml:space="preserve"> for analysis</w:t>
      </w:r>
      <w:r w:rsidR="003B7A05">
        <w:t xml:space="preserve"> was 2.7 picograms.  (T p 604</w:t>
      </w:r>
      <w:proofErr w:type="gramStart"/>
      <w:r w:rsidR="003B7A05">
        <w:t xml:space="preserve">)  </w:t>
      </w:r>
      <w:r w:rsidR="00440B1B">
        <w:t>The</w:t>
      </w:r>
      <w:proofErr w:type="gramEnd"/>
      <w:r w:rsidR="00440B1B">
        <w:t xml:space="preserve"> lab’s protocols</w:t>
      </w:r>
      <w:r w:rsidR="00B6143F">
        <w:t xml:space="preserve"> warn that “extreme caution” should be used when analyzing an original, partial sample of less than </w:t>
      </w:r>
      <w:r w:rsidR="00B6143F" w:rsidRPr="00994A41">
        <w:t>250 picograms</w:t>
      </w:r>
      <w:r w:rsidR="00B6143F">
        <w:rPr>
          <w:i/>
          <w:iCs/>
        </w:rPr>
        <w:t xml:space="preserve"> </w:t>
      </w:r>
      <w:r w:rsidR="00B6143F">
        <w:t>of DNA and</w:t>
      </w:r>
      <w:r w:rsidR="00B6143F" w:rsidRPr="00B6143F">
        <w:t xml:space="preserve"> </w:t>
      </w:r>
      <w:r w:rsidR="00B6143F">
        <w:t xml:space="preserve">prohibit analysis of any sample less than 1 picogram of DNA.  (T pp 588, 624-25)  </w:t>
      </w:r>
      <w:r w:rsidR="00440B1B">
        <w:t xml:space="preserve"> </w:t>
      </w:r>
      <w:r w:rsidR="00B6143F">
        <w:t xml:space="preserve">Thus, the DNA collected here was well below the cutoff for when “extreme caution” is required and almost </w:t>
      </w:r>
      <w:r w:rsidR="00275771">
        <w:t>at</w:t>
      </w:r>
      <w:r w:rsidR="00B6143F">
        <w:t xml:space="preserve"> the level where analysis is prohibited.</w:t>
      </w:r>
      <w:r w:rsidR="0016675A">
        <w:t xml:space="preserve"> </w:t>
      </w:r>
      <w:r w:rsidR="00B6143F">
        <w:t xml:space="preserve"> The </w:t>
      </w:r>
      <w:r w:rsidR="003B7A05">
        <w:t>relatively tiny amount of DNA</w:t>
      </w:r>
      <w:r w:rsidR="00B6143F">
        <w:t xml:space="preserve"> </w:t>
      </w:r>
      <w:r w:rsidR="003B7A05">
        <w:t xml:space="preserve">would have affected the reliability of any results Sealy obtained—as she explained.  </w:t>
      </w:r>
      <w:r w:rsidR="004978D7" w:rsidRPr="00724616">
        <w:t>(T pp 612-13)</w:t>
      </w:r>
      <w:r w:rsidR="00546DB4" w:rsidRPr="00724616">
        <w:t>.</w:t>
      </w:r>
    </w:p>
    <w:p w14:paraId="6DBA4005" w14:textId="47DBB0D6" w:rsidR="00275771" w:rsidRDefault="003B7A05" w:rsidP="00916243">
      <w:pPr>
        <w:spacing w:line="480" w:lineRule="auto"/>
        <w:ind w:firstLine="720"/>
        <w:contextualSpacing/>
        <w:jc w:val="both"/>
      </w:pPr>
      <w:r>
        <w:t>First, such a small amount of original DNA</w:t>
      </w:r>
      <w:r w:rsidR="000B4044">
        <w:t xml:space="preserve"> resulted in</w:t>
      </w:r>
      <w:r>
        <w:t xml:space="preserve"> lower Relative </w:t>
      </w:r>
      <w:proofErr w:type="spellStart"/>
      <w:r>
        <w:t>Fl</w:t>
      </w:r>
      <w:r w:rsidR="00910B06">
        <w:t>uo</w:t>
      </w:r>
      <w:r>
        <w:t>resence</w:t>
      </w:r>
      <w:proofErr w:type="spellEnd"/>
      <w:r>
        <w:t xml:space="preserve"> Unit (RFU) values of the alleles</w:t>
      </w:r>
      <w:r w:rsidR="00FE4A87">
        <w:t>,</w:t>
      </w:r>
      <w:r w:rsidR="000B4044">
        <w:t xml:space="preserve"> or</w:t>
      </w:r>
      <w:r w:rsidR="00FE4A87">
        <w:t xml:space="preserve"> smaller</w:t>
      </w:r>
      <w:r w:rsidR="000B4044">
        <w:t xml:space="preserve"> peaks</w:t>
      </w:r>
      <w:r>
        <w:t xml:space="preserve"> at every locus</w:t>
      </w:r>
      <w:r w:rsidR="000B4044">
        <w:t xml:space="preserve"> examined</w:t>
      </w:r>
      <w:r>
        <w:t xml:space="preserve">.  </w:t>
      </w:r>
      <w:r w:rsidR="00275771" w:rsidRPr="00275771">
        <w:t>An allele is a genetic marker represented as a peak present at one of the twenty-four sites (loci) analysts use to determine a person’s genetic sequence for forensic purposes.  (T pp 597-98</w:t>
      </w:r>
      <w:proofErr w:type="gramStart"/>
      <w:r w:rsidR="00275771" w:rsidRPr="00275771">
        <w:t>)  Generally</w:t>
      </w:r>
      <w:proofErr w:type="gramEnd"/>
      <w:r w:rsidR="00275771" w:rsidRPr="00275771">
        <w:t>, a person has two alleles at every locus.  (T p 598</w:t>
      </w:r>
      <w:proofErr w:type="gramStart"/>
      <w:r w:rsidR="00275771" w:rsidRPr="00275771">
        <w:t>)  A</w:t>
      </w:r>
      <w:r w:rsidR="00995C2D">
        <w:t>n</w:t>
      </w:r>
      <w:proofErr w:type="gramEnd"/>
      <w:r w:rsidR="00995C2D">
        <w:t xml:space="preserve"> RFU</w:t>
      </w:r>
      <w:r w:rsidR="00275771" w:rsidRPr="00275771">
        <w:t xml:space="preserve"> is a value correlating to the amount of genetic material comprising the allele at a given locus.  (T p 607</w:t>
      </w:r>
      <w:proofErr w:type="gramStart"/>
      <w:r w:rsidR="00275771" w:rsidRPr="00275771">
        <w:t>)  The</w:t>
      </w:r>
      <w:proofErr w:type="gramEnd"/>
      <w:r w:rsidR="00275771" w:rsidRPr="00275771">
        <w:t xml:space="preserve"> more genetic material, the higher the RFU value and the higher the corresponding allele peak height depicted on an electropherogram.  (T pp 607-08)</w:t>
      </w:r>
    </w:p>
    <w:p w14:paraId="4EBE4BF9" w14:textId="32151458" w:rsidR="003B7A05" w:rsidRDefault="00440B1B" w:rsidP="00916243">
      <w:pPr>
        <w:spacing w:line="480" w:lineRule="auto"/>
        <w:ind w:firstLine="720"/>
        <w:contextualSpacing/>
        <w:jc w:val="both"/>
      </w:pPr>
      <w:r>
        <w:t xml:space="preserve">Sealy explained her lab had two RFU thresholds that governed DNA testing.  </w:t>
      </w:r>
      <w:r w:rsidRPr="00724616">
        <w:t xml:space="preserve">(T pp </w:t>
      </w:r>
      <w:r w:rsidR="00724616" w:rsidRPr="00724616">
        <w:t>606-07, 609</w:t>
      </w:r>
      <w:proofErr w:type="gramStart"/>
      <w:r w:rsidRPr="00724616">
        <w:t>)</w:t>
      </w:r>
      <w:r>
        <w:t xml:space="preserve">  The</w:t>
      </w:r>
      <w:proofErr w:type="gramEnd"/>
      <w:r>
        <w:t xml:space="preserve"> lab’s analytical threshold was 75 RFU.  </w:t>
      </w:r>
      <w:bookmarkStart w:id="17" w:name="_Hlk116905891"/>
      <w:r w:rsidRPr="00724616">
        <w:t xml:space="preserve">(T p </w:t>
      </w:r>
      <w:r w:rsidR="00724616" w:rsidRPr="00724616">
        <w:t>612</w:t>
      </w:r>
      <w:proofErr w:type="gramStart"/>
      <w:r w:rsidRPr="00724616">
        <w:t>)</w:t>
      </w:r>
      <w:bookmarkEnd w:id="17"/>
      <w:r>
        <w:t xml:space="preserve">  Any</w:t>
      </w:r>
      <w:proofErr w:type="gramEnd"/>
      <w:r>
        <w:t xml:space="preserve"> allele peaks below this threshold could not be </w:t>
      </w:r>
      <w:r w:rsidR="00724616">
        <w:t>reported</w:t>
      </w:r>
      <w:r>
        <w:t xml:space="preserve"> under the lab’s protocols.  </w:t>
      </w:r>
      <w:r w:rsidRPr="00724616">
        <w:t xml:space="preserve">(T p </w:t>
      </w:r>
      <w:r w:rsidR="00724616" w:rsidRPr="00724616">
        <w:t>609</w:t>
      </w:r>
      <w:proofErr w:type="gramStart"/>
      <w:r w:rsidRPr="00724616">
        <w:t>)</w:t>
      </w:r>
      <w:r>
        <w:t xml:space="preserve">  The</w:t>
      </w:r>
      <w:proofErr w:type="gramEnd"/>
      <w:r>
        <w:t xml:space="preserve"> lab’s stochastic threshold was 350 RFU.  (T p 61</w:t>
      </w:r>
      <w:r w:rsidR="00724616">
        <w:t>4</w:t>
      </w:r>
      <w:proofErr w:type="gramStart"/>
      <w:r>
        <w:t>)  Any</w:t>
      </w:r>
      <w:proofErr w:type="gramEnd"/>
      <w:r>
        <w:t xml:space="preserve"> peaks with an RFU value below this threshold would indicate an increased risk of stochastic effects.  Stochastic effects, put simply, increase the chances the result</w:t>
      </w:r>
      <w:r w:rsidR="009B05A9">
        <w:t>s</w:t>
      </w:r>
      <w:r w:rsidR="00401350">
        <w:t xml:space="preserve"> </w:t>
      </w:r>
      <w:r w:rsidR="009E3690">
        <w:t>could not be repeated with subsequent testing</w:t>
      </w:r>
      <w:r>
        <w:t>.</w:t>
      </w:r>
      <w:r w:rsidR="00407ED7">
        <w:rPr>
          <w:rStyle w:val="FootnoteReference"/>
        </w:rPr>
        <w:footnoteReference w:id="7"/>
      </w:r>
      <w:r w:rsidR="00407ED7">
        <w:t xml:space="preserve"> </w:t>
      </w:r>
    </w:p>
    <w:p w14:paraId="50670747" w14:textId="5A38E390" w:rsidR="00440B1B" w:rsidRDefault="00440B1B" w:rsidP="00916243">
      <w:pPr>
        <w:spacing w:line="480" w:lineRule="auto"/>
        <w:ind w:firstLine="720"/>
        <w:contextualSpacing/>
        <w:jc w:val="both"/>
      </w:pPr>
      <w:r>
        <w:t xml:space="preserve">In this case, the small amount of DNA resulted in </w:t>
      </w:r>
      <w:r w:rsidR="00900F48">
        <w:t>three loci with no allele</w:t>
      </w:r>
      <w:r w:rsidR="009F7BFB">
        <w:t>/peak</w:t>
      </w:r>
      <w:r w:rsidR="00900F48">
        <w:t xml:space="preserve"> data and eleven missing one allele</w:t>
      </w:r>
      <w:r w:rsidR="009F7BFB">
        <w:t xml:space="preserve"> or peak</w:t>
      </w:r>
      <w:r w:rsidR="00900F48">
        <w:t>.  (T pp 618-19</w:t>
      </w:r>
      <w:proofErr w:type="gramStart"/>
      <w:r w:rsidR="00900F48">
        <w:t>)  Moreover</w:t>
      </w:r>
      <w:proofErr w:type="gramEnd"/>
      <w:r w:rsidR="00900F48">
        <w:t xml:space="preserve">, the RFU value for </w:t>
      </w:r>
      <w:r w:rsidR="00900F48" w:rsidRPr="00EE1825">
        <w:rPr>
          <w:i/>
          <w:iCs/>
        </w:rPr>
        <w:t>every allele</w:t>
      </w:r>
      <w:r w:rsidR="009F7BFB" w:rsidRPr="00EE1825">
        <w:rPr>
          <w:i/>
          <w:iCs/>
        </w:rPr>
        <w:t>/peak</w:t>
      </w:r>
      <w:r w:rsidR="00900F48" w:rsidRPr="00EE1825">
        <w:rPr>
          <w:i/>
          <w:iCs/>
        </w:rPr>
        <w:t xml:space="preserve"> at every locus was below the lab’s stochastic threshold.</w:t>
      </w:r>
      <w:r w:rsidR="00900F48">
        <w:t xml:space="preserve">  (T p 619</w:t>
      </w:r>
      <w:proofErr w:type="gramStart"/>
      <w:r w:rsidR="00900F48">
        <w:t>)  In</w:t>
      </w:r>
      <w:proofErr w:type="gramEnd"/>
      <w:r w:rsidR="00900F48">
        <w:t xml:space="preserve"> fact, most of the RFU values were less than half the stochastic threshold, and some of them were very close to the analytical threshold of 75 RFU </w:t>
      </w:r>
      <w:r w:rsidR="00900F48" w:rsidRPr="00724616">
        <w:t xml:space="preserve">that would have prevented </w:t>
      </w:r>
      <w:r w:rsidR="00724616">
        <w:t>reporting those alleles</w:t>
      </w:r>
      <w:r w:rsidR="00900F48">
        <w:t>.  (T pp 619-22</w:t>
      </w:r>
      <w:proofErr w:type="gramStart"/>
      <w:r w:rsidR="00900F48">
        <w:t xml:space="preserve">)  </w:t>
      </w:r>
      <w:r w:rsidR="003F2E5E">
        <w:t>This</w:t>
      </w:r>
      <w:proofErr w:type="gramEnd"/>
      <w:r w:rsidR="003F2E5E">
        <w:t xml:space="preserve"> means</w:t>
      </w:r>
      <w:r w:rsidR="00900F48">
        <w:t xml:space="preserve"> there was an increased risk of stochastic effects at </w:t>
      </w:r>
      <w:r w:rsidR="00900F48" w:rsidRPr="00EE1825">
        <w:rPr>
          <w:i/>
          <w:iCs/>
        </w:rPr>
        <w:t>every</w:t>
      </w:r>
      <w:r w:rsidR="00900F48">
        <w:t xml:space="preserve"> locus.</w:t>
      </w:r>
      <w:r w:rsidR="003F2E5E">
        <w:t xml:space="preserve">  (</w:t>
      </w:r>
      <w:r w:rsidR="00AF5137">
        <w:t>T p 626</w:t>
      </w:r>
      <w:proofErr w:type="gramStart"/>
      <w:r w:rsidR="003F2E5E">
        <w:t>)</w:t>
      </w:r>
      <w:r w:rsidR="00EE1825">
        <w:t xml:space="preserve"> </w:t>
      </w:r>
      <w:r w:rsidR="00016815">
        <w:t xml:space="preserve"> </w:t>
      </w:r>
      <w:r w:rsidR="006F51F5">
        <w:t>Thus</w:t>
      </w:r>
      <w:proofErr w:type="gramEnd"/>
      <w:r w:rsidR="006F51F5">
        <w:t>,</w:t>
      </w:r>
      <w:r w:rsidR="00016815">
        <w:t xml:space="preserve"> there was an increased chance that </w:t>
      </w:r>
      <w:r w:rsidR="0015773B">
        <w:t>the test results, and Sealy’s opinion based on them, were not r</w:t>
      </w:r>
      <w:r w:rsidR="00602893">
        <w:t>eliable.</w:t>
      </w:r>
    </w:p>
    <w:p w14:paraId="7687CE4A" w14:textId="2FD54408" w:rsidR="00900F48" w:rsidRDefault="00900F48" w:rsidP="0023552F">
      <w:pPr>
        <w:spacing w:line="480" w:lineRule="auto"/>
        <w:ind w:firstLine="720"/>
        <w:contextualSpacing/>
        <w:jc w:val="both"/>
      </w:pPr>
      <w:r>
        <w:t xml:space="preserve">Additionally, Sealy testified the lab’s protocols state when a sample has alleles below the stochastic threshold and </w:t>
      </w:r>
      <w:r w:rsidR="00D85ED2">
        <w:t xml:space="preserve">there are </w:t>
      </w:r>
      <w:r>
        <w:t>indications of a potential second contributor, then the data are “uninterpretable.”  (T pp 625-26</w:t>
      </w:r>
      <w:proofErr w:type="gramStart"/>
      <w:r>
        <w:t>)  Sealy</w:t>
      </w:r>
      <w:proofErr w:type="gramEnd"/>
      <w:r>
        <w:t xml:space="preserve"> testified that “it was possible” that there was a second contributor to the sample in question even though she characterized the sample as a partial, single source sample.  (T p 626-27</w:t>
      </w:r>
      <w:proofErr w:type="gramStart"/>
      <w:r>
        <w:t>)</w:t>
      </w:r>
      <w:r w:rsidR="00662872">
        <w:t xml:space="preserve">  Sealy</w:t>
      </w:r>
      <w:proofErr w:type="gramEnd"/>
      <w:r w:rsidR="00662872">
        <w:t xml:space="preserve"> explained that she thought the sample was a single source sample because the peak heights were very balanced.  (T p 627</w:t>
      </w:r>
      <w:proofErr w:type="gramStart"/>
      <w:r w:rsidR="00662872">
        <w:t>)  However</w:t>
      </w:r>
      <w:proofErr w:type="gramEnd"/>
      <w:r w:rsidR="00662872">
        <w:t xml:space="preserve">, she acknowledged that RFU values below the stochastic threshold can affect peak height balance. </w:t>
      </w:r>
      <w:r w:rsidR="004C7CCA">
        <w:t xml:space="preserve"> </w:t>
      </w:r>
      <w:r w:rsidR="00662872">
        <w:t>(T p 627</w:t>
      </w:r>
      <w:proofErr w:type="gramStart"/>
      <w:r w:rsidR="00662872">
        <w:t xml:space="preserve">)  </w:t>
      </w:r>
      <w:r w:rsidR="004C7CCA">
        <w:t>Again</w:t>
      </w:r>
      <w:proofErr w:type="gramEnd"/>
      <w:r w:rsidR="004C7CCA">
        <w:t xml:space="preserve">, the RFU values at every locus in this sample were below the stochastic threshold.  </w:t>
      </w:r>
      <w:r w:rsidR="00662872">
        <w:t xml:space="preserve">Thus, Sealy’s own testimony cast serious doubt over whether she had </w:t>
      </w:r>
      <w:proofErr w:type="gramStart"/>
      <w:r w:rsidR="00662872">
        <w:t>a sufficient amount of</w:t>
      </w:r>
      <w:proofErr w:type="gramEnd"/>
      <w:r w:rsidR="00662872">
        <w:t xml:space="preserve"> DNA—and thus, RFU values—to analyze. </w:t>
      </w:r>
      <w:r w:rsidR="00E3187D">
        <w:t xml:space="preserve"> </w:t>
      </w:r>
      <w:r w:rsidR="000B5BE2">
        <w:t xml:space="preserve">Without sufficient data, Sealy’s opinion fails the reliability test under Rule 702. </w:t>
      </w:r>
      <w:bookmarkStart w:id="18" w:name="_Hlk119598221"/>
      <w:r w:rsidR="00C52A18">
        <w:t>N.C.G.S. § 8C-1, Rule 702(a)</w:t>
      </w:r>
      <w:r w:rsidR="009565CA">
        <w:fldChar w:fldCharType="begin"/>
      </w:r>
      <w:r w:rsidR="009565CA">
        <w:instrText xml:space="preserve"> TA \l "</w:instrText>
      </w:r>
      <w:r w:rsidR="009565CA" w:rsidRPr="00275109">
        <w:instrText>.C.G.S. § 8C-1, Rule 702(a)</w:instrText>
      </w:r>
      <w:r w:rsidR="009565CA">
        <w:instrText xml:space="preserve">" \s ".C.G.S. § 8C-1, Rule 702(a)" \c 2 </w:instrText>
      </w:r>
      <w:r w:rsidR="009565CA">
        <w:fldChar w:fldCharType="end"/>
      </w:r>
      <w:r w:rsidR="00C52A18">
        <w:t xml:space="preserve"> (An expert may testify to an opinion when </w:t>
      </w:r>
      <w:r w:rsidR="00C52A18" w:rsidRPr="00C52A18">
        <w:rPr>
          <w:i/>
          <w:iCs/>
        </w:rPr>
        <w:t>all</w:t>
      </w:r>
      <w:r w:rsidR="00C52A18">
        <w:t xml:space="preserve"> of the reliability prongs are met.)</w:t>
      </w:r>
      <w:bookmarkEnd w:id="18"/>
      <w:r w:rsidR="000B5BE2">
        <w:t>.  The trial court erred in overruling Mr. Rogers’s objection.</w:t>
      </w:r>
    </w:p>
    <w:p w14:paraId="0AEF36FD" w14:textId="36AF950F" w:rsidR="00114C2D" w:rsidRPr="0093086E" w:rsidRDefault="00045352" w:rsidP="00275771">
      <w:pPr>
        <w:pStyle w:val="ListParagraph"/>
        <w:numPr>
          <w:ilvl w:val="0"/>
          <w:numId w:val="4"/>
        </w:numPr>
        <w:spacing w:line="480" w:lineRule="auto"/>
        <w:ind w:left="720"/>
        <w:jc w:val="both"/>
      </w:pPr>
      <w:r w:rsidRPr="0093086E">
        <w:t xml:space="preserve">There was no evidence that </w:t>
      </w:r>
      <w:r w:rsidR="00407ED7" w:rsidRPr="0093086E">
        <w:t>the lab’s protocols were reliable</w:t>
      </w:r>
      <w:r w:rsidR="00D20AC9" w:rsidRPr="0093086E">
        <w:t>.</w:t>
      </w:r>
    </w:p>
    <w:p w14:paraId="104643D4" w14:textId="0E3248F5" w:rsidR="00883A2C" w:rsidRDefault="00D20AC9" w:rsidP="009B05A9">
      <w:pPr>
        <w:spacing w:line="480" w:lineRule="auto"/>
        <w:ind w:firstLine="720"/>
        <w:jc w:val="both"/>
      </w:pPr>
      <w:r>
        <w:t>Rule 702 requires the principles</w:t>
      </w:r>
      <w:r w:rsidR="00AF62E6">
        <w:t xml:space="preserve"> and methods</w:t>
      </w:r>
      <w:r>
        <w:t xml:space="preserve"> an analyst used in forming an opinion </w:t>
      </w:r>
      <w:r w:rsidR="00A66608">
        <w:t>be reliable</w:t>
      </w:r>
      <w:r>
        <w:t xml:space="preserve">.  N.C. Gen. Stat. § 8C-1, Rule 702(a)(2).  Here, the governing principles Sealy used to analyze the DNA evidence were the </w:t>
      </w:r>
      <w:r w:rsidR="009416B4">
        <w:t xml:space="preserve">police </w:t>
      </w:r>
      <w:r>
        <w:t xml:space="preserve">lab’s protocols.  Sealy testified the </w:t>
      </w:r>
      <w:r w:rsidR="00025A9E">
        <w:t xml:space="preserve">police </w:t>
      </w:r>
      <w:r>
        <w:t xml:space="preserve">lab’s analytical threshold—the RFU value below which </w:t>
      </w:r>
      <w:r w:rsidR="005B3CF0">
        <w:t>results would be unreportable</w:t>
      </w:r>
      <w:r>
        <w:t xml:space="preserve">—was 75 RFU.  </w:t>
      </w:r>
      <w:r w:rsidR="00AF5137" w:rsidRPr="00724616">
        <w:t>(T p 612</w:t>
      </w:r>
      <w:proofErr w:type="gramStart"/>
      <w:r w:rsidR="00AF5137" w:rsidRPr="00724616">
        <w:t>)</w:t>
      </w:r>
      <w:r>
        <w:t xml:space="preserve">  Although</w:t>
      </w:r>
      <w:proofErr w:type="gramEnd"/>
      <w:r>
        <w:t xml:space="preserve"> all of the alleles in </w:t>
      </w:r>
      <w:r w:rsidR="00566A81">
        <w:t>the electropherogram</w:t>
      </w:r>
      <w:r>
        <w:t xml:space="preserve"> were above this value, some were very close to it</w:t>
      </w:r>
      <w:r w:rsidR="009035DC">
        <w:t xml:space="preserve">. </w:t>
      </w:r>
      <w:r>
        <w:t xml:space="preserve"> </w:t>
      </w:r>
      <w:proofErr w:type="gramStart"/>
      <w:r w:rsidR="009035DC">
        <w:t>A</w:t>
      </w:r>
      <w:r>
        <w:t>nd</w:t>
      </w:r>
      <w:r w:rsidR="009035DC">
        <w:t>,</w:t>
      </w:r>
      <w:proofErr w:type="gramEnd"/>
      <w:r>
        <w:t xml:space="preserve"> all </w:t>
      </w:r>
      <w:r w:rsidR="009035DC">
        <w:t xml:space="preserve">the RFU values </w:t>
      </w:r>
      <w:r>
        <w:t>were below the stochastic threshold.  Moreover, Sealy testified every lab sets its ow</w:t>
      </w:r>
      <w:r w:rsidR="00CC48BE">
        <w:t>n</w:t>
      </w:r>
      <w:r>
        <w:t xml:space="preserve"> threshold</w:t>
      </w:r>
      <w:r w:rsidR="00CB2C27">
        <w:t>s</w:t>
      </w:r>
      <w:r>
        <w:t xml:space="preserve"> based on internal validation.  </w:t>
      </w:r>
      <w:r w:rsidR="00AF5137">
        <w:t>(T pp 591-93</w:t>
      </w:r>
      <w:proofErr w:type="gramStart"/>
      <w:r w:rsidR="00AF5137">
        <w:t>)</w:t>
      </w:r>
      <w:r w:rsidR="00546DB4">
        <w:t xml:space="preserve">  </w:t>
      </w:r>
      <w:r>
        <w:t>As</w:t>
      </w:r>
      <w:proofErr w:type="gramEnd"/>
      <w:r>
        <w:t xml:space="preserve"> explained above, lower RFU values </w:t>
      </w:r>
      <w:r w:rsidR="009B05A9">
        <w:t>suggest</w:t>
      </w:r>
      <w:r>
        <w:t xml:space="preserve"> less reliable results.  </w:t>
      </w:r>
      <w:r w:rsidR="00224C62">
        <w:t xml:space="preserve">Sealy did not testify as to how her lab’s analytical threshold compared to other labs’ thresholds.  She also did not explain why </w:t>
      </w:r>
      <w:r w:rsidR="009B05A9">
        <w:t>the police</w:t>
      </w:r>
      <w:r w:rsidR="00224C62">
        <w:t xml:space="preserve"> lab chose </w:t>
      </w:r>
      <w:r w:rsidR="00E2667B">
        <w:t>its</w:t>
      </w:r>
      <w:r w:rsidR="00224C62">
        <w:t xml:space="preserve"> threshold</w:t>
      </w:r>
      <w:r w:rsidR="005B3CF0">
        <w:t>s</w:t>
      </w:r>
      <w:r w:rsidR="00224C62">
        <w:t xml:space="preserve"> or the internal validation used to determine th</w:t>
      </w:r>
      <w:r w:rsidR="005B3CF0">
        <w:t>ose</w:t>
      </w:r>
      <w:r w:rsidR="00224C62">
        <w:t xml:space="preserve"> threshold</w:t>
      </w:r>
      <w:r w:rsidR="005B3CF0">
        <w:t>s</w:t>
      </w:r>
      <w:r w:rsidR="00224C62">
        <w:t xml:space="preserve">.  </w:t>
      </w:r>
    </w:p>
    <w:p w14:paraId="65C0A6DB" w14:textId="30D453AD" w:rsidR="00887B23" w:rsidRDefault="00983B14" w:rsidP="00916243">
      <w:pPr>
        <w:spacing w:line="480" w:lineRule="auto"/>
        <w:ind w:firstLine="720"/>
        <w:contextualSpacing/>
        <w:jc w:val="both"/>
      </w:pPr>
      <w:r>
        <w:t>Two</w:t>
      </w:r>
      <w:r w:rsidR="00CC48BE">
        <w:t xml:space="preserve"> of the factors </w:t>
      </w:r>
      <w:r w:rsidR="00CC48BE" w:rsidRPr="00883A2C">
        <w:rPr>
          <w:i/>
          <w:iCs/>
        </w:rPr>
        <w:t>Daubert</w:t>
      </w:r>
      <w:r w:rsidR="00CC48BE">
        <w:t xml:space="preserve"> suggests trial courts use to test </w:t>
      </w:r>
      <w:r w:rsidR="00275771">
        <w:t xml:space="preserve">a protocol’s </w:t>
      </w:r>
      <w:r w:rsidR="00CC48BE">
        <w:t xml:space="preserve">reliability </w:t>
      </w:r>
      <w:r>
        <w:t>are</w:t>
      </w:r>
      <w:r w:rsidR="00CC48BE">
        <w:t xml:space="preserve"> </w:t>
      </w:r>
      <w:r>
        <w:t xml:space="preserve">the technique’s known error rate and </w:t>
      </w:r>
      <w:r w:rsidR="00CC48BE">
        <w:t xml:space="preserve">whether the techniques the expert used are generally accepted in the relevant scientific field.  </w:t>
      </w:r>
      <w:r w:rsidR="00CC48BE" w:rsidRPr="00883A2C">
        <w:rPr>
          <w:i/>
          <w:iCs/>
        </w:rPr>
        <w:t>Daubert</w:t>
      </w:r>
      <w:r w:rsidR="00CC48BE">
        <w:t>, 509 U.S. at 593-94</w:t>
      </w:r>
      <w:r w:rsidR="009565CA">
        <w:fldChar w:fldCharType="begin"/>
      </w:r>
      <w:r w:rsidR="009565CA">
        <w:instrText xml:space="preserve"> TA \l "</w:instrText>
      </w:r>
      <w:r w:rsidR="009565CA" w:rsidRPr="00275109">
        <w:rPr>
          <w:i/>
          <w:iCs/>
        </w:rPr>
        <w:instrText>Daubert</w:instrText>
      </w:r>
      <w:r w:rsidR="009565CA" w:rsidRPr="00275109">
        <w:instrText>, 509 U.S. at 593-94</w:instrText>
      </w:r>
      <w:r w:rsidR="009565CA">
        <w:instrText xml:space="preserve">" \s "Daubert, 509 U.S. at 593-94" \c 1 </w:instrText>
      </w:r>
      <w:r w:rsidR="009565CA">
        <w:fldChar w:fldCharType="end"/>
      </w:r>
      <w:r w:rsidR="00887B23">
        <w:t>.</w:t>
      </w:r>
      <w:r w:rsidR="00CC48BE">
        <w:t xml:space="preserve"> </w:t>
      </w:r>
      <w:r w:rsidR="00883A2C">
        <w:t xml:space="preserve"> </w:t>
      </w:r>
      <w:r w:rsidR="00887B23">
        <w:t xml:space="preserve">Trial courts should consider these factors when they are reasonable measures for determining expert testimony reliability.  </w:t>
      </w:r>
      <w:r w:rsidR="00887B23" w:rsidRPr="00887B23">
        <w:rPr>
          <w:i/>
          <w:iCs/>
        </w:rPr>
        <w:t>Kumho</w:t>
      </w:r>
      <w:r w:rsidR="00887B23">
        <w:t>, 526 U.S. at 152</w:t>
      </w:r>
      <w:r w:rsidR="009565CA">
        <w:fldChar w:fldCharType="begin"/>
      </w:r>
      <w:r w:rsidR="009565CA">
        <w:instrText xml:space="preserve"> TA \s "Kumho, 526 U.S. at 152" </w:instrText>
      </w:r>
      <w:r w:rsidR="009565CA">
        <w:fldChar w:fldCharType="end"/>
      </w:r>
      <w:r w:rsidR="00887B23">
        <w:t xml:space="preserve">.  Because expert testimony regarding DNA evidence is so complex and technical, these factors are reasonable measures of reliability.  </w:t>
      </w:r>
      <w:r w:rsidR="00887B23" w:rsidRPr="00887B23">
        <w:rPr>
          <w:i/>
          <w:iCs/>
        </w:rPr>
        <w:t>McGrady</w:t>
      </w:r>
      <w:r w:rsidR="00887B23">
        <w:t>, 368 N.C. at 893</w:t>
      </w:r>
      <w:r w:rsidR="009565CA">
        <w:fldChar w:fldCharType="begin"/>
      </w:r>
      <w:r w:rsidR="009565CA">
        <w:instrText xml:space="preserve"> TA \s "McGrady, 368 N.C. at 893" </w:instrText>
      </w:r>
      <w:r w:rsidR="009565CA">
        <w:fldChar w:fldCharType="end"/>
      </w:r>
      <w:r w:rsidR="00887B23">
        <w:t xml:space="preserve">; </w:t>
      </w:r>
      <w:r w:rsidR="00887B23" w:rsidRPr="00967E72">
        <w:rPr>
          <w:i/>
          <w:iCs/>
        </w:rPr>
        <w:t>Futrell</w:t>
      </w:r>
      <w:r w:rsidR="00887B23">
        <w:t>, 112 N.C. App. 651, 659</w:t>
      </w:r>
      <w:r w:rsidR="009565CA">
        <w:fldChar w:fldCharType="begin"/>
      </w:r>
      <w:r w:rsidR="009565CA">
        <w:instrText xml:space="preserve"> TA \l "</w:instrText>
      </w:r>
      <w:r w:rsidR="009565CA" w:rsidRPr="00275109">
        <w:rPr>
          <w:i/>
          <w:iCs/>
        </w:rPr>
        <w:instrText>Futrell</w:instrText>
      </w:r>
      <w:r w:rsidR="009565CA" w:rsidRPr="00275109">
        <w:instrText>, 112 N.C. App. 651, 659</w:instrText>
      </w:r>
      <w:r w:rsidR="009565CA">
        <w:instrText xml:space="preserve">" \s "Futrell, 112 N.C. App. 651, 659" \c 1 </w:instrText>
      </w:r>
      <w:r w:rsidR="009565CA">
        <w:fldChar w:fldCharType="end"/>
      </w:r>
      <w:r w:rsidR="00887B23">
        <w:t xml:space="preserve">; </w:t>
      </w:r>
      <w:r w:rsidR="00887B23" w:rsidRPr="00291FC1">
        <w:rPr>
          <w:i/>
          <w:iCs/>
        </w:rPr>
        <w:t>Phillips</w:t>
      </w:r>
      <w:r w:rsidR="00887B23" w:rsidRPr="00291FC1">
        <w:t>, 844 S.E.2d at 661</w:t>
      </w:r>
      <w:r w:rsidR="009565CA">
        <w:fldChar w:fldCharType="begin"/>
      </w:r>
      <w:r w:rsidR="009565CA">
        <w:instrText xml:space="preserve"> TA \s "Phillips, 430 S.C. at 338, 844 S.E.2d at 661" </w:instrText>
      </w:r>
      <w:r w:rsidR="009565CA">
        <w:fldChar w:fldCharType="end"/>
      </w:r>
      <w:r w:rsidR="00887B23">
        <w:t xml:space="preserve">.  </w:t>
      </w:r>
    </w:p>
    <w:p w14:paraId="714E3A83" w14:textId="54FE9879" w:rsidR="00D20AC9" w:rsidRDefault="00887B23" w:rsidP="00916243">
      <w:pPr>
        <w:spacing w:line="480" w:lineRule="auto"/>
        <w:ind w:firstLine="720"/>
        <w:contextualSpacing/>
        <w:jc w:val="both"/>
      </w:pPr>
      <w:r>
        <w:t>Here, t</w:t>
      </w:r>
      <w:r w:rsidR="00224C62" w:rsidRPr="00A66608">
        <w:t xml:space="preserve">he trial court merely asked who set the </w:t>
      </w:r>
      <w:r w:rsidR="009B05A9">
        <w:t xml:space="preserve">police </w:t>
      </w:r>
      <w:r w:rsidR="00224C62" w:rsidRPr="00A66608">
        <w:t>lab’s protocols.  (</w:t>
      </w:r>
      <w:r w:rsidR="00224C62" w:rsidRPr="00AF5137">
        <w:t>T p</w:t>
      </w:r>
      <w:r w:rsidR="00224C62" w:rsidRPr="00A66608">
        <w:t xml:space="preserve"> </w:t>
      </w:r>
      <w:r w:rsidR="00AF5137">
        <w:t>593</w:t>
      </w:r>
      <w:proofErr w:type="gramStart"/>
      <w:r w:rsidR="00224C62" w:rsidRPr="00A66608">
        <w:t>)  Sealy</w:t>
      </w:r>
      <w:proofErr w:type="gramEnd"/>
      <w:r w:rsidR="00224C62" w:rsidRPr="00A66608">
        <w:t xml:space="preserve"> responded that every lab sets its own protocols.  (</w:t>
      </w:r>
      <w:r w:rsidR="00224C62" w:rsidRPr="00AF5137">
        <w:t>T p</w:t>
      </w:r>
      <w:r w:rsidR="00224C62" w:rsidRPr="00A66608">
        <w:t xml:space="preserve"> </w:t>
      </w:r>
      <w:r w:rsidR="00AF5137">
        <w:t>593</w:t>
      </w:r>
      <w:proofErr w:type="gramStart"/>
      <w:r w:rsidR="00224C62" w:rsidRPr="00A66608">
        <w:t>)</w:t>
      </w:r>
      <w:r w:rsidR="00D20AC9" w:rsidRPr="00A66608">
        <w:t xml:space="preserve">  </w:t>
      </w:r>
      <w:r w:rsidRPr="00887B23">
        <w:t>Sealy</w:t>
      </w:r>
      <w:proofErr w:type="gramEnd"/>
      <w:r w:rsidRPr="00887B23">
        <w:t xml:space="preserve"> did not provide any know</w:t>
      </w:r>
      <w:r w:rsidR="00AC302D">
        <w:t>n</w:t>
      </w:r>
      <w:r w:rsidRPr="00887B23">
        <w:t xml:space="preserve"> error rates for testing of samples as small as the sample here.  </w:t>
      </w:r>
      <w:r w:rsidR="00F307C1">
        <w:t>B</w:t>
      </w:r>
      <w:r w:rsidR="00883A2C" w:rsidRPr="00A66608">
        <w:t xml:space="preserve">ased on Sealy’s testimony, </w:t>
      </w:r>
      <w:r w:rsidR="00DB59D2">
        <w:t xml:space="preserve">there is no evidence </w:t>
      </w:r>
      <w:r w:rsidR="007829ED">
        <w:t xml:space="preserve">as to the lab’s potential or known rate of error for samples like the one in this case or whether </w:t>
      </w:r>
      <w:r w:rsidR="00F307C1">
        <w:t xml:space="preserve">the </w:t>
      </w:r>
      <w:r w:rsidR="009B05A9">
        <w:t>police</w:t>
      </w:r>
      <w:r w:rsidR="00486067">
        <w:t xml:space="preserve"> lab’s protocols and techniques are generally accepted in </w:t>
      </w:r>
      <w:r w:rsidR="00B87F1C">
        <w:t xml:space="preserve">the </w:t>
      </w:r>
      <w:r w:rsidR="00486067">
        <w:t xml:space="preserve">field. </w:t>
      </w:r>
      <w:r w:rsidR="004C7CCA">
        <w:t xml:space="preserve"> </w:t>
      </w:r>
      <w:r w:rsidR="007829ED">
        <w:t>Thus, Sealy’s testimony</w:t>
      </w:r>
      <w:r w:rsidR="00EE6F93">
        <w:t>—on cross-examination—</w:t>
      </w:r>
      <w:r w:rsidR="007829ED">
        <w:t>did not establish the police crime lab’s protocols were reliable.</w:t>
      </w:r>
      <w:r w:rsidR="000B5BE2">
        <w:t xml:space="preserve">  Because the State, as the proponent of Sealy’s opinion testimony, had the burden of establishing the foundational requirements for admissibility, </w:t>
      </w:r>
      <w:r w:rsidR="0093086E" w:rsidRPr="00D104AA">
        <w:rPr>
          <w:rFonts w:cs="Courier New"/>
          <w:i/>
          <w:iCs/>
          <w:szCs w:val="26"/>
        </w:rPr>
        <w:t>Ward</w:t>
      </w:r>
      <w:r w:rsidR="0093086E" w:rsidRPr="00D104AA">
        <w:rPr>
          <w:rFonts w:cs="Courier New"/>
          <w:szCs w:val="26"/>
        </w:rPr>
        <w:t>,</w:t>
      </w:r>
      <w:r w:rsidR="0093086E" w:rsidRPr="0010423C">
        <w:rPr>
          <w:rFonts w:cs="Courier New"/>
          <w:szCs w:val="26"/>
        </w:rPr>
        <w:t xml:space="preserve"> 364 N.C.</w:t>
      </w:r>
      <w:r w:rsidR="0093086E">
        <w:rPr>
          <w:rFonts w:cs="Courier New"/>
          <w:szCs w:val="26"/>
        </w:rPr>
        <w:t xml:space="preserve"> at</w:t>
      </w:r>
      <w:r w:rsidR="0093086E" w:rsidRPr="0010423C">
        <w:rPr>
          <w:rFonts w:cs="Courier New"/>
          <w:szCs w:val="26"/>
        </w:rPr>
        <w:t xml:space="preserve"> 140</w:t>
      </w:r>
      <w:r w:rsidR="009565CA">
        <w:rPr>
          <w:rFonts w:cs="Courier New"/>
          <w:szCs w:val="26"/>
        </w:rPr>
        <w:fldChar w:fldCharType="begin"/>
      </w:r>
      <w:r w:rsidR="009565CA">
        <w:instrText xml:space="preserve"> TA \l "</w:instrText>
      </w:r>
      <w:r w:rsidR="009565CA" w:rsidRPr="00275109">
        <w:rPr>
          <w:rFonts w:cs="Courier New"/>
          <w:i/>
          <w:iCs/>
          <w:szCs w:val="26"/>
        </w:rPr>
        <w:instrText>Ward</w:instrText>
      </w:r>
      <w:r w:rsidR="009565CA" w:rsidRPr="00275109">
        <w:rPr>
          <w:rFonts w:cs="Courier New"/>
          <w:szCs w:val="26"/>
        </w:rPr>
        <w:instrText>, 364 N.C. at 140</w:instrText>
      </w:r>
      <w:r w:rsidR="009565CA">
        <w:instrText xml:space="preserve">" \s "Ward, 364 N.C. at 140" \c 1 </w:instrText>
      </w:r>
      <w:r w:rsidR="009565CA">
        <w:rPr>
          <w:rFonts w:cs="Courier New"/>
          <w:szCs w:val="26"/>
        </w:rPr>
        <w:fldChar w:fldCharType="end"/>
      </w:r>
      <w:r w:rsidR="000B5BE2">
        <w:t>, and because there was no showing that the protocols used by Sealy and the police lab were reliable, the trial court erred in admitting Sealy’s opinion.</w:t>
      </w:r>
    </w:p>
    <w:p w14:paraId="08363FC8" w14:textId="47A2C912" w:rsidR="00883A2C" w:rsidRPr="0093086E" w:rsidRDefault="0016288F" w:rsidP="00275771">
      <w:pPr>
        <w:pStyle w:val="ListParagraph"/>
        <w:numPr>
          <w:ilvl w:val="0"/>
          <w:numId w:val="4"/>
        </w:numPr>
        <w:ind w:left="720"/>
        <w:jc w:val="both"/>
      </w:pPr>
      <w:r w:rsidRPr="0093086E">
        <w:t xml:space="preserve">There was </w:t>
      </w:r>
      <w:r w:rsidR="00AA06BF" w:rsidRPr="0093086E">
        <w:t xml:space="preserve">no showing </w:t>
      </w:r>
      <w:r w:rsidRPr="0093086E">
        <w:t xml:space="preserve">that </w:t>
      </w:r>
      <w:r w:rsidR="00883A2C" w:rsidRPr="0093086E">
        <w:t>Sealy reliably appl</w:t>
      </w:r>
      <w:r w:rsidR="004C7CCA" w:rsidRPr="0093086E">
        <w:t>ied</w:t>
      </w:r>
      <w:r w:rsidR="00883A2C" w:rsidRPr="0093086E">
        <w:t xml:space="preserve"> the lab’s protocols in her analysis.</w:t>
      </w:r>
    </w:p>
    <w:p w14:paraId="4B089B91" w14:textId="77777777" w:rsidR="00EE1825" w:rsidRPr="00EE1825" w:rsidRDefault="00EE1825" w:rsidP="00EE1825">
      <w:pPr>
        <w:ind w:left="1080"/>
        <w:jc w:val="both"/>
        <w:rPr>
          <w:i/>
          <w:iCs/>
        </w:rPr>
      </w:pPr>
    </w:p>
    <w:p w14:paraId="641B6C1C" w14:textId="513430AE" w:rsidR="000B5BE2" w:rsidRDefault="00883A2C" w:rsidP="00916243">
      <w:pPr>
        <w:spacing w:line="480" w:lineRule="auto"/>
        <w:ind w:firstLine="720"/>
        <w:contextualSpacing/>
        <w:jc w:val="both"/>
      </w:pPr>
      <w:r>
        <w:t>Finally, Rule 702(a) requires the expert to apply “the principles and methods reliably to the facts of the case.”  N.C.G.S. § 8C-1, Rule 702(a)(3)</w:t>
      </w:r>
      <w:r w:rsidR="009565CA">
        <w:fldChar w:fldCharType="begin"/>
      </w:r>
      <w:r w:rsidR="009565CA">
        <w:instrText xml:space="preserve"> TA \l "</w:instrText>
      </w:r>
      <w:r w:rsidR="009565CA" w:rsidRPr="00275109">
        <w:instrText>N.C.G.S. § 8C-1, Rule 702(a)(3)</w:instrText>
      </w:r>
      <w:r w:rsidR="009565CA">
        <w:instrText xml:space="preserve">" \s "N.C.G.S. § 8C-1, Rule 702(a)(3)" \c 2 </w:instrText>
      </w:r>
      <w:r w:rsidR="009565CA">
        <w:fldChar w:fldCharType="end"/>
      </w:r>
      <w:r>
        <w:t xml:space="preserve">.  </w:t>
      </w:r>
      <w:r w:rsidR="003F2E5E">
        <w:t>Here</w:t>
      </w:r>
      <w:r>
        <w:t xml:space="preserve">, the </w:t>
      </w:r>
      <w:r w:rsidR="009B05A9">
        <w:t xml:space="preserve">police </w:t>
      </w:r>
      <w:r>
        <w:t>lab’s protocols—</w:t>
      </w:r>
      <w:proofErr w:type="gramStart"/>
      <w:r>
        <w:t>whether or not</w:t>
      </w:r>
      <w:proofErr w:type="gramEnd"/>
      <w:r>
        <w:t xml:space="preserve"> they were reliable on their own—were the relevant governing principles.</w:t>
      </w:r>
      <w:r w:rsidR="00E14B08">
        <w:t xml:space="preserve">  </w:t>
      </w:r>
      <w:r w:rsidR="00EE1825">
        <w:t>Although</w:t>
      </w:r>
      <w:r w:rsidR="00E14B08">
        <w:t xml:space="preserve"> the trial court asked a couple of questions about the lab’s protocols, it </w:t>
      </w:r>
      <w:r w:rsidR="004312F3">
        <w:t>asked no questions about</w:t>
      </w:r>
      <w:r w:rsidR="00E14B08">
        <w:t xml:space="preserve"> whether Seal</w:t>
      </w:r>
      <w:r w:rsidR="004312F3">
        <w:t>y reliably applied them</w:t>
      </w:r>
      <w:r w:rsidR="00DA4175">
        <w:t>.</w:t>
      </w:r>
      <w:r>
        <w:t xml:space="preserve">  </w:t>
      </w:r>
    </w:p>
    <w:p w14:paraId="7694E486" w14:textId="3558A636" w:rsidR="00A66608" w:rsidRDefault="000B5BE2" w:rsidP="00916243">
      <w:pPr>
        <w:spacing w:line="480" w:lineRule="auto"/>
        <w:ind w:firstLine="720"/>
        <w:contextualSpacing/>
        <w:jc w:val="both"/>
      </w:pPr>
      <w:r w:rsidRPr="000B5BE2">
        <w:t xml:space="preserve">The trial court’s failure to inquire about whether Sealy reliably applied the principles and methods to the facts here was fatal to its decision to admit the evidence. </w:t>
      </w:r>
      <w:r w:rsidR="00995C2D">
        <w:t>N.C.G.S. § 8C-1, Rule 702(a) (all reliability prongs must be met for an expert opinion to be admissible).</w:t>
      </w:r>
      <w:r w:rsidR="00994A41">
        <w:t xml:space="preserve"> </w:t>
      </w:r>
      <w:r w:rsidRPr="000B5BE2">
        <w:t xml:space="preserve"> Indeed, the evidence adduced on cross examination shows that, had the court fulfilled its gatekeeping function and asked about this reliability prong, Sealy’s testimony would have fallen short. </w:t>
      </w:r>
      <w:r>
        <w:t xml:space="preserve"> </w:t>
      </w:r>
      <w:r w:rsidR="00883A2C">
        <w:t xml:space="preserve">As explained above, the lab’s protocols direct analysts to use “extreme caution” when dealing with original samples with less than 250 picograms of DNA.  </w:t>
      </w:r>
      <w:r w:rsidR="00AF5137">
        <w:t>(T pp 624-25</w:t>
      </w:r>
      <w:proofErr w:type="gramStart"/>
      <w:r w:rsidR="00AF5137">
        <w:t>)</w:t>
      </w:r>
      <w:r w:rsidR="00A77953">
        <w:t xml:space="preserve">  </w:t>
      </w:r>
      <w:r w:rsidR="00472363">
        <w:t>Sealy</w:t>
      </w:r>
      <w:proofErr w:type="gramEnd"/>
      <w:r w:rsidR="00472363">
        <w:t xml:space="preserve"> did not explain</w:t>
      </w:r>
      <w:r w:rsidR="00A77953">
        <w:t xml:space="preserve"> what </w:t>
      </w:r>
      <w:r w:rsidR="009937F9">
        <w:t xml:space="preserve">“using extreme caution” meant in this context, or whether Sealy did it.  </w:t>
      </w:r>
      <w:r>
        <w:t>Her testimony on cross</w:t>
      </w:r>
      <w:r w:rsidR="009937F9">
        <w:t xml:space="preserve"> indicates she did not.</w:t>
      </w:r>
      <w:r w:rsidR="00883A2C">
        <w:t xml:space="preserve">  The protocols set a stochastic threshold of 350 RFU, meaning any </w:t>
      </w:r>
      <w:r w:rsidR="00893C5B">
        <w:t>allele with a</w:t>
      </w:r>
      <w:r w:rsidR="00546DB4">
        <w:t>n RFU</w:t>
      </w:r>
      <w:r w:rsidR="00893C5B">
        <w:t xml:space="preserve"> value less than that has an increased risk o</w:t>
      </w:r>
      <w:r w:rsidR="003F2E5E">
        <w:t>f</w:t>
      </w:r>
      <w:r w:rsidR="00893C5B">
        <w:t xml:space="preserve"> being random or unrepeatable.  Moreover, the protocols prohibit interpreting samples when all the allele values are below the stochastic threshold and there are indications of a second contributor to the sample.  </w:t>
      </w:r>
      <w:r w:rsidR="00AF5137">
        <w:t>(T pp 625-26)</w:t>
      </w:r>
    </w:p>
    <w:p w14:paraId="0A5D692C" w14:textId="51A1A5A0" w:rsidR="00893C5B" w:rsidRDefault="00893C5B" w:rsidP="00916243">
      <w:pPr>
        <w:spacing w:line="480" w:lineRule="auto"/>
        <w:ind w:firstLine="720"/>
        <w:contextualSpacing/>
        <w:jc w:val="both"/>
      </w:pPr>
      <w:r>
        <w:t xml:space="preserve">Sealy testified </w:t>
      </w:r>
      <w:r w:rsidR="009035DC">
        <w:t xml:space="preserve">she extracted </w:t>
      </w:r>
      <w:r w:rsidR="009035DC" w:rsidRPr="00994A41">
        <w:t>2.7 picograms</w:t>
      </w:r>
      <w:r w:rsidR="009035DC">
        <w:t xml:space="preserve"> of DNA from the original sample, that </w:t>
      </w:r>
      <w:proofErr w:type="gramStart"/>
      <w:r>
        <w:t>all of</w:t>
      </w:r>
      <w:proofErr w:type="gramEnd"/>
      <w:r>
        <w:t xml:space="preserve"> the allele values were below the stochastic threshold (</w:t>
      </w:r>
      <w:r w:rsidRPr="00F42630">
        <w:t>T p</w:t>
      </w:r>
      <w:r w:rsidR="00F42630">
        <w:t>p 604,</w:t>
      </w:r>
      <w:r>
        <w:t xml:space="preserve"> </w:t>
      </w:r>
      <w:r w:rsidR="00F42630">
        <w:t>619</w:t>
      </w:r>
      <w:r>
        <w:t>)</w:t>
      </w:r>
      <w:r w:rsidR="009035DC">
        <w:t>,</w:t>
      </w:r>
      <w:r>
        <w:t xml:space="preserve"> and that it was possible there was a second contributor to the sample.  (</w:t>
      </w:r>
      <w:r w:rsidRPr="00F42630">
        <w:t>T p</w:t>
      </w:r>
      <w:r w:rsidR="00F42630">
        <w:t>p 626-27</w:t>
      </w:r>
      <w:proofErr w:type="gramStart"/>
      <w:r>
        <w:t>)  The</w:t>
      </w:r>
      <w:proofErr w:type="gramEnd"/>
      <w:r>
        <w:t xml:space="preserve"> </w:t>
      </w:r>
      <w:r w:rsidR="00E65F58">
        <w:t xml:space="preserve">testimony indicating an increased risk of </w:t>
      </w:r>
      <w:r w:rsidR="000B5BE2">
        <w:t>unrepeatable</w:t>
      </w:r>
      <w:r w:rsidR="00E65F58">
        <w:t xml:space="preserve"> results—and the possibility the sample was uninterpretable—suggests Sealy should have tested the sample again to determine whether the results were reliable</w:t>
      </w:r>
      <w:r>
        <w:t xml:space="preserve">.  </w:t>
      </w:r>
      <w:r w:rsidR="00E65F58">
        <w:t>The record does not reflect Sealy tested and compared the sample more than once.</w:t>
      </w:r>
      <w:r w:rsidR="003F2E5E">
        <w:t xml:space="preserve">  </w:t>
      </w:r>
    </w:p>
    <w:p w14:paraId="797DA91B" w14:textId="24ED3D0F" w:rsidR="005F7DB8" w:rsidRDefault="003560BC" w:rsidP="00916243">
      <w:pPr>
        <w:spacing w:line="480" w:lineRule="auto"/>
        <w:ind w:firstLine="720"/>
        <w:contextualSpacing/>
        <w:jc w:val="both"/>
      </w:pPr>
      <w:r>
        <w:t xml:space="preserve">At trial, the State focused on Sealy’s testimony </w:t>
      </w:r>
      <w:r w:rsidR="002A4B09">
        <w:t>that</w:t>
      </w:r>
      <w:r w:rsidR="00F06C45">
        <w:t xml:space="preserve"> the likelihood of selecting a random individual with the </w:t>
      </w:r>
      <w:r w:rsidR="002A4B09">
        <w:t xml:space="preserve">same DNA profile as </w:t>
      </w:r>
      <w:r w:rsidR="000A7532">
        <w:t>the profile found on</w:t>
      </w:r>
      <w:r w:rsidR="002A4B09">
        <w:t xml:space="preserve"> the window was 1 in 1.5 quadrillion. </w:t>
      </w:r>
      <w:r w:rsidR="009A251A">
        <w:t xml:space="preserve"> </w:t>
      </w:r>
      <w:r>
        <w:t>(</w:t>
      </w:r>
      <w:r w:rsidRPr="00AF5137">
        <w:t>T p</w:t>
      </w:r>
      <w:r>
        <w:t xml:space="preserve"> </w:t>
      </w:r>
      <w:r w:rsidR="00AF5137">
        <w:t>595</w:t>
      </w:r>
      <w:proofErr w:type="gramStart"/>
      <w:r>
        <w:t xml:space="preserve">)  </w:t>
      </w:r>
      <w:r w:rsidR="00995C2D">
        <w:t>T</w:t>
      </w:r>
      <w:r>
        <w:t>he</w:t>
      </w:r>
      <w:proofErr w:type="gramEnd"/>
      <w:r>
        <w:t xml:space="preserve"> State </w:t>
      </w:r>
      <w:r w:rsidR="009133D3">
        <w:t xml:space="preserve">will </w:t>
      </w:r>
      <w:r>
        <w:t xml:space="preserve">likely </w:t>
      </w:r>
      <w:r w:rsidR="00546DB4">
        <w:t>highlight</w:t>
      </w:r>
      <w:r>
        <w:t xml:space="preserve"> this astronomical probability to support the reliability of Sealy’s opinion on appeal.  However, that probability is only as reliable as the </w:t>
      </w:r>
      <w:r w:rsidR="00002E37">
        <w:t>electropherogram data generated in</w:t>
      </w:r>
      <w:r>
        <w:t xml:space="preserve"> Sealy’s </w:t>
      </w:r>
      <w:r w:rsidR="00002E37">
        <w:t>analysis</w:t>
      </w:r>
      <w:r>
        <w:t xml:space="preserve">.  </w:t>
      </w:r>
      <w:r w:rsidR="005B24EB">
        <w:t>F</w:t>
      </w:r>
      <w:r w:rsidRPr="00A66608">
        <w:t xml:space="preserve">or the reasons stated above, Sealy’s </w:t>
      </w:r>
      <w:r w:rsidR="00002E37">
        <w:t>electropherogram data</w:t>
      </w:r>
      <w:r w:rsidRPr="00A66608">
        <w:t xml:space="preserve"> was </w:t>
      </w:r>
      <w:r w:rsidR="009B05A9">
        <w:t xml:space="preserve">likely </w:t>
      </w:r>
      <w:r w:rsidRPr="00A66608">
        <w:t>not reliable</w:t>
      </w:r>
      <w:r w:rsidRPr="009E3690">
        <w:t>.</w:t>
      </w:r>
      <w:r w:rsidR="00546DB4" w:rsidRPr="00D454F7">
        <w:rPr>
          <w:highlight w:val="yellow"/>
        </w:rPr>
        <w:t xml:space="preserve">  </w:t>
      </w:r>
    </w:p>
    <w:p w14:paraId="3028D3F1" w14:textId="574EE660" w:rsidR="003560BC" w:rsidRDefault="00B87F1C" w:rsidP="00916243">
      <w:pPr>
        <w:spacing w:line="480" w:lineRule="auto"/>
        <w:ind w:firstLine="720"/>
        <w:contextualSpacing/>
        <w:jc w:val="both"/>
      </w:pPr>
      <w:r>
        <w:t xml:space="preserve">Sealy’s testimony </w:t>
      </w:r>
      <w:r w:rsidR="00995C2D">
        <w:t>could not and did not fix</w:t>
      </w:r>
      <w:r w:rsidR="00275771">
        <w:t xml:space="preserve"> the trial court’s error in allowing her opinion over defense counsel’s objection without ensuring it was </w:t>
      </w:r>
      <w:r w:rsidR="003E1653">
        <w:t>reliable</w:t>
      </w:r>
      <w:r w:rsidR="00275771">
        <w:t xml:space="preserve">.  To the contrary, Sealy’s testimony </w:t>
      </w:r>
      <w:r w:rsidR="003E1653">
        <w:t>exposed</w:t>
      </w:r>
      <w:r w:rsidR="00275771">
        <w:t xml:space="preserve"> grave concerns about the reliability of her opinion testimony.  The trial court’s admission of that opinion without a proper foundation was an abuse of discretion.</w:t>
      </w:r>
      <w:r w:rsidR="00473DC6">
        <w:t xml:space="preserve">  </w:t>
      </w:r>
      <w:r w:rsidR="00F42630">
        <w:t>N.C.G.S. § 8C-1, Rule 702(a)(1)-(3</w:t>
      </w:r>
      <w:r w:rsidR="00F42630" w:rsidRPr="00AC13FA">
        <w:t>)</w:t>
      </w:r>
      <w:r w:rsidR="009565CA">
        <w:fldChar w:fldCharType="begin"/>
      </w:r>
      <w:r w:rsidR="009565CA">
        <w:instrText xml:space="preserve"> TA \l "</w:instrText>
      </w:r>
      <w:r w:rsidR="009565CA" w:rsidRPr="00275109">
        <w:instrText>N.C.G.S. § 8C-1, Rule 702(a)(1)-(3)</w:instrText>
      </w:r>
      <w:r w:rsidR="009565CA">
        <w:instrText xml:space="preserve">" \s "N.C.G.S. § 8C-1, Rule 702(a)(1)-(3)" \c 2 </w:instrText>
      </w:r>
      <w:r w:rsidR="009565CA">
        <w:fldChar w:fldCharType="end"/>
      </w:r>
      <w:r w:rsidR="00473DC6" w:rsidRPr="00AC13FA">
        <w:t xml:space="preserve">; </w:t>
      </w:r>
      <w:r w:rsidR="00F42630" w:rsidRPr="00AC13FA">
        <w:rPr>
          <w:i/>
          <w:iCs/>
        </w:rPr>
        <w:t>McGrady</w:t>
      </w:r>
      <w:r w:rsidR="00F42630" w:rsidRPr="00AC13FA">
        <w:t>, 368 N.C. at 889</w:t>
      </w:r>
      <w:r w:rsidR="009565CA">
        <w:fldChar w:fldCharType="begin"/>
      </w:r>
      <w:r w:rsidR="009565CA">
        <w:instrText xml:space="preserve"> TA \s "McGrady, 368 N.C. at 889" </w:instrText>
      </w:r>
      <w:r w:rsidR="009565CA">
        <w:fldChar w:fldCharType="end"/>
      </w:r>
      <w:r w:rsidR="00F42630" w:rsidRPr="00AC13FA">
        <w:t>.</w:t>
      </w:r>
    </w:p>
    <w:p w14:paraId="44AC89F2" w14:textId="11574351" w:rsidR="00916243" w:rsidRPr="00EE1825" w:rsidRDefault="00916243" w:rsidP="00EE1825">
      <w:pPr>
        <w:pStyle w:val="Heading3"/>
        <w:numPr>
          <w:ilvl w:val="0"/>
          <w:numId w:val="17"/>
        </w:numPr>
      </w:pPr>
      <w:r w:rsidRPr="00EE1825">
        <w:t>The trial court</w:t>
      </w:r>
      <w:r w:rsidR="003560BC" w:rsidRPr="00EE1825">
        <w:t xml:space="preserve">’s </w:t>
      </w:r>
      <w:r w:rsidR="00995C2D">
        <w:t>error</w:t>
      </w:r>
      <w:r w:rsidR="003560BC" w:rsidRPr="00EE1825">
        <w:t xml:space="preserve"> prejudiced Mr. Rodgers</w:t>
      </w:r>
      <w:r w:rsidRPr="00EE1825">
        <w:t>.</w:t>
      </w:r>
    </w:p>
    <w:p w14:paraId="4BD31C4D" w14:textId="7CF19FD8" w:rsidR="003560BC" w:rsidRDefault="003560BC" w:rsidP="003560BC"/>
    <w:p w14:paraId="5E3FADA5" w14:textId="4002015E" w:rsidR="00D454F7" w:rsidRDefault="005F7DB8" w:rsidP="00D454F7">
      <w:pPr>
        <w:spacing w:line="480" w:lineRule="auto"/>
        <w:ind w:firstLine="720"/>
        <w:jc w:val="both"/>
      </w:pPr>
      <w:r>
        <w:t xml:space="preserve">The trial court’s error in admitting Sealy’s testimony prejudiced Mr. Rodgers because the DNA evidence was the only evidence linking Mr. Rodgers to the </w:t>
      </w:r>
      <w:r w:rsidR="003F2E5E">
        <w:t>crimes</w:t>
      </w:r>
      <w:r>
        <w:t xml:space="preserve">.  </w:t>
      </w:r>
      <w:r w:rsidR="003E1653">
        <w:t>This Court reviews preserved evidentiary errors to determine whether there was a reasonable possibility the error impacted the jury’s verdict.  N.C.G.S. § 15A-1443(a)</w:t>
      </w:r>
      <w:r w:rsidR="009565CA">
        <w:fldChar w:fldCharType="begin"/>
      </w:r>
      <w:r w:rsidR="009565CA">
        <w:instrText xml:space="preserve"> TA \l "</w:instrText>
      </w:r>
      <w:r w:rsidR="009565CA" w:rsidRPr="00275109">
        <w:instrText>N.C.G.S. § 15A-1443(a)</w:instrText>
      </w:r>
      <w:r w:rsidR="009565CA">
        <w:instrText xml:space="preserve">" \s "N.C.G.S. § 15A-1443(a)" \c 2 </w:instrText>
      </w:r>
      <w:r w:rsidR="009565CA">
        <w:fldChar w:fldCharType="end"/>
      </w:r>
      <w:r w:rsidR="003E1653">
        <w:t xml:space="preserve">; </w:t>
      </w:r>
      <w:r w:rsidR="003E1653" w:rsidRPr="00A77B22">
        <w:rPr>
          <w:i/>
          <w:iCs/>
        </w:rPr>
        <w:t>State v. Fletcher</w:t>
      </w:r>
      <w:r w:rsidR="003E1653">
        <w:t>, 370 N.C. 313, 325 (2017)</w:t>
      </w:r>
      <w:r w:rsidR="009565CA">
        <w:fldChar w:fldCharType="begin"/>
      </w:r>
      <w:r w:rsidR="009565CA">
        <w:instrText xml:space="preserve"> TA \l "</w:instrText>
      </w:r>
      <w:r w:rsidR="009565CA" w:rsidRPr="00275109">
        <w:rPr>
          <w:i/>
          <w:iCs/>
        </w:rPr>
        <w:instrText>State v. Fletcher</w:instrText>
      </w:r>
      <w:r w:rsidR="009565CA" w:rsidRPr="00275109">
        <w:instrText>, 370 N.C. 313, 325 (2017)</w:instrText>
      </w:r>
      <w:r w:rsidR="009565CA">
        <w:instrText xml:space="preserve">" \s "State v. Fletcher, 370 N.C. 313, 325 (2017)" \c 1 </w:instrText>
      </w:r>
      <w:r w:rsidR="009565CA">
        <w:fldChar w:fldCharType="end"/>
      </w:r>
      <w:r w:rsidR="003E1653">
        <w:t xml:space="preserve">.  </w:t>
      </w:r>
      <w:r w:rsidR="00253A32">
        <w:t xml:space="preserve">Even if this Court were to somehow conclude Mr. Rodgers did not appropriately preserve this issue, the error </w:t>
      </w:r>
      <w:r w:rsidR="003F2E5E">
        <w:t>constitutes plain error</w:t>
      </w:r>
      <w:r w:rsidR="00253A32">
        <w:t xml:space="preserve">.  Under plain error review, this Court must determine whether </w:t>
      </w:r>
      <w:r w:rsidR="00546DB4">
        <w:t xml:space="preserve">the error had a probable impact on the jury verdict.  </w:t>
      </w:r>
      <w:r w:rsidR="00982723" w:rsidRPr="00982723">
        <w:rPr>
          <w:i/>
          <w:iCs/>
        </w:rPr>
        <w:t>State v. Lawrence</w:t>
      </w:r>
      <w:r w:rsidR="00982723" w:rsidRPr="00982723">
        <w:t>, 365 N.C. 506, 518 (2012)</w:t>
      </w:r>
      <w:r w:rsidR="009565CA">
        <w:fldChar w:fldCharType="begin"/>
      </w:r>
      <w:r w:rsidR="009565CA">
        <w:instrText xml:space="preserve"> TA \l "</w:instrText>
      </w:r>
      <w:r w:rsidR="009565CA" w:rsidRPr="00275109">
        <w:rPr>
          <w:i/>
          <w:iCs/>
        </w:rPr>
        <w:instrText>State v. Lawrence</w:instrText>
      </w:r>
      <w:r w:rsidR="009565CA" w:rsidRPr="00275109">
        <w:instrText>, 365 N.C. 506, 518 (2012)</w:instrText>
      </w:r>
      <w:r w:rsidR="009565CA">
        <w:instrText xml:space="preserve">" \s "State v. Lawrence, 365 N.C. 506, 518 (2012)" \c 1 </w:instrText>
      </w:r>
      <w:r w:rsidR="009565CA">
        <w:fldChar w:fldCharType="end"/>
      </w:r>
      <w:r w:rsidR="00982723">
        <w:t>.</w:t>
      </w:r>
      <w:r w:rsidR="00D454F7">
        <w:t xml:space="preserve">  </w:t>
      </w:r>
    </w:p>
    <w:p w14:paraId="069CE576" w14:textId="077840FC" w:rsidR="00ED458A" w:rsidRDefault="00546DB4" w:rsidP="00D454F7">
      <w:pPr>
        <w:spacing w:line="480" w:lineRule="auto"/>
        <w:ind w:firstLine="720"/>
        <w:jc w:val="both"/>
      </w:pPr>
      <w:r>
        <w:t xml:space="preserve">Here, Sealy’s opinion that Mr. Rodgers’s DNA was consistent with the touch DNA found at the scene was the only evidence linking Mr. Rodgers to the </w:t>
      </w:r>
      <w:r w:rsidR="00910B06">
        <w:t>crimes</w:t>
      </w:r>
      <w:r>
        <w:t xml:space="preserve">.  No other testimony or evidence placed Mr. Rodgers at </w:t>
      </w:r>
      <w:proofErr w:type="spellStart"/>
      <w:proofErr w:type="gramStart"/>
      <w:r w:rsidR="00591A1B">
        <w:t>T.L</w:t>
      </w:r>
      <w:r>
        <w:t>’s</w:t>
      </w:r>
      <w:proofErr w:type="spellEnd"/>
      <w:proofErr w:type="gramEnd"/>
      <w:r>
        <w:t xml:space="preserve"> house.  </w:t>
      </w:r>
      <w:r w:rsidR="00591A1B">
        <w:t>T.L.</w:t>
      </w:r>
      <w:r>
        <w:t xml:space="preserve"> never saw the perpetrator’s face</w:t>
      </w:r>
      <w:r w:rsidR="00E97B38">
        <w:t>.</w:t>
      </w:r>
      <w:r>
        <w:t xml:space="preserve"> </w:t>
      </w:r>
      <w:r w:rsidR="00E97B38">
        <w:t xml:space="preserve"> </w:t>
      </w:r>
      <w:r w:rsidR="00C3592B">
        <w:t xml:space="preserve">She could not tell the person’s race or gender.  </w:t>
      </w:r>
      <w:r w:rsidR="00E97B38">
        <w:t xml:space="preserve">Neither the </w:t>
      </w:r>
      <w:r w:rsidR="003225D7">
        <w:t>video evidence, no</w:t>
      </w:r>
      <w:r w:rsidR="00E97B38">
        <w:t>r the</w:t>
      </w:r>
      <w:r w:rsidR="003225D7">
        <w:t xml:space="preserve"> other witness</w:t>
      </w:r>
      <w:r w:rsidR="00473DC6">
        <w:t>es</w:t>
      </w:r>
      <w:r w:rsidR="003225D7">
        <w:t xml:space="preserve"> identified Mr. Rodgers as being the perpetrator</w:t>
      </w:r>
      <w:r w:rsidR="00C3592B">
        <w:t xml:space="preserve"> or meaningfully narrowed the pool of possible suspects</w:t>
      </w:r>
      <w:r w:rsidR="003225D7">
        <w:t xml:space="preserve">.  </w:t>
      </w:r>
      <w:r w:rsidR="00EE1825">
        <w:t>Although</w:t>
      </w:r>
      <w:r w:rsidR="006E0416">
        <w:t xml:space="preserve"> fingerprints were lifted at the scene, none matched Mr. Ro</w:t>
      </w:r>
      <w:r w:rsidR="00AC302D">
        <w:t>d</w:t>
      </w:r>
      <w:r w:rsidR="006E0416">
        <w:t>gers.</w:t>
      </w:r>
      <w:r w:rsidR="00CE7F06">
        <w:t xml:space="preserve">  Mr. Ro</w:t>
      </w:r>
      <w:r w:rsidR="00AC302D">
        <w:t>d</w:t>
      </w:r>
      <w:r w:rsidR="00CE7F06">
        <w:t>gers was never seen in possession of any of the missing items</w:t>
      </w:r>
      <w:r w:rsidR="00A20E97">
        <w:t>.  No clothing matching that of the intruder was ever associate</w:t>
      </w:r>
      <w:r w:rsidR="00886614">
        <w:t>d</w:t>
      </w:r>
      <w:r w:rsidR="00A20E97">
        <w:t xml:space="preserve"> with Mr. Ro</w:t>
      </w:r>
      <w:r w:rsidR="006B1C8A">
        <w:t>d</w:t>
      </w:r>
      <w:r w:rsidR="00A20E97">
        <w:t xml:space="preserve">gers.  </w:t>
      </w:r>
      <w:r w:rsidR="003225D7">
        <w:t xml:space="preserve">Thus, without Sealy’s testimony, the State could not prove that Mr. Rodgers committed the alleged crimes in this case, and the jury </w:t>
      </w:r>
      <w:r w:rsidR="00995C2D">
        <w:t xml:space="preserve">likely </w:t>
      </w:r>
      <w:r w:rsidR="004407AC">
        <w:t xml:space="preserve">would have </w:t>
      </w:r>
      <w:r w:rsidR="003225D7">
        <w:t xml:space="preserve">reached a different verdict. </w:t>
      </w:r>
      <w:r w:rsidR="007829ED">
        <w:t xml:space="preserve"> </w:t>
      </w:r>
      <w:r w:rsidR="00E81C03">
        <w:t xml:space="preserve">Thus, </w:t>
      </w:r>
      <w:r w:rsidR="008D27DA">
        <w:t>Mr. Ro</w:t>
      </w:r>
      <w:r w:rsidR="006B1C8A">
        <w:t>d</w:t>
      </w:r>
      <w:r w:rsidR="008D27DA">
        <w:t xml:space="preserve">gers has shown prejudice </w:t>
      </w:r>
      <w:r w:rsidR="00E81C03">
        <w:t>under either the preserved or plain error</w:t>
      </w:r>
      <w:r w:rsidR="003225D7">
        <w:t xml:space="preserve"> </w:t>
      </w:r>
      <w:r w:rsidR="00E81C03">
        <w:t>standar</w:t>
      </w:r>
      <w:r w:rsidR="003408DE">
        <w:t xml:space="preserve">d.  </w:t>
      </w:r>
      <w:r w:rsidR="003225D7">
        <w:t>Consequently, this Court should vacate the judgments.</w:t>
      </w:r>
    </w:p>
    <w:p w14:paraId="02ED75C8" w14:textId="2D90EF6D" w:rsidR="00457AE5" w:rsidRDefault="00457AE5" w:rsidP="005C78E1">
      <w:pPr>
        <w:pStyle w:val="Heading2"/>
        <w:numPr>
          <w:ilvl w:val="0"/>
          <w:numId w:val="23"/>
        </w:numPr>
      </w:pPr>
      <w:r>
        <w:t xml:space="preserve">The </w:t>
      </w:r>
      <w:bookmarkStart w:id="19" w:name="_Hlk119693667"/>
      <w:r>
        <w:t>trial court erred in denying Mr. Rodgers’s motions to dismiss because the evidence of sexual battery and larceny was insufficient to support the verdicts</w:t>
      </w:r>
      <w:bookmarkEnd w:id="19"/>
      <w:r>
        <w:t>.</w:t>
      </w:r>
    </w:p>
    <w:p w14:paraId="2C3DE391" w14:textId="5D5009A4" w:rsidR="009C12C3" w:rsidRDefault="009C12C3" w:rsidP="009C12C3">
      <w:pPr>
        <w:jc w:val="both"/>
      </w:pPr>
    </w:p>
    <w:p w14:paraId="5A6576E0" w14:textId="77777777" w:rsidR="00A84311" w:rsidRDefault="00A84311" w:rsidP="00A84311">
      <w:pPr>
        <w:pStyle w:val="Heading3"/>
        <w:numPr>
          <w:ilvl w:val="0"/>
          <w:numId w:val="11"/>
        </w:numPr>
        <w:spacing w:line="480" w:lineRule="auto"/>
      </w:pPr>
      <w:bookmarkStart w:id="20" w:name="_Toc101777069"/>
      <w:r>
        <w:t>Standard of Review</w:t>
      </w:r>
    </w:p>
    <w:p w14:paraId="018E5F52" w14:textId="21B47CFC" w:rsidR="00A84311" w:rsidRPr="006E4ED1" w:rsidRDefault="00A84311" w:rsidP="00A84311">
      <w:pPr>
        <w:spacing w:line="480" w:lineRule="auto"/>
        <w:ind w:firstLine="720"/>
        <w:jc w:val="both"/>
      </w:pPr>
      <w:r w:rsidRPr="00EA64F8">
        <w:t xml:space="preserve">This Court reviews rulings on motions to dismiss de novo.  </w:t>
      </w:r>
      <w:r w:rsidRPr="00C3592B">
        <w:rPr>
          <w:i/>
          <w:iCs/>
        </w:rPr>
        <w:t>State v. Bagley</w:t>
      </w:r>
      <w:r w:rsidRPr="00EA64F8">
        <w:t>, 183 N.C. App. 514, 523 (2007)</w:t>
      </w:r>
      <w:r w:rsidR="009565CA">
        <w:fldChar w:fldCharType="begin"/>
      </w:r>
      <w:r w:rsidR="009565CA">
        <w:instrText xml:space="preserve"> TA \l "</w:instrText>
      </w:r>
      <w:r w:rsidR="009565CA" w:rsidRPr="00275109">
        <w:rPr>
          <w:i/>
          <w:iCs/>
        </w:rPr>
        <w:instrText>State v. Bagley</w:instrText>
      </w:r>
      <w:r w:rsidR="009565CA" w:rsidRPr="00275109">
        <w:instrText>, 183 N.C. App. 514, 523 (2007)</w:instrText>
      </w:r>
      <w:r w:rsidR="009565CA">
        <w:instrText xml:space="preserve">" \s "State v. Bagley, 183 N.C. App. 514, 523 (2007)" \c 1 </w:instrText>
      </w:r>
      <w:r w:rsidR="009565CA">
        <w:fldChar w:fldCharType="end"/>
      </w:r>
      <w:r w:rsidRPr="00EA64F8">
        <w:t>.</w:t>
      </w:r>
      <w:r>
        <w:t xml:space="preserve">  </w:t>
      </w:r>
      <w:proofErr w:type="gramStart"/>
      <w:r>
        <w:t>In order to</w:t>
      </w:r>
      <w:proofErr w:type="gramEnd"/>
      <w:r>
        <w:t xml:space="preserve"> survive a motion to dismiss, there must be “substantial evidence” of each element of the crime and that the defendant is the perpetrator of the crime.  </w:t>
      </w:r>
      <w:r w:rsidRPr="00DE518B">
        <w:rPr>
          <w:i/>
          <w:iCs/>
        </w:rPr>
        <w:t>Id.</w:t>
      </w:r>
      <w:r>
        <w:t xml:space="preserve"> (citations omitted).  “Substantial evidence” is evidence which a reasonable mind could conclude supports a finding of guilt beyond a reasonable doubt.  </w:t>
      </w:r>
      <w:r w:rsidRPr="00DE518B">
        <w:rPr>
          <w:i/>
          <w:iCs/>
        </w:rPr>
        <w:t>State v. Smith</w:t>
      </w:r>
      <w:r>
        <w:t>, 300 N.</w:t>
      </w:r>
      <w:r w:rsidRPr="006E4ED1">
        <w:t>C. 71, 78-79 (1980)</w:t>
      </w:r>
      <w:r w:rsidR="009565CA">
        <w:fldChar w:fldCharType="begin"/>
      </w:r>
      <w:r w:rsidR="009565CA">
        <w:instrText xml:space="preserve"> TA \l "</w:instrText>
      </w:r>
      <w:r w:rsidR="009565CA" w:rsidRPr="00275109">
        <w:rPr>
          <w:i/>
          <w:iCs/>
        </w:rPr>
        <w:instrText>State v. Smith</w:instrText>
      </w:r>
      <w:r w:rsidR="009565CA" w:rsidRPr="00275109">
        <w:instrText>, 300 N.C. 71, 78-79 (1980)</w:instrText>
      </w:r>
      <w:r w:rsidR="009565CA">
        <w:instrText xml:space="preserve">" \s "State v. Smith, 300 N.C. 71, 78-79 (1980)" \c 1 </w:instrText>
      </w:r>
      <w:r w:rsidR="009565CA">
        <w:fldChar w:fldCharType="end"/>
      </w:r>
      <w:r w:rsidRPr="006E4ED1">
        <w:t xml:space="preserve">.  Competent and incompetent evidence </w:t>
      </w:r>
      <w:r w:rsidRPr="00D338BF">
        <w:t>is considered when assessing suf</w:t>
      </w:r>
      <w:r w:rsidRPr="006E4ED1">
        <w:t xml:space="preserve">ficiency, and it is to be considered in the light most favorable to the State, including reasonable inference drawn from the evidence.  </w:t>
      </w:r>
      <w:r w:rsidRPr="006E4ED1">
        <w:rPr>
          <w:i/>
          <w:iCs/>
        </w:rPr>
        <w:t>State v. Rose</w:t>
      </w:r>
      <w:r w:rsidRPr="006E4ED1">
        <w:t>, 339 N.C. 172, 192 (1994)</w:t>
      </w:r>
      <w:r w:rsidR="009565CA">
        <w:fldChar w:fldCharType="begin"/>
      </w:r>
      <w:r w:rsidR="009565CA">
        <w:instrText xml:space="preserve"> TA \l "</w:instrText>
      </w:r>
      <w:r w:rsidR="009565CA" w:rsidRPr="00275109">
        <w:rPr>
          <w:i/>
          <w:iCs/>
        </w:rPr>
        <w:instrText>State v. Rose</w:instrText>
      </w:r>
      <w:r w:rsidR="009565CA" w:rsidRPr="00275109">
        <w:instrText>, 339 N.C. 172, 192 (1994)</w:instrText>
      </w:r>
      <w:r w:rsidR="009565CA">
        <w:instrText xml:space="preserve">" \s "State v. Rose, 339 N.C. 172, 192 (1994)" \c 1 </w:instrText>
      </w:r>
      <w:r w:rsidR="009565CA">
        <w:fldChar w:fldCharType="end"/>
      </w:r>
      <w:r w:rsidRPr="006E4ED1">
        <w:t xml:space="preserve">.  “However, our courts have repeatedly held mere speculation or suspicion to be insufficient when considering the propriety of a motion to dismiss.”  </w:t>
      </w:r>
      <w:r w:rsidRPr="006E4ED1">
        <w:rPr>
          <w:i/>
          <w:iCs/>
        </w:rPr>
        <w:t>State v. Brown</w:t>
      </w:r>
      <w:r w:rsidRPr="006E4ED1">
        <w:t>, 162 N.C. App. 333, 338 (2004)</w:t>
      </w:r>
      <w:r w:rsidR="009565CA">
        <w:fldChar w:fldCharType="begin"/>
      </w:r>
      <w:r w:rsidR="009565CA">
        <w:instrText xml:space="preserve"> TA \l "</w:instrText>
      </w:r>
      <w:r w:rsidR="009565CA" w:rsidRPr="00275109">
        <w:rPr>
          <w:i/>
          <w:iCs/>
        </w:rPr>
        <w:instrText>State v. Brown</w:instrText>
      </w:r>
      <w:r w:rsidR="009565CA" w:rsidRPr="00275109">
        <w:instrText>, 162 N.C. App. 333, 338 (2004)</w:instrText>
      </w:r>
      <w:r w:rsidR="009565CA">
        <w:instrText xml:space="preserve">" \s "State v. Brown, 162 N.C. App. 333, 338 (2004)" \c 1 </w:instrText>
      </w:r>
      <w:r w:rsidR="009565CA">
        <w:fldChar w:fldCharType="end"/>
      </w:r>
      <w:r w:rsidRPr="006E4ED1">
        <w:t>.</w:t>
      </w:r>
    </w:p>
    <w:p w14:paraId="4DEB8E80" w14:textId="77777777" w:rsidR="00A84311" w:rsidRPr="006E4ED1" w:rsidRDefault="00A84311" w:rsidP="00A84311">
      <w:pPr>
        <w:pStyle w:val="Heading3"/>
        <w:numPr>
          <w:ilvl w:val="0"/>
          <w:numId w:val="11"/>
        </w:numPr>
        <w:spacing w:line="480" w:lineRule="auto"/>
      </w:pPr>
      <w:r w:rsidRPr="006E4ED1">
        <w:t>Sexual Battery</w:t>
      </w:r>
    </w:p>
    <w:p w14:paraId="1B5D3469" w14:textId="2F90DDD8" w:rsidR="00A84311" w:rsidRPr="006E4ED1" w:rsidRDefault="00A84311" w:rsidP="00A75D88">
      <w:pPr>
        <w:spacing w:line="480" w:lineRule="auto"/>
        <w:ind w:firstLine="720"/>
        <w:jc w:val="both"/>
      </w:pPr>
      <w:r w:rsidRPr="00A84311">
        <w:t>The trial court erred in denying Mr. Rodgers’s motion to dismiss the charge of misdemeanor sexual battery because the evidence did not support a finding that any touching was for the purpose of sexual gratification</w:t>
      </w:r>
      <w:r w:rsidRPr="006E4ED1">
        <w:t xml:space="preserve">.  </w:t>
      </w:r>
      <w:r w:rsidRPr="00D338BF">
        <w:t xml:space="preserve">Our sexual battery statute </w:t>
      </w:r>
      <w:r w:rsidRPr="006E4ED1">
        <w:t>provides:</w:t>
      </w:r>
      <w:r w:rsidR="00A75D88">
        <w:t xml:space="preserve"> “</w:t>
      </w:r>
      <w:r w:rsidRPr="006E4ED1">
        <w:t>A person is guilty of sexual battery if the person, for the purpose of sexual arousal, sexual gratification, or sexual abuse, engages in sexual contact with another person</w:t>
      </w:r>
      <w:r w:rsidR="00A75D88">
        <w:t xml:space="preserve">….”  </w:t>
      </w:r>
      <w:r w:rsidRPr="006E4ED1">
        <w:t>N.C.G.S. § 14-27.33</w:t>
      </w:r>
      <w:r w:rsidR="00A75D88">
        <w:t>(a)</w:t>
      </w:r>
      <w:r w:rsidR="009565CA">
        <w:fldChar w:fldCharType="begin"/>
      </w:r>
      <w:r w:rsidR="009565CA">
        <w:instrText xml:space="preserve"> TA \l "</w:instrText>
      </w:r>
      <w:r w:rsidR="009565CA" w:rsidRPr="00275109">
        <w:instrText>N.C.G.S. § 14-27.33(a)</w:instrText>
      </w:r>
      <w:r w:rsidR="009565CA">
        <w:instrText xml:space="preserve">" \s "N.C.G.S. § 14-27.33(a)" \c 2 </w:instrText>
      </w:r>
      <w:r w:rsidR="009565CA">
        <w:fldChar w:fldCharType="end"/>
      </w:r>
      <w:r w:rsidRPr="006E4ED1">
        <w:t xml:space="preserve">.  Thus, sexual battery is a specific intent crime with an essential element that the sexual contact be for the purpose of sexual arousal, gratification, or abuse.  </w:t>
      </w:r>
      <w:r w:rsidRPr="006E4ED1">
        <w:rPr>
          <w:i/>
          <w:iCs/>
        </w:rPr>
        <w:t>Id.</w:t>
      </w:r>
      <w:r w:rsidRPr="006E4ED1">
        <w:t xml:space="preserve">  </w:t>
      </w:r>
    </w:p>
    <w:p w14:paraId="61B07197" w14:textId="76886CE9" w:rsidR="00A84311" w:rsidRPr="006E4ED1" w:rsidRDefault="00A84311" w:rsidP="00A84311">
      <w:pPr>
        <w:spacing w:line="480" w:lineRule="auto"/>
        <w:ind w:firstLine="720"/>
        <w:jc w:val="both"/>
      </w:pPr>
      <w:r w:rsidRPr="006E4ED1">
        <w:t xml:space="preserve">The element of acting for sexual arousal </w:t>
      </w:r>
      <w:r w:rsidRPr="006E4ED1">
        <w:rPr>
          <w:i/>
          <w:iCs/>
        </w:rPr>
        <w:t>may</w:t>
      </w:r>
      <w:r w:rsidRPr="006E4ED1">
        <w:t xml:space="preserve"> be inferred from the act itself.  </w:t>
      </w:r>
      <w:r w:rsidRPr="006E4ED1">
        <w:rPr>
          <w:i/>
          <w:iCs/>
        </w:rPr>
        <w:t>In re S.A.A.</w:t>
      </w:r>
      <w:r w:rsidRPr="006E4ED1">
        <w:t>, 251 N.C. App. 131, 135 (2016)</w:t>
      </w:r>
      <w:r w:rsidR="009565CA">
        <w:fldChar w:fldCharType="begin"/>
      </w:r>
      <w:r w:rsidR="009565CA">
        <w:instrText xml:space="preserve"> TA \l "</w:instrText>
      </w:r>
      <w:r w:rsidR="009565CA" w:rsidRPr="00275109">
        <w:rPr>
          <w:i/>
          <w:iCs/>
        </w:rPr>
        <w:instrText>In re S.A.A.</w:instrText>
      </w:r>
      <w:r w:rsidR="009565CA" w:rsidRPr="00275109">
        <w:instrText>, 251 N.C. App. 131, 135 (2016)</w:instrText>
      </w:r>
      <w:r w:rsidR="009565CA">
        <w:instrText xml:space="preserve">" \s "In re S.A.A., 251 N.C. App. 131, 135 (2016)" \c 1 </w:instrText>
      </w:r>
      <w:r w:rsidR="009565CA">
        <w:fldChar w:fldCharType="end"/>
      </w:r>
      <w:r w:rsidRPr="006E4ED1">
        <w:t xml:space="preserve">.  “In many cases concerning conduct alleged to constitute taking indecent liberties, it has been unnecessary to closely examine whether the challenged conduct by defendant was motivated by the purpose of arousing or gratifying sexual desire.  The conduct in those cases obviated extensive discussion regarding the purpose of the act.”  </w:t>
      </w:r>
      <w:r w:rsidRPr="006E4ED1">
        <w:rPr>
          <w:i/>
          <w:iCs/>
        </w:rPr>
        <w:t>State v. Brown</w:t>
      </w:r>
      <w:r w:rsidRPr="006E4ED1">
        <w:t>, 162 N.C. App. at 337</w:t>
      </w:r>
      <w:r w:rsidR="00231898">
        <w:fldChar w:fldCharType="begin"/>
      </w:r>
      <w:r w:rsidR="00231898">
        <w:instrText xml:space="preserve"> TA \l "</w:instrText>
      </w:r>
      <w:r w:rsidR="00231898" w:rsidRPr="00275109">
        <w:rPr>
          <w:i/>
          <w:iCs/>
        </w:rPr>
        <w:instrText>State v. Brown</w:instrText>
      </w:r>
      <w:r w:rsidR="00231898" w:rsidRPr="00275109">
        <w:instrText>, 162 N.C. App. at 337</w:instrText>
      </w:r>
      <w:r w:rsidR="00231898">
        <w:instrText xml:space="preserve">" \s "State v. Brown, 162 N.C. App. at 337" \c 1 </w:instrText>
      </w:r>
      <w:r w:rsidR="00231898">
        <w:fldChar w:fldCharType="end"/>
      </w:r>
      <w:r w:rsidRPr="006E4ED1">
        <w:t xml:space="preserve"> (citing </w:t>
      </w:r>
      <w:r w:rsidRPr="006E4ED1">
        <w:rPr>
          <w:i/>
          <w:iCs/>
        </w:rPr>
        <w:t>State v. Slone</w:t>
      </w:r>
      <w:r w:rsidRPr="006E4ED1">
        <w:t>, 76 N.C. App. 628 (1985)</w:t>
      </w:r>
      <w:r w:rsidR="00231898">
        <w:fldChar w:fldCharType="begin"/>
      </w:r>
      <w:r w:rsidR="00231898">
        <w:instrText xml:space="preserve"> TA \l "</w:instrText>
      </w:r>
      <w:r w:rsidR="00231898" w:rsidRPr="00275109">
        <w:rPr>
          <w:i/>
          <w:iCs/>
        </w:rPr>
        <w:instrText>State v. Slone</w:instrText>
      </w:r>
      <w:r w:rsidR="00231898" w:rsidRPr="00275109">
        <w:instrText>, 76 N.C. App. 628 (1985)</w:instrText>
      </w:r>
      <w:r w:rsidR="00231898">
        <w:instrText xml:space="preserve">" \s "State v. Slone, 76 N.C. App. 628 (1985)" \c 1 </w:instrText>
      </w:r>
      <w:r w:rsidR="00231898">
        <w:fldChar w:fldCharType="end"/>
      </w:r>
      <w:r w:rsidRPr="006E4ED1">
        <w:t xml:space="preserve"> (defendant placed his hand underneath a twelve-year-old victim’s softball shorts and fondled her); </w:t>
      </w:r>
      <w:r w:rsidRPr="006E4ED1">
        <w:rPr>
          <w:i/>
          <w:iCs/>
        </w:rPr>
        <w:t>State v. Bowman</w:t>
      </w:r>
      <w:r w:rsidRPr="006E4ED1">
        <w:t>, 84 N.C. App. 238 (1987)</w:t>
      </w:r>
      <w:r w:rsidR="00231898">
        <w:fldChar w:fldCharType="begin"/>
      </w:r>
      <w:r w:rsidR="00231898">
        <w:instrText xml:space="preserve"> TA \l "</w:instrText>
      </w:r>
      <w:r w:rsidR="00231898" w:rsidRPr="00275109">
        <w:rPr>
          <w:i/>
          <w:iCs/>
        </w:rPr>
        <w:instrText>State v. Bowman</w:instrText>
      </w:r>
      <w:r w:rsidR="00231898" w:rsidRPr="00275109">
        <w:instrText>, 84 N.C. App. 238 (1987)</w:instrText>
      </w:r>
      <w:r w:rsidR="00231898">
        <w:instrText xml:space="preserve">" \s "State v. Bowman, 84 N.C. App. 238 (1987)" \c 1 </w:instrText>
      </w:r>
      <w:r w:rsidR="00231898">
        <w:fldChar w:fldCharType="end"/>
      </w:r>
      <w:r w:rsidRPr="006E4ED1">
        <w:t xml:space="preserve"> (defendant laid on top of victim with his pants unzipped, kissed her, and touched her privates)).</w:t>
      </w:r>
    </w:p>
    <w:p w14:paraId="490298B4" w14:textId="49196B0D" w:rsidR="00A84311" w:rsidRPr="006E4ED1" w:rsidRDefault="00A84311" w:rsidP="00A84311">
      <w:pPr>
        <w:spacing w:line="480" w:lineRule="auto"/>
        <w:ind w:firstLine="720"/>
        <w:jc w:val="both"/>
      </w:pPr>
      <w:r w:rsidRPr="006E4ED1">
        <w:t xml:space="preserve">However, our courts have required context—in addition to the touching—surrounding sexual contact to support inferences of sexual purpose when the purpose was not obvious.  </w:t>
      </w:r>
      <w:r w:rsidRPr="006E4ED1">
        <w:rPr>
          <w:i/>
          <w:iCs/>
        </w:rPr>
        <w:t xml:space="preserve">See State v. </w:t>
      </w:r>
      <w:proofErr w:type="spellStart"/>
      <w:r w:rsidRPr="006E4ED1">
        <w:rPr>
          <w:i/>
          <w:iCs/>
        </w:rPr>
        <w:t>Patino</w:t>
      </w:r>
      <w:proofErr w:type="spellEnd"/>
      <w:r w:rsidRPr="006E4ED1">
        <w:t>, 207 N.C. App. 322, 328 (2010)</w:t>
      </w:r>
      <w:r w:rsidR="00231898">
        <w:fldChar w:fldCharType="begin"/>
      </w:r>
      <w:r w:rsidR="00231898">
        <w:instrText xml:space="preserve"> TA \l "</w:instrText>
      </w:r>
      <w:r w:rsidR="00231898" w:rsidRPr="00275109">
        <w:rPr>
          <w:i/>
          <w:iCs/>
        </w:rPr>
        <w:instrText>State v. Patino</w:instrText>
      </w:r>
      <w:r w:rsidR="00231898" w:rsidRPr="00275109">
        <w:instrText>, 207 N.C. App. 322, 328 (2010)</w:instrText>
      </w:r>
      <w:r w:rsidR="00231898">
        <w:instrText xml:space="preserve">" \s "State v. Patino, 207 N.C. App. 322, 328 (2010)" \c 1 </w:instrText>
      </w:r>
      <w:r w:rsidR="00231898">
        <w:fldChar w:fldCharType="end"/>
      </w:r>
      <w:r w:rsidRPr="006E4ED1">
        <w:t xml:space="preserve"> (the evidence was sufficient where it showed the defendant had previously asked the victim for a date and brushed against her thigh before “the defendant grabbed [the victim’s] crotch[.]”); </w:t>
      </w:r>
      <w:r w:rsidRPr="006E4ED1">
        <w:rPr>
          <w:i/>
          <w:iCs/>
        </w:rPr>
        <w:t>State v. Stanford</w:t>
      </w:r>
      <w:r w:rsidRPr="006E4ED1">
        <w:t>, 169 N.C. App. 214, 217 (2005)</w:t>
      </w:r>
      <w:r w:rsidR="00231898">
        <w:fldChar w:fldCharType="begin"/>
      </w:r>
      <w:r w:rsidR="00231898">
        <w:instrText xml:space="preserve"> TA \l "</w:instrText>
      </w:r>
      <w:r w:rsidR="00231898" w:rsidRPr="00275109">
        <w:rPr>
          <w:i/>
          <w:iCs/>
        </w:rPr>
        <w:instrText>State v. Stanford</w:instrText>
      </w:r>
      <w:r w:rsidR="00231898" w:rsidRPr="00275109">
        <w:instrText>, 169 N.C. App. 214, 217 (2005)</w:instrText>
      </w:r>
      <w:r w:rsidR="00231898">
        <w:instrText xml:space="preserve">" \s "State v. Stanford, 169 N.C. App. 214, 217 (2005)" \c 1 </w:instrText>
      </w:r>
      <w:r w:rsidR="00231898">
        <w:fldChar w:fldCharType="end"/>
      </w:r>
      <w:r w:rsidRPr="006E4ED1">
        <w:t xml:space="preserve"> (evidence was insufficient where it showed that the defendant’s hand brushed the alleged victim’s breast for a couple of seconds before the alleged victim asked the defendant what he was doing, and the defendant apologized).</w:t>
      </w:r>
    </w:p>
    <w:p w14:paraId="03A90BFC" w14:textId="77777777" w:rsidR="00A84311" w:rsidRPr="006E4ED1" w:rsidRDefault="00A84311" w:rsidP="00A84311">
      <w:pPr>
        <w:spacing w:line="480" w:lineRule="auto"/>
        <w:ind w:firstLine="720"/>
        <w:jc w:val="both"/>
        <w:rPr>
          <w:szCs w:val="26"/>
        </w:rPr>
      </w:pPr>
      <w:r w:rsidRPr="006E4ED1">
        <w:t xml:space="preserve">Here, the evidence presented did not permit a reasonable inference that the touching was for the purpose of sexual arousal or gratification.  T.L. testified that she </w:t>
      </w:r>
      <w:r w:rsidRPr="006E4ED1">
        <w:rPr>
          <w:szCs w:val="26"/>
        </w:rPr>
        <w:t>awoke to someone “touching on [her] side and [her] buttocks on [her] right side</w:t>
      </w:r>
      <w:proofErr w:type="gramStart"/>
      <w:r w:rsidRPr="006E4ED1">
        <w:rPr>
          <w:szCs w:val="26"/>
        </w:rPr>
        <w:t>[.]”  (</w:t>
      </w:r>
      <w:proofErr w:type="gramEnd"/>
      <w:r w:rsidRPr="006E4ED1">
        <w:rPr>
          <w:szCs w:val="26"/>
        </w:rPr>
        <w:t>T p 354)  As T.L. turned over in her bed to see who was touching her, “the person was walking out of [her] room.”  (T p 355</w:t>
      </w:r>
      <w:proofErr w:type="gramStart"/>
      <w:r w:rsidRPr="006E4ED1">
        <w:rPr>
          <w:szCs w:val="26"/>
        </w:rPr>
        <w:t>)  T.L.</w:t>
      </w:r>
      <w:proofErr w:type="gramEnd"/>
      <w:r w:rsidRPr="006E4ED1">
        <w:rPr>
          <w:szCs w:val="26"/>
        </w:rPr>
        <w:t xml:space="preserve"> explained that the person touched her over the shorts she was wearing.  (T p 356</w:t>
      </w:r>
      <w:proofErr w:type="gramStart"/>
      <w:r w:rsidRPr="006E4ED1">
        <w:rPr>
          <w:szCs w:val="26"/>
        </w:rPr>
        <w:t>)  Unlike</w:t>
      </w:r>
      <w:proofErr w:type="gramEnd"/>
      <w:r w:rsidRPr="006E4ED1">
        <w:rPr>
          <w:szCs w:val="26"/>
        </w:rPr>
        <w:t xml:space="preserve"> the cases in which our courts have allowed for an inference of sexual gratification, the record here does not include any other indications, beyond a simple touching, that would support such an inference.</w:t>
      </w:r>
    </w:p>
    <w:p w14:paraId="073D66D1" w14:textId="405EF096" w:rsidR="00A84311" w:rsidRPr="006E4ED1" w:rsidRDefault="00A84311" w:rsidP="00A84311">
      <w:pPr>
        <w:spacing w:line="480" w:lineRule="auto"/>
        <w:ind w:firstLine="720"/>
        <w:jc w:val="both"/>
        <w:rPr>
          <w:szCs w:val="26"/>
        </w:rPr>
      </w:pPr>
      <w:r w:rsidRPr="006E4ED1">
        <w:rPr>
          <w:szCs w:val="26"/>
        </w:rPr>
        <w:t xml:space="preserve">Moreover, like in </w:t>
      </w:r>
      <w:r w:rsidRPr="006E4ED1">
        <w:rPr>
          <w:i/>
          <w:iCs/>
          <w:szCs w:val="26"/>
        </w:rPr>
        <w:t>Stanford</w:t>
      </w:r>
      <w:r w:rsidRPr="006E4ED1">
        <w:rPr>
          <w:szCs w:val="26"/>
        </w:rPr>
        <w:t xml:space="preserve">, the record only showed that T.L. was touched on the thigh and buttocks, over her shorts, and that the touch was brief—the person who touched T.L. stopped and was walking out of her room by the time T.L. turned over to see who was touching her.  </w:t>
      </w:r>
      <w:r w:rsidRPr="006E4ED1">
        <w:rPr>
          <w:i/>
          <w:iCs/>
          <w:szCs w:val="26"/>
        </w:rPr>
        <w:t>See</w:t>
      </w:r>
      <w:r w:rsidRPr="006E4ED1">
        <w:rPr>
          <w:szCs w:val="26"/>
        </w:rPr>
        <w:t xml:space="preserve"> </w:t>
      </w:r>
      <w:r w:rsidRPr="006E4ED1">
        <w:rPr>
          <w:i/>
          <w:iCs/>
          <w:szCs w:val="26"/>
        </w:rPr>
        <w:t>Stanford</w:t>
      </w:r>
      <w:r w:rsidRPr="006E4ED1">
        <w:rPr>
          <w:szCs w:val="26"/>
        </w:rPr>
        <w:t>, 169 N.C. App. at 217</w:t>
      </w:r>
      <w:r w:rsidR="00231898">
        <w:rPr>
          <w:szCs w:val="26"/>
        </w:rPr>
        <w:fldChar w:fldCharType="begin"/>
      </w:r>
      <w:r w:rsidR="00231898">
        <w:instrText xml:space="preserve"> TA \l "</w:instrText>
      </w:r>
      <w:r w:rsidR="00231898" w:rsidRPr="00275109">
        <w:rPr>
          <w:i/>
          <w:iCs/>
          <w:szCs w:val="26"/>
        </w:rPr>
        <w:instrText>Stanford</w:instrText>
      </w:r>
      <w:r w:rsidR="00231898" w:rsidRPr="00275109">
        <w:rPr>
          <w:szCs w:val="26"/>
        </w:rPr>
        <w:instrText>, 169 N.C. App. at 217</w:instrText>
      </w:r>
      <w:r w:rsidR="00231898">
        <w:instrText xml:space="preserve">" \s "Stanford, 169 N.C. App. at 217" \c 1 </w:instrText>
      </w:r>
      <w:r w:rsidR="00231898">
        <w:rPr>
          <w:szCs w:val="26"/>
        </w:rPr>
        <w:fldChar w:fldCharType="end"/>
      </w:r>
      <w:r w:rsidRPr="006E4ED1">
        <w:rPr>
          <w:szCs w:val="26"/>
        </w:rPr>
        <w:t xml:space="preserve"> (defendant briefly brushed against the alleged victim’s breast for “only a couple seconds.”).  Thus, the evidence did not support an inference of sexual purpose.  </w:t>
      </w:r>
      <w:r w:rsidRPr="006E4ED1">
        <w:rPr>
          <w:i/>
          <w:iCs/>
          <w:szCs w:val="26"/>
        </w:rPr>
        <w:t>See id.</w:t>
      </w:r>
      <w:r w:rsidRPr="006E4ED1">
        <w:rPr>
          <w:szCs w:val="26"/>
        </w:rPr>
        <w:t xml:space="preserve">  (“</w:t>
      </w:r>
      <w:r w:rsidRPr="006E4ED1">
        <w:t xml:space="preserve">To the contrary, the evidence suggests nothing more than an accidental encounter.”).  </w:t>
      </w:r>
      <w:r w:rsidRPr="006E4ED1">
        <w:rPr>
          <w:szCs w:val="26"/>
        </w:rPr>
        <w:t>Consequently, the trial court erred in denying Mr. Rodgers’s motion to dismiss the sexual battery charge.</w:t>
      </w:r>
    </w:p>
    <w:p w14:paraId="599E101A" w14:textId="77777777" w:rsidR="00A84311" w:rsidRPr="006E4ED1" w:rsidRDefault="00A84311" w:rsidP="00A84311">
      <w:pPr>
        <w:pStyle w:val="Heading3"/>
        <w:numPr>
          <w:ilvl w:val="0"/>
          <w:numId w:val="11"/>
        </w:numPr>
      </w:pPr>
      <w:r w:rsidRPr="006E4ED1">
        <w:t>Larceny</w:t>
      </w:r>
    </w:p>
    <w:p w14:paraId="1FDCADC8" w14:textId="77777777" w:rsidR="00A84311" w:rsidRPr="006E4ED1" w:rsidRDefault="00A84311" w:rsidP="00A84311">
      <w:pPr>
        <w:jc w:val="both"/>
      </w:pPr>
    </w:p>
    <w:p w14:paraId="7003A08E" w14:textId="2BD4C869" w:rsidR="00A84311" w:rsidRPr="006E4ED1" w:rsidRDefault="00A84311" w:rsidP="00A84311">
      <w:pPr>
        <w:spacing w:line="480" w:lineRule="auto"/>
        <w:ind w:firstLine="720"/>
        <w:jc w:val="both"/>
      </w:pPr>
      <w:r w:rsidRPr="006E4ED1">
        <w:t xml:space="preserve">The trial court erred in denying Mr. Rodgers’s motion to dismiss the larceny after breaking and entering charge because the State did not present substantial evidence Mr. Rodgers took and carried away </w:t>
      </w:r>
      <w:proofErr w:type="spellStart"/>
      <w:r w:rsidRPr="006E4ED1">
        <w:t>T.L.’s</w:t>
      </w:r>
      <w:proofErr w:type="spellEnd"/>
      <w:r w:rsidRPr="006E4ED1">
        <w:t xml:space="preserve"> personal property.  A larceny conviction requires proof the defendant has taken personal property belonging to another person, carried the property away without consent, and with the intent to permanently deprive the person of the property, knowing the defendant is not entitled to the property.  N.C.G.S. § 14-72</w:t>
      </w:r>
      <w:r w:rsidR="00231898">
        <w:fldChar w:fldCharType="begin"/>
      </w:r>
      <w:r w:rsidR="00231898">
        <w:instrText xml:space="preserve"> TA \l "</w:instrText>
      </w:r>
      <w:r w:rsidR="00231898" w:rsidRPr="00275109">
        <w:instrText>N.C.G.S. § 14-72</w:instrText>
      </w:r>
      <w:r w:rsidR="00231898">
        <w:instrText xml:space="preserve">" \s "N.C.G.S. § 14-72" \c 2 </w:instrText>
      </w:r>
      <w:r w:rsidR="00231898">
        <w:fldChar w:fldCharType="end"/>
      </w:r>
      <w:r w:rsidRPr="006E4ED1">
        <w:t xml:space="preserve">.  </w:t>
      </w:r>
    </w:p>
    <w:p w14:paraId="56334BB0" w14:textId="5C9AD410" w:rsidR="00A84311" w:rsidRPr="006E4ED1" w:rsidRDefault="00A84311" w:rsidP="00A84311">
      <w:pPr>
        <w:spacing w:line="480" w:lineRule="auto"/>
        <w:ind w:firstLine="720"/>
        <w:jc w:val="both"/>
        <w:rPr>
          <w:szCs w:val="26"/>
        </w:rPr>
      </w:pPr>
      <w:r w:rsidRPr="006E4ED1">
        <w:rPr>
          <w:szCs w:val="26"/>
        </w:rPr>
        <w:t xml:space="preserve">The facts here are similar to the facts in </w:t>
      </w:r>
      <w:r w:rsidRPr="006E4ED1">
        <w:rPr>
          <w:i/>
          <w:iCs/>
          <w:szCs w:val="26"/>
        </w:rPr>
        <w:t>State v. Campbell</w:t>
      </w:r>
      <w:r w:rsidRPr="006E4ED1">
        <w:rPr>
          <w:szCs w:val="26"/>
        </w:rPr>
        <w:t>, 373 N.C. 216 (2019)</w:t>
      </w:r>
      <w:r w:rsidR="00231898">
        <w:rPr>
          <w:szCs w:val="26"/>
        </w:rPr>
        <w:fldChar w:fldCharType="begin"/>
      </w:r>
      <w:r w:rsidR="00231898">
        <w:instrText xml:space="preserve"> TA \l "</w:instrText>
      </w:r>
      <w:r w:rsidR="00231898" w:rsidRPr="00275109">
        <w:rPr>
          <w:i/>
          <w:iCs/>
          <w:szCs w:val="26"/>
        </w:rPr>
        <w:instrText>State v. Campbell</w:instrText>
      </w:r>
      <w:r w:rsidR="00231898" w:rsidRPr="00275109">
        <w:rPr>
          <w:szCs w:val="26"/>
        </w:rPr>
        <w:instrText>, 373 N.C. 216 (2019)</w:instrText>
      </w:r>
      <w:r w:rsidR="00231898">
        <w:instrText xml:space="preserve">" \s "State v. Campbell, 373 N.C. 216 (2019)" \c 1 </w:instrText>
      </w:r>
      <w:r w:rsidR="00231898">
        <w:rPr>
          <w:szCs w:val="26"/>
        </w:rPr>
        <w:fldChar w:fldCharType="end"/>
      </w:r>
      <w:r w:rsidRPr="006E4ED1">
        <w:rPr>
          <w:szCs w:val="26"/>
        </w:rPr>
        <w:t xml:space="preserve">.  In </w:t>
      </w:r>
      <w:r w:rsidRPr="006E4ED1">
        <w:rPr>
          <w:i/>
          <w:iCs/>
          <w:szCs w:val="26"/>
        </w:rPr>
        <w:t>Campbell</w:t>
      </w:r>
      <w:r w:rsidRPr="006E4ED1">
        <w:rPr>
          <w:szCs w:val="26"/>
        </w:rPr>
        <w:t xml:space="preserve">, the evidence showed the defendant had been inside a church for several early morning hours on a Thursday.  </w:t>
      </w:r>
      <w:r w:rsidRPr="006E4ED1">
        <w:rPr>
          <w:i/>
          <w:iCs/>
          <w:szCs w:val="26"/>
        </w:rPr>
        <w:t>Id.</w:t>
      </w:r>
      <w:r w:rsidRPr="006E4ED1">
        <w:rPr>
          <w:szCs w:val="26"/>
        </w:rPr>
        <w:t xml:space="preserve"> at 224.  The church noticed missing electronic equipment the following Sunday.  Defendant’s wallet was found near where some items were missing.  </w:t>
      </w:r>
      <w:r w:rsidRPr="006E4ED1">
        <w:rPr>
          <w:i/>
          <w:iCs/>
          <w:szCs w:val="26"/>
        </w:rPr>
        <w:t>Id.</w:t>
      </w:r>
      <w:r w:rsidRPr="006E4ED1">
        <w:rPr>
          <w:szCs w:val="26"/>
        </w:rPr>
        <w:t xml:space="preserve">  The State never recovered the stolen property and was unable to tie the property to the defendant.  </w:t>
      </w:r>
      <w:r w:rsidRPr="006E4ED1">
        <w:rPr>
          <w:i/>
          <w:iCs/>
          <w:szCs w:val="26"/>
        </w:rPr>
        <w:t>Id.</w:t>
      </w:r>
      <w:r w:rsidRPr="006E4ED1">
        <w:rPr>
          <w:szCs w:val="26"/>
        </w:rPr>
        <w:t xml:space="preserve">  The </w:t>
      </w:r>
      <w:r w:rsidRPr="006E4ED1">
        <w:rPr>
          <w:i/>
          <w:iCs/>
          <w:szCs w:val="26"/>
        </w:rPr>
        <w:t>Campbell</w:t>
      </w:r>
      <w:r w:rsidRPr="006E4ED1">
        <w:rPr>
          <w:szCs w:val="26"/>
        </w:rPr>
        <w:t xml:space="preserve"> Court reversed Mr. Campbell’s larceny conviction, holding that “[u]</w:t>
      </w:r>
      <w:proofErr w:type="spellStart"/>
      <w:r w:rsidRPr="006E4ED1">
        <w:rPr>
          <w:color w:val="000000"/>
          <w:shd w:val="clear" w:color="auto" w:fill="FFFFFF"/>
        </w:rPr>
        <w:t>nder</w:t>
      </w:r>
      <w:proofErr w:type="spellEnd"/>
      <w:r w:rsidRPr="006E4ED1">
        <w:rPr>
          <w:color w:val="000000"/>
          <w:shd w:val="clear" w:color="auto" w:fill="FFFFFF"/>
        </w:rPr>
        <w:t xml:space="preserve"> well-settled caselaw, evidence of a </w:t>
      </w:r>
      <w:r w:rsidR="006B1C8A" w:rsidRPr="006E4ED1">
        <w:rPr>
          <w:color w:val="000000"/>
          <w:shd w:val="clear" w:color="auto" w:fill="FFFFFF"/>
        </w:rPr>
        <w:t>defendant</w:t>
      </w:r>
      <w:r w:rsidR="006B1C8A">
        <w:rPr>
          <w:color w:val="000000"/>
          <w:shd w:val="clear" w:color="auto" w:fill="FFFFFF"/>
        </w:rPr>
        <w:t>’</w:t>
      </w:r>
      <w:r w:rsidR="006B1C8A" w:rsidRPr="006E4ED1">
        <w:rPr>
          <w:color w:val="000000"/>
          <w:shd w:val="clear" w:color="auto" w:fill="FFFFFF"/>
        </w:rPr>
        <w:t xml:space="preserve">s </w:t>
      </w:r>
      <w:r w:rsidRPr="006E4ED1">
        <w:rPr>
          <w:color w:val="000000"/>
          <w:shd w:val="clear" w:color="auto" w:fill="FFFFFF"/>
        </w:rPr>
        <w:t xml:space="preserve">mere opportunity to commit a crime is not sufficient to send the charge to the </w:t>
      </w:r>
      <w:proofErr w:type="gramStart"/>
      <w:r w:rsidRPr="006E4ED1">
        <w:rPr>
          <w:color w:val="000000"/>
          <w:shd w:val="clear" w:color="auto" w:fill="FFFFFF"/>
        </w:rPr>
        <w:t>jury[</w:t>
      </w:r>
      <w:proofErr w:type="gramEnd"/>
      <w:r w:rsidRPr="006E4ED1">
        <w:rPr>
          <w:color w:val="000000"/>
          <w:shd w:val="clear" w:color="auto" w:fill="FFFFFF"/>
        </w:rPr>
        <w:t xml:space="preserve">,]”  </w:t>
      </w:r>
      <w:r w:rsidRPr="006E4ED1">
        <w:rPr>
          <w:i/>
          <w:iCs/>
          <w:color w:val="000000"/>
          <w:shd w:val="clear" w:color="auto" w:fill="FFFFFF"/>
        </w:rPr>
        <w:t>Id</w:t>
      </w:r>
      <w:r w:rsidRPr="006E4ED1">
        <w:rPr>
          <w:color w:val="000000"/>
          <w:shd w:val="clear" w:color="auto" w:fill="FFFFFF"/>
        </w:rPr>
        <w:t xml:space="preserve">. at 221, and the evidence before the Court </w:t>
      </w:r>
      <w:r w:rsidRPr="006E4ED1">
        <w:rPr>
          <w:szCs w:val="26"/>
        </w:rPr>
        <w:t xml:space="preserve">“merely proved that defendant was present inside the church for several hours during the four-day period in which the equipment was taken.”  </w:t>
      </w:r>
      <w:r w:rsidRPr="006E4ED1">
        <w:rPr>
          <w:i/>
          <w:iCs/>
          <w:szCs w:val="26"/>
        </w:rPr>
        <w:t>Id.</w:t>
      </w:r>
      <w:r w:rsidRPr="006E4ED1">
        <w:rPr>
          <w:szCs w:val="26"/>
        </w:rPr>
        <w:t xml:space="preserve"> at 225</w:t>
      </w:r>
      <w:bookmarkStart w:id="21" w:name="_Hlk116911629"/>
      <w:r w:rsidR="00231898">
        <w:rPr>
          <w:szCs w:val="26"/>
        </w:rPr>
        <w:fldChar w:fldCharType="begin"/>
      </w:r>
      <w:r w:rsidR="00231898">
        <w:instrText xml:space="preserve"> TA \l "</w:instrText>
      </w:r>
      <w:r w:rsidR="00231898" w:rsidRPr="00275109">
        <w:rPr>
          <w:i/>
          <w:iCs/>
          <w:szCs w:val="26"/>
        </w:rPr>
        <w:instrText>Id.</w:instrText>
      </w:r>
      <w:r w:rsidR="00231898" w:rsidRPr="00275109">
        <w:rPr>
          <w:szCs w:val="26"/>
        </w:rPr>
        <w:instrText xml:space="preserve"> at 225</w:instrText>
      </w:r>
      <w:r w:rsidR="00231898">
        <w:instrText xml:space="preserve">" \s "Id. at 225" \c 1 </w:instrText>
      </w:r>
      <w:r w:rsidR="00231898">
        <w:rPr>
          <w:szCs w:val="26"/>
        </w:rPr>
        <w:fldChar w:fldCharType="end"/>
      </w:r>
      <w:r w:rsidRPr="006E4ED1">
        <w:rPr>
          <w:szCs w:val="26"/>
        </w:rPr>
        <w:t>.</w:t>
      </w:r>
      <w:bookmarkEnd w:id="21"/>
    </w:p>
    <w:p w14:paraId="08EB928E" w14:textId="651C2231" w:rsidR="00A84311" w:rsidRPr="006E4ED1" w:rsidRDefault="00A84311" w:rsidP="00A84311">
      <w:pPr>
        <w:spacing w:line="480" w:lineRule="auto"/>
        <w:ind w:firstLine="720"/>
        <w:jc w:val="both"/>
        <w:rPr>
          <w:szCs w:val="26"/>
        </w:rPr>
      </w:pPr>
      <w:r w:rsidRPr="006E4ED1">
        <w:rPr>
          <w:szCs w:val="26"/>
        </w:rPr>
        <w:t xml:space="preserve">In reaching its conclusion, the </w:t>
      </w:r>
      <w:r w:rsidRPr="006E4ED1">
        <w:rPr>
          <w:i/>
          <w:iCs/>
          <w:szCs w:val="26"/>
        </w:rPr>
        <w:t>Campbell</w:t>
      </w:r>
      <w:r w:rsidRPr="006E4ED1">
        <w:rPr>
          <w:szCs w:val="26"/>
        </w:rPr>
        <w:t xml:space="preserve"> Court cited several cases that applied the same principle that the opportunity to commit a crime is not enough to prove guilt.  </w:t>
      </w:r>
      <w:r w:rsidRPr="006E4ED1">
        <w:rPr>
          <w:i/>
          <w:iCs/>
          <w:szCs w:val="26"/>
        </w:rPr>
        <w:t>State v. Murphy</w:t>
      </w:r>
      <w:r w:rsidRPr="006E4ED1">
        <w:rPr>
          <w:szCs w:val="26"/>
        </w:rPr>
        <w:t>, 225 N.C. 115 (1945)</w:t>
      </w:r>
      <w:r w:rsidR="00231898">
        <w:rPr>
          <w:szCs w:val="26"/>
        </w:rPr>
        <w:fldChar w:fldCharType="begin"/>
      </w:r>
      <w:r w:rsidR="00231898">
        <w:instrText xml:space="preserve"> TA \l "</w:instrText>
      </w:r>
      <w:r w:rsidR="00231898" w:rsidRPr="00275109">
        <w:rPr>
          <w:i/>
          <w:iCs/>
          <w:szCs w:val="26"/>
        </w:rPr>
        <w:instrText>State v. Murphy</w:instrText>
      </w:r>
      <w:r w:rsidR="00231898" w:rsidRPr="00275109">
        <w:rPr>
          <w:szCs w:val="26"/>
        </w:rPr>
        <w:instrText>, 225 N.C. 115 (1945)</w:instrText>
      </w:r>
      <w:r w:rsidR="00231898">
        <w:instrText xml:space="preserve">" \s "State v. Murphy, 225 N.C. 115 (1945)" \c 1 </w:instrText>
      </w:r>
      <w:r w:rsidR="00231898">
        <w:rPr>
          <w:szCs w:val="26"/>
        </w:rPr>
        <w:fldChar w:fldCharType="end"/>
      </w:r>
      <w:r w:rsidRPr="006E4ED1">
        <w:rPr>
          <w:szCs w:val="26"/>
        </w:rPr>
        <w:t xml:space="preserve"> was one of those cases.  There, two defendants assaulted a man and left him unconscious in the street.  Two women moved him to a porch.  When he regained consciousness, he discovered he was missing his wallet.  The two defendants were charged with assault and robbery.  The robbery convictions were overturned for insufficient evidence because the victim was unconscious when his wallet was taken, and the defendants were not the only people present in the time frame that the wallet disappeared. “Under such circumstances, to find that any particular person took the money is to enter the realm of </w:t>
      </w:r>
      <w:proofErr w:type="gramStart"/>
      <w:r w:rsidRPr="006E4ED1">
        <w:rPr>
          <w:szCs w:val="26"/>
        </w:rPr>
        <w:t>speculation[</w:t>
      </w:r>
      <w:proofErr w:type="gramEnd"/>
      <w:r w:rsidRPr="006E4ED1">
        <w:rPr>
          <w:szCs w:val="26"/>
        </w:rPr>
        <w:t xml:space="preserve">,]”  </w:t>
      </w:r>
      <w:r w:rsidRPr="006E4ED1">
        <w:rPr>
          <w:i/>
          <w:iCs/>
          <w:szCs w:val="26"/>
        </w:rPr>
        <w:t>Id</w:t>
      </w:r>
      <w:r w:rsidRPr="006E4ED1">
        <w:rPr>
          <w:szCs w:val="26"/>
        </w:rPr>
        <w:t xml:space="preserve">. at 117, and a charge cannot be sustained based merely on suspicion or conjecture of the defendant’s guilt. </w:t>
      </w:r>
      <w:r w:rsidRPr="006E4ED1">
        <w:rPr>
          <w:i/>
          <w:iCs/>
          <w:szCs w:val="26"/>
        </w:rPr>
        <w:t>Id.</w:t>
      </w:r>
      <w:r w:rsidRPr="006E4ED1">
        <w:rPr>
          <w:szCs w:val="26"/>
        </w:rPr>
        <w:t xml:space="preserve"> at 116</w:t>
      </w:r>
      <w:r w:rsidR="00231898">
        <w:rPr>
          <w:szCs w:val="26"/>
        </w:rPr>
        <w:fldChar w:fldCharType="begin"/>
      </w:r>
      <w:r w:rsidR="00231898">
        <w:instrText xml:space="preserve"> TA \l "</w:instrText>
      </w:r>
      <w:r w:rsidR="00231898" w:rsidRPr="00275109">
        <w:rPr>
          <w:i/>
          <w:iCs/>
          <w:szCs w:val="26"/>
        </w:rPr>
        <w:instrText>Id.</w:instrText>
      </w:r>
      <w:r w:rsidR="00231898" w:rsidRPr="00275109">
        <w:rPr>
          <w:szCs w:val="26"/>
        </w:rPr>
        <w:instrText xml:space="preserve"> at 116</w:instrText>
      </w:r>
      <w:r w:rsidR="00231898">
        <w:instrText xml:space="preserve">" \s "Id. at 116" \c 1 </w:instrText>
      </w:r>
      <w:r w:rsidR="00231898">
        <w:rPr>
          <w:szCs w:val="26"/>
        </w:rPr>
        <w:fldChar w:fldCharType="end"/>
      </w:r>
      <w:r w:rsidRPr="006E4ED1">
        <w:rPr>
          <w:szCs w:val="26"/>
        </w:rPr>
        <w:t>.</w:t>
      </w:r>
    </w:p>
    <w:p w14:paraId="50620F7A" w14:textId="495F0006" w:rsidR="00A84311" w:rsidRPr="006E4ED1" w:rsidRDefault="00A84311" w:rsidP="00A84311">
      <w:pPr>
        <w:spacing w:line="480" w:lineRule="auto"/>
        <w:ind w:firstLine="720"/>
        <w:jc w:val="both"/>
        <w:rPr>
          <w:szCs w:val="26"/>
        </w:rPr>
      </w:pPr>
      <w:r w:rsidRPr="006E4ED1">
        <w:rPr>
          <w:szCs w:val="26"/>
        </w:rPr>
        <w:t xml:space="preserve">The </w:t>
      </w:r>
      <w:r w:rsidRPr="006E4ED1">
        <w:rPr>
          <w:i/>
          <w:iCs/>
          <w:szCs w:val="26"/>
        </w:rPr>
        <w:t>Campbell</w:t>
      </w:r>
      <w:r w:rsidRPr="006E4ED1">
        <w:rPr>
          <w:szCs w:val="26"/>
        </w:rPr>
        <w:t xml:space="preserve"> Court also cited </w:t>
      </w:r>
      <w:r w:rsidRPr="006E4ED1">
        <w:rPr>
          <w:i/>
          <w:iCs/>
          <w:szCs w:val="26"/>
        </w:rPr>
        <w:t>State v. Moore</w:t>
      </w:r>
      <w:r w:rsidRPr="006E4ED1">
        <w:rPr>
          <w:szCs w:val="26"/>
        </w:rPr>
        <w:t>, 312 N.C. 607 (1985)</w:t>
      </w:r>
      <w:r w:rsidR="00231898">
        <w:rPr>
          <w:szCs w:val="26"/>
        </w:rPr>
        <w:fldChar w:fldCharType="begin"/>
      </w:r>
      <w:r w:rsidR="00231898">
        <w:instrText xml:space="preserve"> TA \l "</w:instrText>
      </w:r>
      <w:r w:rsidR="00231898" w:rsidRPr="00275109">
        <w:rPr>
          <w:i/>
          <w:iCs/>
          <w:szCs w:val="26"/>
        </w:rPr>
        <w:instrText>State v. Moore</w:instrText>
      </w:r>
      <w:r w:rsidR="00231898" w:rsidRPr="00275109">
        <w:rPr>
          <w:szCs w:val="26"/>
        </w:rPr>
        <w:instrText>, 312 N.C. 607 (1985)</w:instrText>
      </w:r>
      <w:r w:rsidR="00231898">
        <w:instrText xml:space="preserve">" \s "State v. Moore, 312 N.C. 607 (1985)" \c 1 </w:instrText>
      </w:r>
      <w:r w:rsidR="00231898">
        <w:rPr>
          <w:szCs w:val="26"/>
        </w:rPr>
        <w:fldChar w:fldCharType="end"/>
      </w:r>
      <w:r w:rsidRPr="006E4ED1">
        <w:rPr>
          <w:szCs w:val="26"/>
        </w:rPr>
        <w:t xml:space="preserve">, another case where it held the evidence insufficient to prove a robbery charge.  There, the defendant sexually assaulted a store clerk and left her in a bathroom.  Sometime after the defendant left, the clerk ran to </w:t>
      </w:r>
      <w:proofErr w:type="gramStart"/>
      <w:r w:rsidRPr="006E4ED1">
        <w:rPr>
          <w:szCs w:val="26"/>
        </w:rPr>
        <w:t>a neighboring business and summoned police</w:t>
      </w:r>
      <w:proofErr w:type="gramEnd"/>
      <w:r w:rsidRPr="006E4ED1">
        <w:rPr>
          <w:szCs w:val="26"/>
        </w:rPr>
        <w:t xml:space="preserve">.  Approximately two hours after the assault, the clerk notice her wallet was missing from a stool </w:t>
      </w:r>
      <w:r w:rsidR="00995C2D">
        <w:rPr>
          <w:szCs w:val="26"/>
        </w:rPr>
        <w:t>where</w:t>
      </w:r>
      <w:r w:rsidRPr="006E4ED1">
        <w:rPr>
          <w:szCs w:val="26"/>
        </w:rPr>
        <w:t xml:space="preserve"> she had </w:t>
      </w:r>
      <w:r w:rsidR="00995C2D">
        <w:rPr>
          <w:szCs w:val="26"/>
        </w:rPr>
        <w:t>left</w:t>
      </w:r>
      <w:r w:rsidR="00995C2D" w:rsidRPr="006E4ED1">
        <w:rPr>
          <w:szCs w:val="26"/>
        </w:rPr>
        <w:t xml:space="preserve"> </w:t>
      </w:r>
      <w:r w:rsidRPr="006E4ED1">
        <w:rPr>
          <w:szCs w:val="26"/>
        </w:rPr>
        <w:t xml:space="preserve">it.  The Court concluded that though defendant had the opportunity to take the victim’s wallet, other might have also.  The Court held that the evidence disclosed no more than the defendant’s opportunity to commit the robbery, which was insufficient to sustain his conviction. </w:t>
      </w:r>
      <w:r w:rsidRPr="006E4ED1">
        <w:rPr>
          <w:i/>
          <w:iCs/>
          <w:szCs w:val="26"/>
        </w:rPr>
        <w:t>Id</w:t>
      </w:r>
      <w:r w:rsidRPr="006E4ED1">
        <w:rPr>
          <w:szCs w:val="26"/>
        </w:rPr>
        <w:t>. at 612-13</w:t>
      </w:r>
      <w:r w:rsidR="00231898">
        <w:rPr>
          <w:szCs w:val="26"/>
        </w:rPr>
        <w:fldChar w:fldCharType="begin"/>
      </w:r>
      <w:r w:rsidR="00231898">
        <w:instrText xml:space="preserve"> TA \l "</w:instrText>
      </w:r>
      <w:r w:rsidR="00231898" w:rsidRPr="00275109">
        <w:rPr>
          <w:i/>
          <w:iCs/>
          <w:szCs w:val="26"/>
        </w:rPr>
        <w:instrText>Id</w:instrText>
      </w:r>
      <w:r w:rsidR="00231898" w:rsidRPr="00275109">
        <w:rPr>
          <w:szCs w:val="26"/>
        </w:rPr>
        <w:instrText>. at 612-13</w:instrText>
      </w:r>
      <w:r w:rsidR="00231898">
        <w:instrText xml:space="preserve">" \s "Id. at 612-13" \c 1 </w:instrText>
      </w:r>
      <w:r w:rsidR="00231898">
        <w:rPr>
          <w:szCs w:val="26"/>
        </w:rPr>
        <w:fldChar w:fldCharType="end"/>
      </w:r>
      <w:r w:rsidRPr="006E4ED1">
        <w:rPr>
          <w:szCs w:val="26"/>
        </w:rPr>
        <w:t xml:space="preserve">. </w:t>
      </w:r>
    </w:p>
    <w:p w14:paraId="5CF89682" w14:textId="4C149CE3" w:rsidR="00A84311" w:rsidRPr="006E4ED1" w:rsidRDefault="00A84311" w:rsidP="00A84311">
      <w:pPr>
        <w:spacing w:line="480" w:lineRule="auto"/>
        <w:ind w:firstLine="720"/>
        <w:jc w:val="both"/>
        <w:rPr>
          <w:szCs w:val="26"/>
        </w:rPr>
      </w:pPr>
      <w:r w:rsidRPr="006E4ED1">
        <w:t xml:space="preserve">Here, </w:t>
      </w:r>
      <w:r w:rsidRPr="00D338BF">
        <w:t xml:space="preserve">like in </w:t>
      </w:r>
      <w:r w:rsidRPr="006E4ED1">
        <w:rPr>
          <w:i/>
          <w:iCs/>
        </w:rPr>
        <w:t>Campbell</w:t>
      </w:r>
      <w:r w:rsidRPr="006E4ED1">
        <w:t>,</w:t>
      </w:r>
      <w:r w:rsidRPr="006E4ED1">
        <w:rPr>
          <w:i/>
          <w:iCs/>
        </w:rPr>
        <w:t xml:space="preserve"> </w:t>
      </w:r>
      <w:r w:rsidRPr="006E4ED1">
        <w:t xml:space="preserve">the record </w:t>
      </w:r>
      <w:r w:rsidR="00995C2D">
        <w:t>does not show th</w:t>
      </w:r>
      <w:r w:rsidR="00994A41">
        <w:t xml:space="preserve">e </w:t>
      </w:r>
      <w:r w:rsidR="00995C2D">
        <w:t xml:space="preserve">person who entered </w:t>
      </w:r>
      <w:proofErr w:type="spellStart"/>
      <w:r w:rsidR="00995C2D">
        <w:t>T</w:t>
      </w:r>
      <w:r w:rsidR="001576F8">
        <w:t>.L.’s</w:t>
      </w:r>
      <w:proofErr w:type="spellEnd"/>
      <w:r w:rsidR="001576F8">
        <w:t xml:space="preserve"> house through the window was the person who stole things.  </w:t>
      </w:r>
      <w:r w:rsidRPr="006E4ED1">
        <w:t xml:space="preserve">T.L. saw someone in her house.  T.L. did not see that person carrying anything away </w:t>
      </w:r>
      <w:r w:rsidR="001576F8">
        <w:t>upon leaving</w:t>
      </w:r>
      <w:r w:rsidRPr="006E4ED1">
        <w:t xml:space="preserve">.  </w:t>
      </w:r>
      <w:r w:rsidRPr="006E4ED1">
        <w:rPr>
          <w:szCs w:val="26"/>
        </w:rPr>
        <w:t>(T p 379</w:t>
      </w:r>
      <w:proofErr w:type="gramStart"/>
      <w:r w:rsidRPr="006E4ED1">
        <w:rPr>
          <w:szCs w:val="26"/>
        </w:rPr>
        <w:t>)  T.L.</w:t>
      </w:r>
      <w:proofErr w:type="gramEnd"/>
      <w:r w:rsidRPr="006E4ED1">
        <w:rPr>
          <w:szCs w:val="26"/>
        </w:rPr>
        <w:t xml:space="preserve"> testified that she left her home during the police investigation.  (T p 378</w:t>
      </w:r>
      <w:proofErr w:type="gramStart"/>
      <w:r w:rsidRPr="006E4ED1">
        <w:rPr>
          <w:szCs w:val="26"/>
        </w:rPr>
        <w:t>)  She</w:t>
      </w:r>
      <w:proofErr w:type="gramEnd"/>
      <w:r w:rsidRPr="006E4ED1">
        <w:rPr>
          <w:szCs w:val="26"/>
        </w:rPr>
        <w:t xml:space="preserve"> stated she only noticed the missing items after she returned to the house the next morning.  (T pp 378, 390</w:t>
      </w:r>
      <w:proofErr w:type="gramStart"/>
      <w:r w:rsidRPr="006E4ED1">
        <w:rPr>
          <w:szCs w:val="26"/>
        </w:rPr>
        <w:t>)  There</w:t>
      </w:r>
      <w:proofErr w:type="gramEnd"/>
      <w:r w:rsidRPr="006E4ED1">
        <w:rPr>
          <w:szCs w:val="26"/>
        </w:rPr>
        <w:t xml:space="preserve"> was no evidence about how the police left the home after completing their investigation.  There was evidence that someone else had a key to </w:t>
      </w:r>
      <w:proofErr w:type="spellStart"/>
      <w:r w:rsidRPr="006E4ED1">
        <w:rPr>
          <w:szCs w:val="26"/>
        </w:rPr>
        <w:t>T.L.’s</w:t>
      </w:r>
      <w:proofErr w:type="spellEnd"/>
      <w:r w:rsidRPr="006E4ED1">
        <w:rPr>
          <w:szCs w:val="26"/>
        </w:rPr>
        <w:t xml:space="preserve"> home.  The State presented no evidence that Mr. Rodgers ever possessed any of the stolen items. </w:t>
      </w:r>
    </w:p>
    <w:p w14:paraId="47B2D53D" w14:textId="7C934D4D" w:rsidR="00A84311" w:rsidRPr="002178D9" w:rsidRDefault="00A84311" w:rsidP="00A84311">
      <w:pPr>
        <w:spacing w:line="480" w:lineRule="auto"/>
        <w:ind w:firstLine="720"/>
        <w:jc w:val="both"/>
        <w:rPr>
          <w:i/>
          <w:iCs/>
          <w:szCs w:val="26"/>
        </w:rPr>
      </w:pPr>
      <w:r w:rsidRPr="006E4ED1">
        <w:rPr>
          <w:szCs w:val="26"/>
        </w:rPr>
        <w:t>The evidence, at</w:t>
      </w:r>
      <w:r>
        <w:rPr>
          <w:szCs w:val="26"/>
        </w:rPr>
        <w:t xml:space="preserve"> best only raises a suspicion</w:t>
      </w:r>
      <w:r w:rsidR="001576F8">
        <w:rPr>
          <w:szCs w:val="26"/>
        </w:rPr>
        <w:t xml:space="preserve"> or conjecture that the person who entered </w:t>
      </w:r>
      <w:proofErr w:type="spellStart"/>
      <w:r w:rsidR="001576F8">
        <w:rPr>
          <w:szCs w:val="26"/>
        </w:rPr>
        <w:t>T.L.’s</w:t>
      </w:r>
      <w:proofErr w:type="spellEnd"/>
      <w:r w:rsidR="001576F8">
        <w:rPr>
          <w:szCs w:val="26"/>
        </w:rPr>
        <w:t xml:space="preserve"> home was the same person who took items not discovered missing until the next day.</w:t>
      </w:r>
      <w:r>
        <w:rPr>
          <w:szCs w:val="26"/>
        </w:rPr>
        <w:t xml:space="preserve">  </w:t>
      </w:r>
      <w:r w:rsidRPr="009F4608">
        <w:rPr>
          <w:i/>
          <w:iCs/>
          <w:szCs w:val="26"/>
        </w:rPr>
        <w:t>Id.</w:t>
      </w:r>
      <w:r>
        <w:rPr>
          <w:szCs w:val="26"/>
        </w:rPr>
        <w:t xml:space="preserve"> at 223</w:t>
      </w:r>
      <w:r w:rsidR="00231898">
        <w:rPr>
          <w:szCs w:val="26"/>
        </w:rPr>
        <w:fldChar w:fldCharType="begin"/>
      </w:r>
      <w:r w:rsidR="00231898">
        <w:instrText xml:space="preserve"> TA \l "</w:instrText>
      </w:r>
      <w:r w:rsidR="00231898" w:rsidRPr="00275109">
        <w:rPr>
          <w:i/>
          <w:iCs/>
          <w:szCs w:val="26"/>
        </w:rPr>
        <w:instrText>Id.</w:instrText>
      </w:r>
      <w:r w:rsidR="00231898" w:rsidRPr="00275109">
        <w:rPr>
          <w:szCs w:val="26"/>
        </w:rPr>
        <w:instrText xml:space="preserve"> at 223</w:instrText>
      </w:r>
      <w:r w:rsidR="00231898">
        <w:instrText xml:space="preserve">" \s "Id. at 223" \c 1 </w:instrText>
      </w:r>
      <w:r w:rsidR="00231898">
        <w:rPr>
          <w:szCs w:val="26"/>
        </w:rPr>
        <w:fldChar w:fldCharType="end"/>
      </w:r>
      <w:r>
        <w:rPr>
          <w:szCs w:val="26"/>
        </w:rPr>
        <w:t>.  Therefore, the trial court should have granted Mr. Rodgers’s motion to dismiss the larceny charge.</w:t>
      </w:r>
    </w:p>
    <w:p w14:paraId="55B52751" w14:textId="3B38F721" w:rsidR="0065410F" w:rsidRPr="00D350F6" w:rsidRDefault="0065410F" w:rsidP="00D350F6">
      <w:pPr>
        <w:pStyle w:val="Heading1"/>
      </w:pPr>
      <w:r w:rsidRPr="00D350F6">
        <w:t>CONCLUSION</w:t>
      </w:r>
      <w:bookmarkEnd w:id="20"/>
    </w:p>
    <w:p w14:paraId="09DF4B88" w14:textId="697E24EE" w:rsidR="00B257D3" w:rsidRPr="00C3297D" w:rsidRDefault="00682422" w:rsidP="00B257D3">
      <w:pPr>
        <w:keepNext/>
        <w:keepLines/>
        <w:spacing w:line="480" w:lineRule="auto"/>
        <w:contextualSpacing/>
        <w:jc w:val="both"/>
        <w:rPr>
          <w:rFonts w:eastAsia="Times New Roman"/>
          <w:kern w:val="1"/>
          <w:szCs w:val="26"/>
          <w:lang w:eastAsia="hi-IN" w:bidi="hi-IN"/>
        </w:rPr>
      </w:pPr>
      <w:r w:rsidRPr="00C3297D">
        <w:rPr>
          <w:rFonts w:eastAsia="Times New Roman"/>
          <w:kern w:val="1"/>
          <w:szCs w:val="26"/>
          <w:lang w:eastAsia="hi-IN" w:bidi="hi-IN"/>
        </w:rPr>
        <w:tab/>
      </w:r>
      <w:r w:rsidRPr="007777FE">
        <w:rPr>
          <w:rFonts w:eastAsia="Times New Roman"/>
          <w:kern w:val="1"/>
          <w:szCs w:val="26"/>
          <w:lang w:eastAsia="hi-IN" w:bidi="hi-IN"/>
        </w:rPr>
        <w:t xml:space="preserve">For the foregoing reasons, Mr. </w:t>
      </w:r>
      <w:r w:rsidR="00C87567" w:rsidRPr="007777FE">
        <w:rPr>
          <w:rFonts w:eastAsia="Times New Roman"/>
          <w:kern w:val="1"/>
          <w:szCs w:val="26"/>
          <w:lang w:eastAsia="hi-IN" w:bidi="hi-IN"/>
        </w:rPr>
        <w:t>Rodgers</w:t>
      </w:r>
      <w:r w:rsidRPr="007777FE">
        <w:rPr>
          <w:rFonts w:eastAsia="Times New Roman"/>
          <w:kern w:val="1"/>
          <w:szCs w:val="26"/>
          <w:lang w:eastAsia="hi-IN" w:bidi="hi-IN"/>
        </w:rPr>
        <w:t xml:space="preserve"> respectfully requests this </w:t>
      </w:r>
      <w:r w:rsidR="00E836E7" w:rsidRPr="007777FE">
        <w:rPr>
          <w:rFonts w:eastAsia="Times New Roman"/>
          <w:kern w:val="1"/>
          <w:szCs w:val="26"/>
          <w:lang w:eastAsia="hi-IN" w:bidi="hi-IN"/>
        </w:rPr>
        <w:t xml:space="preserve">Court </w:t>
      </w:r>
      <w:r w:rsidR="007777FE" w:rsidRPr="007777FE">
        <w:rPr>
          <w:rFonts w:eastAsia="Times New Roman"/>
          <w:kern w:val="1"/>
          <w:szCs w:val="26"/>
          <w:lang w:eastAsia="hi-IN" w:bidi="hi-IN"/>
        </w:rPr>
        <w:t xml:space="preserve">reverse the larceny and sexual battery judgments.  For any judgment that survives a sufficiency review, Mr. Rodgers requests this Court </w:t>
      </w:r>
      <w:r w:rsidR="00C843BC" w:rsidRPr="007777FE">
        <w:rPr>
          <w:rFonts w:eastAsia="Times New Roman"/>
          <w:kern w:val="1"/>
          <w:szCs w:val="26"/>
          <w:lang w:eastAsia="hi-IN" w:bidi="hi-IN"/>
        </w:rPr>
        <w:t xml:space="preserve">vacate the </w:t>
      </w:r>
      <w:r w:rsidR="00C87567" w:rsidRPr="007777FE">
        <w:rPr>
          <w:rFonts w:eastAsia="Times New Roman"/>
          <w:kern w:val="1"/>
          <w:szCs w:val="26"/>
          <w:lang w:eastAsia="hi-IN" w:bidi="hi-IN"/>
        </w:rPr>
        <w:t>j</w:t>
      </w:r>
      <w:r w:rsidR="00C843BC" w:rsidRPr="007777FE">
        <w:rPr>
          <w:rFonts w:eastAsia="Times New Roman"/>
          <w:kern w:val="1"/>
          <w:szCs w:val="26"/>
          <w:lang w:eastAsia="hi-IN" w:bidi="hi-IN"/>
        </w:rPr>
        <w:t>udgment</w:t>
      </w:r>
      <w:r w:rsidR="00C87567" w:rsidRPr="007777FE">
        <w:rPr>
          <w:rFonts w:eastAsia="Times New Roman"/>
          <w:kern w:val="1"/>
          <w:szCs w:val="26"/>
          <w:lang w:eastAsia="hi-IN" w:bidi="hi-IN"/>
        </w:rPr>
        <w:t>s</w:t>
      </w:r>
      <w:r w:rsidR="00C843BC" w:rsidRPr="007777FE">
        <w:rPr>
          <w:rFonts w:eastAsia="Times New Roman"/>
          <w:kern w:val="1"/>
          <w:szCs w:val="26"/>
          <w:lang w:eastAsia="hi-IN" w:bidi="hi-IN"/>
        </w:rPr>
        <w:t xml:space="preserve"> </w:t>
      </w:r>
      <w:r w:rsidRPr="007777FE">
        <w:rPr>
          <w:rFonts w:eastAsia="Times New Roman"/>
          <w:kern w:val="1"/>
          <w:szCs w:val="26"/>
          <w:lang w:eastAsia="hi-IN" w:bidi="hi-IN"/>
        </w:rPr>
        <w:t xml:space="preserve">and remand for a </w:t>
      </w:r>
      <w:r w:rsidR="0013654E" w:rsidRPr="007777FE">
        <w:rPr>
          <w:rFonts w:eastAsia="Times New Roman"/>
          <w:kern w:val="1"/>
          <w:szCs w:val="26"/>
          <w:lang w:eastAsia="hi-IN" w:bidi="hi-IN"/>
        </w:rPr>
        <w:t xml:space="preserve">new </w:t>
      </w:r>
      <w:r w:rsidR="00C843BC" w:rsidRPr="007777FE">
        <w:rPr>
          <w:rFonts w:eastAsia="Times New Roman"/>
          <w:kern w:val="1"/>
          <w:szCs w:val="26"/>
          <w:lang w:eastAsia="hi-IN" w:bidi="hi-IN"/>
        </w:rPr>
        <w:t>trial</w:t>
      </w:r>
      <w:r w:rsidRPr="007777FE">
        <w:rPr>
          <w:rFonts w:eastAsia="Times New Roman"/>
          <w:kern w:val="1"/>
          <w:szCs w:val="26"/>
          <w:lang w:eastAsia="hi-IN" w:bidi="hi-IN"/>
        </w:rPr>
        <w:t>.</w:t>
      </w:r>
      <w:r w:rsidR="00954839">
        <w:rPr>
          <w:rFonts w:eastAsia="Times New Roman"/>
          <w:kern w:val="1"/>
          <w:szCs w:val="26"/>
          <w:lang w:eastAsia="hi-IN" w:bidi="hi-IN"/>
        </w:rPr>
        <w:t xml:space="preserve">  </w:t>
      </w:r>
    </w:p>
    <w:p w14:paraId="313C5ED3" w14:textId="016B6F73" w:rsidR="00682422" w:rsidRPr="00C3297D" w:rsidRDefault="00682422" w:rsidP="00682422">
      <w:pPr>
        <w:spacing w:line="480" w:lineRule="auto"/>
        <w:contextualSpacing/>
        <w:jc w:val="both"/>
        <w:rPr>
          <w:rFonts w:eastAsia="Times New Roman"/>
          <w:kern w:val="1"/>
          <w:szCs w:val="26"/>
          <w:lang w:eastAsia="hi-IN" w:bidi="hi-IN"/>
        </w:rPr>
      </w:pPr>
      <w:r w:rsidRPr="00C3297D">
        <w:rPr>
          <w:rFonts w:eastAsia="Times New Roman"/>
          <w:kern w:val="1"/>
          <w:szCs w:val="26"/>
          <w:lang w:eastAsia="hi-IN" w:bidi="hi-IN"/>
        </w:rPr>
        <w:tab/>
        <w:t xml:space="preserve">Respectfully submitted this the </w:t>
      </w:r>
      <w:r w:rsidR="00EE1825">
        <w:rPr>
          <w:rFonts w:eastAsia="Times New Roman"/>
          <w:kern w:val="1"/>
          <w:szCs w:val="26"/>
          <w:lang w:eastAsia="hi-IN" w:bidi="hi-IN"/>
        </w:rPr>
        <w:t>21st</w:t>
      </w:r>
      <w:r w:rsidRPr="00C3297D">
        <w:rPr>
          <w:rFonts w:eastAsia="Times New Roman"/>
          <w:kern w:val="1"/>
          <w:szCs w:val="26"/>
          <w:lang w:eastAsia="hi-IN" w:bidi="hi-IN"/>
        </w:rPr>
        <w:t xml:space="preserve"> day of </w:t>
      </w:r>
      <w:proofErr w:type="gramStart"/>
      <w:r w:rsidR="00DD071F">
        <w:rPr>
          <w:rFonts w:eastAsia="Times New Roman"/>
          <w:kern w:val="1"/>
          <w:szCs w:val="26"/>
          <w:lang w:eastAsia="hi-IN" w:bidi="hi-IN"/>
        </w:rPr>
        <w:t>November</w:t>
      </w:r>
      <w:r w:rsidRPr="00C3297D">
        <w:rPr>
          <w:rFonts w:eastAsia="Times New Roman"/>
          <w:kern w:val="1"/>
          <w:szCs w:val="26"/>
          <w:lang w:eastAsia="hi-IN" w:bidi="hi-IN"/>
        </w:rPr>
        <w:t>,</w:t>
      </w:r>
      <w:proofErr w:type="gramEnd"/>
      <w:r w:rsidRPr="00C3297D">
        <w:rPr>
          <w:rFonts w:eastAsia="Times New Roman"/>
          <w:kern w:val="1"/>
          <w:szCs w:val="26"/>
          <w:lang w:eastAsia="hi-IN" w:bidi="hi-IN"/>
        </w:rPr>
        <w:t xml:space="preserve"> 2022.</w:t>
      </w:r>
    </w:p>
    <w:p w14:paraId="237E00EF" w14:textId="77777777" w:rsidR="00682422" w:rsidRPr="00C3297D" w:rsidRDefault="00682422" w:rsidP="00682422">
      <w:pPr>
        <w:ind w:left="2880"/>
        <w:jc w:val="both"/>
        <w:rPr>
          <w:rFonts w:eastAsia="Century Schoolbook" w:cs="Century Schoolbook"/>
          <w:color w:val="000000" w:themeColor="text1"/>
          <w:szCs w:val="26"/>
          <w:u w:val="single"/>
        </w:rPr>
      </w:pPr>
      <w:r w:rsidRPr="00C3297D">
        <w:rPr>
          <w:rFonts w:eastAsia="Century Schoolbook" w:cs="Century Schoolbook"/>
          <w:color w:val="000000" w:themeColor="text1"/>
          <w:szCs w:val="26"/>
          <w:u w:val="single"/>
        </w:rPr>
        <w:t>By Electronic Submission:</w:t>
      </w:r>
    </w:p>
    <w:p w14:paraId="33F6947C" w14:textId="1EAAACDF"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00C843BC">
        <w:rPr>
          <w:rFonts w:eastAsia="Century Schoolbook" w:cs="Century Schoolbook"/>
          <w:color w:val="000000" w:themeColor="text1"/>
          <w:szCs w:val="26"/>
        </w:rPr>
        <w:t>Brandon Mayes</w:t>
      </w:r>
    </w:p>
    <w:p w14:paraId="15AB33B7" w14:textId="77777777" w:rsidR="00682422" w:rsidRPr="00C3297D" w:rsidRDefault="00682422" w:rsidP="00682422">
      <w:pPr>
        <w:ind w:left="720" w:firstLine="720"/>
        <w:jc w:val="both"/>
        <w:rPr>
          <w:rFonts w:eastAsia="Century Schoolbook" w:cs="Century Schoolbook"/>
          <w:color w:val="000000" w:themeColor="text1"/>
          <w:szCs w:val="26"/>
        </w:rPr>
      </w:pP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t>Assistant Appellate Defender</w:t>
      </w:r>
    </w:p>
    <w:p w14:paraId="63EB9EB6" w14:textId="4F8BA33A"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NC Bar #5</w:t>
      </w:r>
      <w:r w:rsidR="00C843BC">
        <w:rPr>
          <w:rFonts w:eastAsia="Century Schoolbook" w:cs="Century Schoolbook"/>
          <w:color w:val="000000" w:themeColor="text1"/>
          <w:szCs w:val="26"/>
        </w:rPr>
        <w:t>7327</w:t>
      </w:r>
    </w:p>
    <w:p w14:paraId="6134A4E6" w14:textId="6FD1FB81" w:rsidR="00682422" w:rsidRPr="00C3297D" w:rsidRDefault="00C843BC" w:rsidP="00682422">
      <w:pPr>
        <w:ind w:left="5760" w:hanging="2880"/>
        <w:jc w:val="both"/>
        <w:rPr>
          <w:rFonts w:eastAsia="Century Schoolbook" w:cs="Century Schoolbook"/>
          <w:color w:val="000000" w:themeColor="text1"/>
          <w:szCs w:val="26"/>
        </w:rPr>
      </w:pPr>
      <w:r>
        <w:rPr>
          <w:rFonts w:eastAsia="Century Schoolbook" w:cs="Century Schoolbook"/>
          <w:color w:val="000000" w:themeColor="text1"/>
          <w:szCs w:val="26"/>
        </w:rPr>
        <w:t>Brandon.B.Mayes</w:t>
      </w:r>
      <w:r w:rsidR="00682422" w:rsidRPr="00C3297D">
        <w:rPr>
          <w:rFonts w:eastAsia="Century Schoolbook" w:cs="Century Schoolbook"/>
          <w:color w:val="000000" w:themeColor="text1"/>
          <w:szCs w:val="26"/>
        </w:rPr>
        <w:t>@nccourts.org</w:t>
      </w:r>
    </w:p>
    <w:p w14:paraId="3BA70444" w14:textId="77777777"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p>
    <w:p w14:paraId="115B7016" w14:textId="77777777" w:rsidR="00682422" w:rsidRPr="00C3297D" w:rsidRDefault="00682422" w:rsidP="00682422">
      <w:pPr>
        <w:ind w:left="5760" w:hanging="2880"/>
        <w:jc w:val="both"/>
        <w:rPr>
          <w:rFonts w:eastAsia="Century Schoolbook" w:cs="Century Schoolbook"/>
          <w:color w:val="000000" w:themeColor="text1"/>
          <w:szCs w:val="26"/>
        </w:rPr>
      </w:pPr>
      <w:r w:rsidRPr="00C3297D">
        <w:rPr>
          <w:rFonts w:eastAsia="Century Schoolbook" w:cs="Century Schoolbook"/>
          <w:color w:val="000000" w:themeColor="text1"/>
          <w:szCs w:val="26"/>
        </w:rPr>
        <w:t>Glenn Gerding</w:t>
      </w:r>
    </w:p>
    <w:p w14:paraId="7BE7A520" w14:textId="77777777" w:rsidR="00682422" w:rsidRPr="00C3297D" w:rsidRDefault="00682422" w:rsidP="00682422">
      <w:pPr>
        <w:ind w:left="5760" w:hanging="2880"/>
        <w:jc w:val="both"/>
        <w:rPr>
          <w:rFonts w:eastAsia="Century Schoolbook" w:cs="Century Schoolbook"/>
          <w:color w:val="000000" w:themeColor="text1"/>
          <w:szCs w:val="26"/>
        </w:rPr>
      </w:pPr>
      <w:r w:rsidRPr="00C3297D">
        <w:rPr>
          <w:rFonts w:eastAsia="Century Schoolbook" w:cs="Century Schoolbook"/>
          <w:color w:val="000000" w:themeColor="text1"/>
          <w:szCs w:val="26"/>
        </w:rPr>
        <w:t>Appellate Defender</w:t>
      </w:r>
    </w:p>
    <w:p w14:paraId="00B6B21E" w14:textId="77777777" w:rsidR="00682422" w:rsidRPr="00C3297D" w:rsidRDefault="00682422" w:rsidP="00682422">
      <w:pPr>
        <w:ind w:left="5760" w:hanging="2880"/>
        <w:jc w:val="both"/>
        <w:rPr>
          <w:rFonts w:eastAsia="Century Schoolbook" w:cs="Century Schoolbook"/>
          <w:color w:val="000000" w:themeColor="text1"/>
          <w:szCs w:val="26"/>
        </w:rPr>
      </w:pPr>
      <w:r w:rsidRPr="00C3297D">
        <w:rPr>
          <w:rFonts w:eastAsia="Century Schoolbook" w:cs="Century Schoolbook"/>
          <w:color w:val="000000" w:themeColor="text1"/>
          <w:szCs w:val="26"/>
        </w:rPr>
        <w:t>NC Bar #23124</w:t>
      </w:r>
    </w:p>
    <w:p w14:paraId="7BDBD52E" w14:textId="77777777" w:rsidR="00682422" w:rsidRPr="00C3297D" w:rsidRDefault="00682422" w:rsidP="00682422">
      <w:pPr>
        <w:ind w:left="5760" w:hanging="2880"/>
        <w:jc w:val="both"/>
        <w:rPr>
          <w:rFonts w:eastAsia="Century Schoolbook" w:cs="Century Schoolbook"/>
          <w:color w:val="000000" w:themeColor="text1"/>
          <w:szCs w:val="26"/>
        </w:rPr>
      </w:pPr>
      <w:r w:rsidRPr="00C3297D">
        <w:rPr>
          <w:rFonts w:eastAsia="Century Schoolbook" w:cs="Century Schoolbook"/>
          <w:color w:val="000000" w:themeColor="text1"/>
          <w:szCs w:val="26"/>
        </w:rPr>
        <w:t>Office of the Appellate Defender</w:t>
      </w:r>
    </w:p>
    <w:p w14:paraId="3B8E2CF7" w14:textId="77777777"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123 W. Main Street, Suite 500</w:t>
      </w:r>
    </w:p>
    <w:p w14:paraId="585FCA48" w14:textId="77777777"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Durham, North Carolina 27701</w:t>
      </w:r>
    </w:p>
    <w:p w14:paraId="6DE02217" w14:textId="77777777"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t xml:space="preserve">                              (919) 354-7210</w:t>
      </w:r>
    </w:p>
    <w:p w14:paraId="6EF4A2A7" w14:textId="183BFFD8" w:rsidR="00F44EA4" w:rsidRDefault="00682422" w:rsidP="00A84311">
      <w:pPr>
        <w:ind w:left="2160" w:firstLine="720"/>
        <w:jc w:val="both"/>
        <w:rPr>
          <w:rFonts w:eastAsia="Century Schoolbook" w:cs="Century Schoolbook"/>
          <w:i/>
          <w:color w:val="000000" w:themeColor="text1"/>
          <w:szCs w:val="26"/>
        </w:rPr>
      </w:pPr>
      <w:r w:rsidRPr="00C3297D">
        <w:rPr>
          <w:rFonts w:eastAsia="Century Schoolbook" w:cs="Century Schoolbook"/>
          <w:i/>
          <w:color w:val="000000" w:themeColor="text1"/>
          <w:szCs w:val="26"/>
        </w:rPr>
        <w:t>Attorneys for Defendant-Appellant</w:t>
      </w:r>
      <w:bookmarkStart w:id="22" w:name="_heading=h.30j0zll" w:colFirst="0" w:colLast="0"/>
      <w:bookmarkEnd w:id="22"/>
    </w:p>
    <w:p w14:paraId="50D2AF79" w14:textId="3DA2A307" w:rsidR="00A75D88" w:rsidRDefault="00A75D88" w:rsidP="00A84311">
      <w:pPr>
        <w:ind w:left="2160" w:firstLine="720"/>
        <w:jc w:val="both"/>
        <w:rPr>
          <w:rFonts w:eastAsia="Century Schoolbook" w:cs="Century Schoolbook"/>
          <w:i/>
          <w:color w:val="000000" w:themeColor="text1"/>
          <w:szCs w:val="26"/>
        </w:rPr>
      </w:pPr>
    </w:p>
    <w:p w14:paraId="235516DE" w14:textId="36A21CE0" w:rsidR="00A75D88" w:rsidRDefault="00A75D88" w:rsidP="00A84311">
      <w:pPr>
        <w:ind w:left="2160" w:firstLine="720"/>
        <w:jc w:val="both"/>
        <w:rPr>
          <w:rFonts w:eastAsia="Century Schoolbook" w:cs="Century Schoolbook"/>
          <w:i/>
          <w:color w:val="000000" w:themeColor="text1"/>
          <w:szCs w:val="26"/>
        </w:rPr>
      </w:pPr>
    </w:p>
    <w:p w14:paraId="043A889B" w14:textId="64A91022" w:rsidR="00A75D88" w:rsidRDefault="00A75D88" w:rsidP="00A84311">
      <w:pPr>
        <w:ind w:left="2160" w:firstLine="720"/>
        <w:jc w:val="both"/>
        <w:rPr>
          <w:rFonts w:eastAsia="Century Schoolbook" w:cs="Century Schoolbook"/>
          <w:i/>
          <w:color w:val="000000" w:themeColor="text1"/>
          <w:szCs w:val="26"/>
        </w:rPr>
      </w:pPr>
    </w:p>
    <w:p w14:paraId="44DCD6A5" w14:textId="4CB8D50D" w:rsidR="00A75D88" w:rsidRDefault="00A75D88" w:rsidP="00A84311">
      <w:pPr>
        <w:ind w:left="2160" w:firstLine="720"/>
        <w:jc w:val="both"/>
        <w:rPr>
          <w:rFonts w:eastAsia="Century Schoolbook" w:cs="Century Schoolbook"/>
          <w:i/>
          <w:color w:val="000000" w:themeColor="text1"/>
          <w:szCs w:val="26"/>
        </w:rPr>
      </w:pPr>
    </w:p>
    <w:p w14:paraId="69D23FC4" w14:textId="41E53F8F" w:rsidR="00686928" w:rsidRDefault="00686928" w:rsidP="00A84311">
      <w:pPr>
        <w:ind w:left="2160" w:firstLine="720"/>
        <w:jc w:val="both"/>
        <w:rPr>
          <w:rFonts w:eastAsia="Century Schoolbook" w:cs="Century Schoolbook"/>
          <w:i/>
          <w:color w:val="000000" w:themeColor="text1"/>
          <w:szCs w:val="26"/>
        </w:rPr>
      </w:pPr>
    </w:p>
    <w:p w14:paraId="12C4265F" w14:textId="77777777" w:rsidR="00686928" w:rsidRDefault="00686928" w:rsidP="00A84311">
      <w:pPr>
        <w:ind w:left="2160" w:firstLine="720"/>
        <w:jc w:val="both"/>
        <w:rPr>
          <w:rFonts w:eastAsia="Century Schoolbook" w:cs="Century Schoolbook"/>
          <w:i/>
          <w:color w:val="000000" w:themeColor="text1"/>
          <w:szCs w:val="26"/>
        </w:rPr>
      </w:pPr>
    </w:p>
    <w:p w14:paraId="32D63B70" w14:textId="1D30A26F" w:rsidR="00A75D88" w:rsidRDefault="00A75D88" w:rsidP="00A84311">
      <w:pPr>
        <w:ind w:left="2160" w:firstLine="720"/>
        <w:jc w:val="both"/>
        <w:rPr>
          <w:rFonts w:eastAsia="Century Schoolbook" w:cs="Century Schoolbook"/>
          <w:i/>
          <w:color w:val="000000" w:themeColor="text1"/>
          <w:szCs w:val="26"/>
        </w:rPr>
      </w:pPr>
    </w:p>
    <w:p w14:paraId="6DD44C1F" w14:textId="77777777" w:rsidR="00A75D88" w:rsidRDefault="00A75D88" w:rsidP="00A84311">
      <w:pPr>
        <w:ind w:left="2160" w:firstLine="720"/>
        <w:jc w:val="both"/>
        <w:rPr>
          <w:rFonts w:eastAsia="Century Schoolbook" w:cs="Century Schoolbook"/>
          <w:i/>
          <w:color w:val="000000" w:themeColor="text1"/>
          <w:szCs w:val="26"/>
        </w:rPr>
      </w:pPr>
    </w:p>
    <w:p w14:paraId="2ED0F002" w14:textId="0611ABB3" w:rsidR="00682422" w:rsidRPr="00D350F6" w:rsidRDefault="00682422" w:rsidP="00D350F6">
      <w:pPr>
        <w:pStyle w:val="Heading1"/>
      </w:pPr>
      <w:bookmarkStart w:id="23" w:name="_Toc101777070"/>
      <w:r w:rsidRPr="00D350F6">
        <w:t>CERTIFICATE OF COMPLIANCE WITH RULE 28(J)</w:t>
      </w:r>
      <w:bookmarkEnd w:id="23"/>
    </w:p>
    <w:p w14:paraId="20944748" w14:textId="77777777" w:rsidR="00682422" w:rsidRPr="00C3297D" w:rsidRDefault="00682422" w:rsidP="00682422">
      <w:pPr>
        <w:jc w:val="both"/>
        <w:rPr>
          <w:rFonts w:eastAsia="Century Schoolbook" w:cs="Century Schoolbook"/>
          <w:b/>
          <w:color w:val="000000" w:themeColor="text1"/>
          <w:szCs w:val="26"/>
          <w:u w:val="single"/>
        </w:rPr>
      </w:pPr>
      <w:r w:rsidRPr="00C3297D">
        <w:rPr>
          <w:rFonts w:eastAsia="Century Schoolbook" w:cs="Century Schoolbook"/>
          <w:b/>
          <w:color w:val="000000" w:themeColor="text1"/>
          <w:szCs w:val="26"/>
          <w:u w:val="single"/>
        </w:rPr>
        <w:t xml:space="preserve"> </w:t>
      </w:r>
    </w:p>
    <w:p w14:paraId="737F64BA" w14:textId="77777777" w:rsidR="00682422" w:rsidRPr="00C3297D" w:rsidRDefault="00682422" w:rsidP="00682422">
      <w:pPr>
        <w:ind w:firstLine="720"/>
        <w:jc w:val="both"/>
        <w:rPr>
          <w:rFonts w:eastAsia="Century Schoolbook" w:cs="Century Schoolbook"/>
          <w:color w:val="000000" w:themeColor="text1"/>
          <w:szCs w:val="26"/>
        </w:rPr>
      </w:pPr>
      <w:r w:rsidRPr="00C3297D">
        <w:rPr>
          <w:rFonts w:eastAsia="Century Schoolbook" w:cs="Century Schoolbook"/>
          <w:color w:val="000000" w:themeColor="text1"/>
          <w:szCs w:val="26"/>
        </w:rPr>
        <w:t>Undersigned counsel hereby certifies that this brief complies with North Carolina Rule of Appellate Procedure 28(j), in that it is printed in 13-point Century Schoolbook font and contains no more than 8,750 words in the body of the brief, footnotes and citations included, as indicated by the word-processing program used to prepare this brief.</w:t>
      </w:r>
    </w:p>
    <w:p w14:paraId="79483006" w14:textId="77777777" w:rsidR="00682422" w:rsidRPr="00C3297D" w:rsidRDefault="00682422" w:rsidP="00682422">
      <w:pPr>
        <w:jc w:val="both"/>
        <w:rPr>
          <w:rFonts w:eastAsia="Century Schoolbook" w:cs="Century Schoolbook"/>
          <w:b/>
          <w:color w:val="000000" w:themeColor="text1"/>
          <w:szCs w:val="26"/>
          <w:u w:val="single"/>
        </w:rPr>
      </w:pPr>
      <w:r w:rsidRPr="00C3297D">
        <w:rPr>
          <w:rFonts w:eastAsia="Century Schoolbook" w:cs="Century Schoolbook"/>
          <w:b/>
          <w:color w:val="000000" w:themeColor="text1"/>
          <w:szCs w:val="26"/>
          <w:u w:val="single"/>
        </w:rPr>
        <w:t xml:space="preserve"> </w:t>
      </w:r>
    </w:p>
    <w:p w14:paraId="61674B24" w14:textId="382C6D26"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t xml:space="preserve">This the </w:t>
      </w:r>
      <w:r w:rsidR="00EE1825">
        <w:rPr>
          <w:rFonts w:eastAsia="Century Schoolbook" w:cs="Century Schoolbook"/>
          <w:color w:val="000000" w:themeColor="text1"/>
          <w:szCs w:val="26"/>
        </w:rPr>
        <w:t>21st</w:t>
      </w:r>
      <w:r w:rsidRPr="00C3297D">
        <w:rPr>
          <w:rFonts w:eastAsia="Century Schoolbook" w:cs="Century Schoolbook"/>
          <w:color w:val="000000" w:themeColor="text1"/>
          <w:szCs w:val="26"/>
        </w:rPr>
        <w:t xml:space="preserve"> day of </w:t>
      </w:r>
      <w:proofErr w:type="gramStart"/>
      <w:r w:rsidR="00DD071F">
        <w:rPr>
          <w:rFonts w:eastAsia="Century Schoolbook" w:cs="Century Schoolbook"/>
          <w:color w:val="000000" w:themeColor="text1"/>
          <w:szCs w:val="26"/>
        </w:rPr>
        <w:t>November</w:t>
      </w:r>
      <w:r w:rsidRPr="00C3297D">
        <w:rPr>
          <w:rFonts w:eastAsia="Century Schoolbook" w:cs="Century Schoolbook"/>
          <w:color w:val="000000" w:themeColor="text1"/>
          <w:szCs w:val="26"/>
        </w:rPr>
        <w:t>,</w:t>
      </w:r>
      <w:proofErr w:type="gramEnd"/>
      <w:r w:rsidRPr="00C3297D">
        <w:rPr>
          <w:rFonts w:eastAsia="Century Schoolbook" w:cs="Century Schoolbook"/>
          <w:color w:val="000000" w:themeColor="text1"/>
          <w:szCs w:val="26"/>
        </w:rPr>
        <w:t xml:space="preserve"> 2022.</w:t>
      </w:r>
    </w:p>
    <w:p w14:paraId="52BA92BF" w14:textId="77777777"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p>
    <w:p w14:paraId="5A9C8E17" w14:textId="77777777" w:rsidR="00682422" w:rsidRPr="00C3297D" w:rsidRDefault="00682422" w:rsidP="00682422">
      <w:pPr>
        <w:jc w:val="both"/>
        <w:rPr>
          <w:rFonts w:eastAsia="Century Schoolbook" w:cs="Century Schoolbook"/>
          <w:color w:val="000000" w:themeColor="text1"/>
          <w:szCs w:val="26"/>
          <w:u w:val="single"/>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u w:val="single"/>
        </w:rPr>
        <w:t>By Electronic Submission:</w:t>
      </w:r>
    </w:p>
    <w:p w14:paraId="4303E6FD" w14:textId="167723C4" w:rsidR="00682422" w:rsidRPr="00C3297D" w:rsidRDefault="00682422" w:rsidP="00682422">
      <w:pPr>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r>
      <w:r w:rsidR="00C843BC">
        <w:rPr>
          <w:rFonts w:eastAsia="Century Schoolbook" w:cs="Century Schoolbook"/>
          <w:color w:val="000000" w:themeColor="text1"/>
          <w:szCs w:val="26"/>
        </w:rPr>
        <w:t>Brandon</w:t>
      </w:r>
      <w:r w:rsidR="009A77E3">
        <w:rPr>
          <w:rFonts w:eastAsia="Century Schoolbook" w:cs="Century Schoolbook"/>
          <w:color w:val="000000" w:themeColor="text1"/>
          <w:szCs w:val="26"/>
        </w:rPr>
        <w:t xml:space="preserve"> Mayes</w:t>
      </w:r>
    </w:p>
    <w:p w14:paraId="07C16190" w14:textId="77777777" w:rsidR="00682422" w:rsidRPr="00C3297D" w:rsidRDefault="00682422" w:rsidP="00682422">
      <w:pPr>
        <w:jc w:val="both"/>
        <w:rPr>
          <w:rFonts w:eastAsia="Century Schoolbook" w:cs="Century Schoolbook"/>
          <w:b/>
          <w:color w:val="000000" w:themeColor="text1"/>
          <w:szCs w:val="26"/>
          <w:u w:val="single"/>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t>Assistant Appellate Defender</w:t>
      </w:r>
    </w:p>
    <w:p w14:paraId="1AD7D8B6" w14:textId="3A10DC73" w:rsidR="00F44EA4" w:rsidRDefault="00F44EA4">
      <w:pPr>
        <w:spacing w:after="160" w:line="259" w:lineRule="auto"/>
        <w:rPr>
          <w:rFonts w:eastAsia="Century Schoolbook" w:cs="Century Schoolbook"/>
          <w:b/>
          <w:color w:val="000000" w:themeColor="text1"/>
          <w:szCs w:val="26"/>
          <w:u w:val="single"/>
        </w:rPr>
      </w:pPr>
      <w:r>
        <w:rPr>
          <w:rFonts w:eastAsia="Century Schoolbook" w:cs="Century Schoolbook"/>
          <w:b/>
          <w:color w:val="000000" w:themeColor="text1"/>
          <w:szCs w:val="26"/>
          <w:u w:val="single"/>
        </w:rPr>
        <w:br w:type="page"/>
      </w:r>
    </w:p>
    <w:p w14:paraId="4841C38E" w14:textId="2240610C" w:rsidR="00682422" w:rsidRPr="00D350F6" w:rsidRDefault="00682422" w:rsidP="00D350F6">
      <w:pPr>
        <w:pStyle w:val="Heading1"/>
      </w:pPr>
      <w:bookmarkStart w:id="24" w:name="_Toc101777071"/>
      <w:r w:rsidRPr="00D350F6">
        <w:t>CERTIFICATE OF SERVICE</w:t>
      </w:r>
      <w:bookmarkEnd w:id="24"/>
    </w:p>
    <w:p w14:paraId="096886EC" w14:textId="7B62B222" w:rsidR="00682422" w:rsidRPr="00C3297D" w:rsidRDefault="00682422" w:rsidP="00682422">
      <w:pPr>
        <w:spacing w:before="240" w:after="240"/>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t xml:space="preserve">I hereby certify that a copy of Defendant-Appellant’s Brief has been duly served by sending it electronically to </w:t>
      </w:r>
      <w:r w:rsidRPr="00CD526D">
        <w:rPr>
          <w:rFonts w:eastAsia="Century Schoolbook" w:cs="Century Schoolbook"/>
          <w:color w:val="000000" w:themeColor="text1"/>
          <w:szCs w:val="26"/>
        </w:rPr>
        <w:t>M</w:t>
      </w:r>
      <w:r w:rsidR="00B07B51" w:rsidRPr="00CD526D">
        <w:rPr>
          <w:rFonts w:eastAsia="Century Schoolbook" w:cs="Century Schoolbook"/>
          <w:color w:val="000000" w:themeColor="text1"/>
          <w:szCs w:val="26"/>
        </w:rPr>
        <w:t>s</w:t>
      </w:r>
      <w:r w:rsidRPr="00CD526D">
        <w:rPr>
          <w:rFonts w:eastAsia="Century Schoolbook" w:cs="Century Schoolbook"/>
          <w:color w:val="000000" w:themeColor="text1"/>
          <w:szCs w:val="26"/>
        </w:rPr>
        <w:t xml:space="preserve">. </w:t>
      </w:r>
      <w:r w:rsidR="00CD526D">
        <w:rPr>
          <w:rFonts w:eastAsia="Century Schoolbook" w:cs="Century Schoolbook"/>
          <w:color w:val="000000" w:themeColor="text1"/>
          <w:szCs w:val="26"/>
        </w:rPr>
        <w:t>Rebecca Lem</w:t>
      </w:r>
      <w:r w:rsidRPr="00B07B51">
        <w:rPr>
          <w:rFonts w:eastAsia="Century Schoolbook" w:cs="Century Schoolbook"/>
          <w:color w:val="000000" w:themeColor="text1"/>
          <w:szCs w:val="26"/>
        </w:rPr>
        <w:t xml:space="preserve">, </w:t>
      </w:r>
      <w:r w:rsidR="00B07B51" w:rsidRPr="00CD526D">
        <w:rPr>
          <w:rFonts w:eastAsia="Century Schoolbook" w:cs="Century Schoolbook"/>
          <w:color w:val="000000" w:themeColor="text1"/>
          <w:szCs w:val="26"/>
        </w:rPr>
        <w:t>Assistant</w:t>
      </w:r>
      <w:r w:rsidRPr="00CD526D">
        <w:rPr>
          <w:rFonts w:eastAsia="Century Schoolbook" w:cs="Century Schoolbook"/>
          <w:color w:val="000000" w:themeColor="text1"/>
          <w:szCs w:val="26"/>
        </w:rPr>
        <w:t xml:space="preserve"> Attorney General at </w:t>
      </w:r>
      <w:r w:rsidR="00CD526D" w:rsidRPr="00CD526D">
        <w:rPr>
          <w:rFonts w:eastAsia="Century Schoolbook" w:cs="Century Schoolbook"/>
          <w:color w:val="000000" w:themeColor="text1"/>
          <w:szCs w:val="26"/>
        </w:rPr>
        <w:t>RLem</w:t>
      </w:r>
      <w:r w:rsidRPr="00CD526D">
        <w:rPr>
          <w:rFonts w:eastAsia="Century Schoolbook" w:cs="Century Schoolbook"/>
          <w:color w:val="000000" w:themeColor="text1"/>
          <w:szCs w:val="26"/>
        </w:rPr>
        <w:t>@ncdoj.gov</w:t>
      </w:r>
      <w:r w:rsidRPr="00B07B51">
        <w:rPr>
          <w:rFonts w:eastAsia="Century Schoolbook" w:cs="Century Schoolbook"/>
          <w:color w:val="000000" w:themeColor="text1"/>
          <w:szCs w:val="26"/>
        </w:rPr>
        <w:t>.</w:t>
      </w:r>
    </w:p>
    <w:p w14:paraId="4B9DCF4E" w14:textId="50773E67" w:rsidR="00682422" w:rsidRPr="00C3297D" w:rsidRDefault="00682422" w:rsidP="00682422">
      <w:pPr>
        <w:spacing w:before="240" w:after="240"/>
        <w:jc w:val="both"/>
        <w:rPr>
          <w:rFonts w:eastAsia="Century Schoolbook" w:cs="Century Schoolbook"/>
          <w:color w:val="000000" w:themeColor="text1"/>
          <w:szCs w:val="26"/>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t xml:space="preserve">This the </w:t>
      </w:r>
      <w:r w:rsidR="00EE1825">
        <w:rPr>
          <w:rFonts w:eastAsia="Century Schoolbook" w:cs="Century Schoolbook"/>
          <w:color w:val="000000" w:themeColor="text1"/>
          <w:szCs w:val="26"/>
        </w:rPr>
        <w:t>21st</w:t>
      </w:r>
      <w:r w:rsidRPr="00C3297D">
        <w:rPr>
          <w:rFonts w:eastAsia="Century Schoolbook" w:cs="Century Schoolbook"/>
          <w:color w:val="000000" w:themeColor="text1"/>
          <w:szCs w:val="26"/>
        </w:rPr>
        <w:t xml:space="preserve"> day of </w:t>
      </w:r>
      <w:proofErr w:type="gramStart"/>
      <w:r w:rsidR="00DD071F">
        <w:rPr>
          <w:rFonts w:eastAsia="Century Schoolbook" w:cs="Century Schoolbook"/>
          <w:color w:val="000000" w:themeColor="text1"/>
          <w:szCs w:val="26"/>
        </w:rPr>
        <w:t>November</w:t>
      </w:r>
      <w:r w:rsidR="001B61AE" w:rsidRPr="00C3297D">
        <w:rPr>
          <w:rFonts w:eastAsia="Century Schoolbook" w:cs="Century Schoolbook"/>
          <w:color w:val="000000" w:themeColor="text1"/>
          <w:szCs w:val="26"/>
        </w:rPr>
        <w:t>,</w:t>
      </w:r>
      <w:proofErr w:type="gramEnd"/>
      <w:r w:rsidRPr="00C3297D">
        <w:rPr>
          <w:rFonts w:eastAsia="Century Schoolbook" w:cs="Century Schoolbook"/>
          <w:color w:val="000000" w:themeColor="text1"/>
          <w:szCs w:val="26"/>
        </w:rPr>
        <w:t xml:space="preserve"> 202</w:t>
      </w:r>
      <w:r w:rsidR="001B61AE" w:rsidRPr="00C3297D">
        <w:rPr>
          <w:rFonts w:eastAsia="Century Schoolbook" w:cs="Century Schoolbook"/>
          <w:color w:val="000000" w:themeColor="text1"/>
          <w:szCs w:val="26"/>
        </w:rPr>
        <w:t>2</w:t>
      </w:r>
      <w:r w:rsidRPr="00C3297D">
        <w:rPr>
          <w:rFonts w:eastAsia="Century Schoolbook" w:cs="Century Schoolbook"/>
          <w:color w:val="000000" w:themeColor="text1"/>
          <w:szCs w:val="26"/>
        </w:rPr>
        <w:t>.</w:t>
      </w:r>
    </w:p>
    <w:p w14:paraId="0026C905" w14:textId="77777777" w:rsidR="00682422" w:rsidRPr="00C3297D" w:rsidRDefault="00682422" w:rsidP="00682422">
      <w:pPr>
        <w:spacing w:before="240"/>
        <w:jc w:val="both"/>
        <w:rPr>
          <w:rFonts w:eastAsia="Century Schoolbook" w:cs="Century Schoolbook"/>
          <w:color w:val="000000" w:themeColor="text1"/>
          <w:szCs w:val="26"/>
          <w:u w:val="single"/>
        </w:rPr>
      </w:pPr>
      <w:r w:rsidRPr="00C3297D">
        <w:rPr>
          <w:rFonts w:eastAsia="Century Schoolbook" w:cs="Century Schoolbook"/>
          <w:color w:val="000000" w:themeColor="text1"/>
          <w:szCs w:val="26"/>
        </w:rPr>
        <w:t xml:space="preserve"> </w:t>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rPr>
        <w:tab/>
      </w:r>
      <w:r w:rsidRPr="00C3297D">
        <w:rPr>
          <w:rFonts w:eastAsia="Century Schoolbook" w:cs="Century Schoolbook"/>
          <w:color w:val="000000" w:themeColor="text1"/>
          <w:szCs w:val="26"/>
          <w:u w:val="single"/>
        </w:rPr>
        <w:t>By Electronic Submission:</w:t>
      </w:r>
    </w:p>
    <w:p w14:paraId="5752BA76" w14:textId="32D96F39" w:rsidR="001B61AE" w:rsidRPr="00C3297D" w:rsidRDefault="00C843BC" w:rsidP="001B61AE">
      <w:pPr>
        <w:ind w:left="3600" w:firstLine="720"/>
        <w:jc w:val="both"/>
        <w:rPr>
          <w:rFonts w:eastAsia="Century Schoolbook" w:cs="Century Schoolbook"/>
          <w:color w:val="000000" w:themeColor="text1"/>
          <w:szCs w:val="26"/>
        </w:rPr>
      </w:pPr>
      <w:r>
        <w:rPr>
          <w:rFonts w:eastAsia="Century Schoolbook" w:cs="Century Schoolbook"/>
          <w:color w:val="000000" w:themeColor="text1"/>
          <w:szCs w:val="26"/>
        </w:rPr>
        <w:t>Brandon Mayes</w:t>
      </w:r>
    </w:p>
    <w:p w14:paraId="22F1A8EF" w14:textId="4334B00D" w:rsidR="00682422" w:rsidRPr="00C3297D" w:rsidRDefault="00682422" w:rsidP="001B61AE">
      <w:pPr>
        <w:ind w:left="3600" w:firstLine="720"/>
        <w:jc w:val="both"/>
        <w:rPr>
          <w:rFonts w:eastAsia="Century Schoolbook" w:cs="Century Schoolbook"/>
          <w:color w:val="000000" w:themeColor="text1"/>
          <w:szCs w:val="26"/>
        </w:rPr>
      </w:pPr>
      <w:r w:rsidRPr="00C3297D">
        <w:rPr>
          <w:rFonts w:eastAsia="Century Schoolbook" w:cs="Century Schoolbook"/>
          <w:color w:val="000000" w:themeColor="text1"/>
          <w:szCs w:val="26"/>
        </w:rPr>
        <w:t>Assistant Appellate Defender</w:t>
      </w:r>
    </w:p>
    <w:p w14:paraId="2BEAA3FB" w14:textId="77777777" w:rsidR="00682422" w:rsidRPr="00C3297D" w:rsidRDefault="00682422" w:rsidP="00682422">
      <w:pPr>
        <w:spacing w:line="480" w:lineRule="auto"/>
        <w:contextualSpacing/>
        <w:jc w:val="both"/>
        <w:rPr>
          <w:color w:val="000000" w:themeColor="text1"/>
          <w:szCs w:val="26"/>
        </w:rPr>
      </w:pPr>
    </w:p>
    <w:p w14:paraId="712AA597" w14:textId="77777777" w:rsidR="00682422" w:rsidRPr="00C3297D" w:rsidRDefault="00682422" w:rsidP="00682422">
      <w:pPr>
        <w:spacing w:line="480" w:lineRule="auto"/>
        <w:contextualSpacing/>
        <w:jc w:val="both"/>
        <w:rPr>
          <w:rFonts w:eastAsia="Times New Roman"/>
          <w:kern w:val="1"/>
          <w:szCs w:val="26"/>
          <w:lang w:eastAsia="hi-IN" w:bidi="hi-IN"/>
        </w:rPr>
      </w:pPr>
    </w:p>
    <w:p w14:paraId="3CEAF35F" w14:textId="65BC0FF1" w:rsidR="00DA5542" w:rsidRPr="00C3297D" w:rsidRDefault="00A87C5E" w:rsidP="002F6402">
      <w:pPr>
        <w:spacing w:line="480" w:lineRule="auto"/>
        <w:contextualSpacing/>
        <w:jc w:val="center"/>
        <w:rPr>
          <w:szCs w:val="26"/>
        </w:rPr>
      </w:pPr>
      <w:r w:rsidRPr="00C3297D">
        <w:rPr>
          <w:rFonts w:eastAsia="Times New Roman"/>
          <w:color w:val="000000" w:themeColor="text1"/>
          <w:kern w:val="1"/>
          <w:szCs w:val="26"/>
          <w:lang w:eastAsia="hi-IN" w:bidi="hi-IN"/>
        </w:rPr>
        <w:br/>
      </w:r>
    </w:p>
    <w:sectPr w:rsidR="00DA5542" w:rsidRPr="00C3297D" w:rsidSect="00BF5900">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3BD3B" w14:textId="77777777" w:rsidR="00C93612" w:rsidRDefault="00C93612" w:rsidP="00404197">
      <w:r>
        <w:separator/>
      </w:r>
    </w:p>
  </w:endnote>
  <w:endnote w:type="continuationSeparator" w:id="0">
    <w:p w14:paraId="4CFD8E17" w14:textId="77777777" w:rsidR="00C93612" w:rsidRDefault="00C93612" w:rsidP="0040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56AE" w14:textId="77777777" w:rsidR="00C93612" w:rsidRDefault="00C93612" w:rsidP="00404197">
      <w:r>
        <w:separator/>
      </w:r>
    </w:p>
  </w:footnote>
  <w:footnote w:type="continuationSeparator" w:id="0">
    <w:p w14:paraId="7330A07D" w14:textId="77777777" w:rsidR="00C93612" w:rsidRDefault="00C93612" w:rsidP="00404197">
      <w:r>
        <w:continuationSeparator/>
      </w:r>
    </w:p>
  </w:footnote>
  <w:footnote w:id="1">
    <w:p w14:paraId="22D052C2" w14:textId="1B156BF2" w:rsidR="00591A1B" w:rsidRPr="00591A1B" w:rsidRDefault="00591A1B" w:rsidP="00994A41">
      <w:pPr>
        <w:pStyle w:val="FootnoteText"/>
        <w:ind w:firstLine="720"/>
        <w:rPr>
          <w:sz w:val="22"/>
          <w:szCs w:val="22"/>
        </w:rPr>
      </w:pPr>
      <w:r>
        <w:rPr>
          <w:rStyle w:val="FootnoteReference"/>
        </w:rPr>
        <w:footnoteRef/>
      </w:r>
      <w:r>
        <w:t xml:space="preserve"> </w:t>
      </w:r>
      <w:r>
        <w:rPr>
          <w:sz w:val="22"/>
          <w:szCs w:val="22"/>
        </w:rPr>
        <w:t xml:space="preserve">This brief refers to the </w:t>
      </w:r>
      <w:r w:rsidR="00827581">
        <w:rPr>
          <w:sz w:val="22"/>
          <w:szCs w:val="22"/>
        </w:rPr>
        <w:t>adult</w:t>
      </w:r>
      <w:r>
        <w:rPr>
          <w:sz w:val="22"/>
          <w:szCs w:val="22"/>
        </w:rPr>
        <w:t xml:space="preserve"> victim by her initials pursuant to IDS policy regarding the identity of all victims </w:t>
      </w:r>
      <w:r w:rsidR="00FD7E8F">
        <w:rPr>
          <w:sz w:val="22"/>
          <w:szCs w:val="22"/>
        </w:rPr>
        <w:t xml:space="preserve">in </w:t>
      </w:r>
      <w:r>
        <w:rPr>
          <w:sz w:val="22"/>
          <w:szCs w:val="22"/>
        </w:rPr>
        <w:t>sexual crime</w:t>
      </w:r>
      <w:r w:rsidR="00FD7E8F">
        <w:rPr>
          <w:sz w:val="22"/>
          <w:szCs w:val="22"/>
        </w:rPr>
        <w:t xml:space="preserve"> cases</w:t>
      </w:r>
      <w:r>
        <w:rPr>
          <w:sz w:val="22"/>
          <w:szCs w:val="22"/>
        </w:rPr>
        <w:t>.</w:t>
      </w:r>
    </w:p>
  </w:footnote>
  <w:footnote w:id="2">
    <w:p w14:paraId="24AB43C2" w14:textId="12A296BE" w:rsidR="00131F77" w:rsidRPr="008102B9" w:rsidRDefault="00131F77" w:rsidP="00994A41">
      <w:pPr>
        <w:pStyle w:val="FootnoteText"/>
        <w:ind w:firstLine="720"/>
        <w:jc w:val="both"/>
        <w:rPr>
          <w:sz w:val="22"/>
          <w:szCs w:val="22"/>
        </w:rPr>
      </w:pPr>
      <w:r w:rsidRPr="008102B9">
        <w:rPr>
          <w:rStyle w:val="FootnoteReference"/>
          <w:sz w:val="22"/>
          <w:szCs w:val="22"/>
        </w:rPr>
        <w:footnoteRef/>
      </w:r>
      <w:r w:rsidRPr="008102B9">
        <w:rPr>
          <w:sz w:val="22"/>
          <w:szCs w:val="22"/>
        </w:rPr>
        <w:t xml:space="preserve"> </w:t>
      </w:r>
      <w:r w:rsidR="00B96B6A" w:rsidRPr="008102B9">
        <w:rPr>
          <w:sz w:val="22"/>
          <w:szCs w:val="22"/>
        </w:rPr>
        <w:t>State’s Exhibit 18, a CD with Garcia’s surveillance clips, was admitted, but the jury only saw a clip from approximately 1:45 am on 12 August 2019.  (T pp 423-25</w:t>
      </w:r>
      <w:proofErr w:type="gramStart"/>
      <w:r w:rsidR="00B96B6A" w:rsidRPr="008102B9">
        <w:rPr>
          <w:sz w:val="22"/>
          <w:szCs w:val="22"/>
        </w:rPr>
        <w:t xml:space="preserve">)  </w:t>
      </w:r>
      <w:r w:rsidRPr="008102B9">
        <w:rPr>
          <w:sz w:val="22"/>
          <w:szCs w:val="22"/>
        </w:rPr>
        <w:t>State’s</w:t>
      </w:r>
      <w:proofErr w:type="gramEnd"/>
      <w:r w:rsidRPr="008102B9">
        <w:rPr>
          <w:sz w:val="22"/>
          <w:szCs w:val="22"/>
        </w:rPr>
        <w:t xml:space="preserve"> Exhibit 18 also contains daytime footage</w:t>
      </w:r>
      <w:r w:rsidR="00B96B6A" w:rsidRPr="008102B9">
        <w:rPr>
          <w:sz w:val="22"/>
          <w:szCs w:val="22"/>
        </w:rPr>
        <w:t>, which was never published to the jury.</w:t>
      </w:r>
    </w:p>
  </w:footnote>
  <w:footnote w:id="3">
    <w:p w14:paraId="0DB8E242" w14:textId="7FC075B7" w:rsidR="00BC41E7" w:rsidRDefault="00BC41E7" w:rsidP="00994A41">
      <w:pPr>
        <w:pStyle w:val="FootnoteText"/>
        <w:ind w:firstLine="720"/>
      </w:pPr>
      <w:r>
        <w:rPr>
          <w:rStyle w:val="FootnoteReference"/>
        </w:rPr>
        <w:footnoteRef/>
      </w:r>
      <w:r>
        <w:t xml:space="preserve"> </w:t>
      </w:r>
      <w:bookmarkStart w:id="9" w:name="_Hlk119867761"/>
      <w:r w:rsidRPr="000A4EDE">
        <w:rPr>
          <w:i/>
          <w:iCs/>
          <w:sz w:val="22"/>
          <w:szCs w:val="22"/>
        </w:rPr>
        <w:t>Daubert v. Merrell Dow Pharms., Inc.</w:t>
      </w:r>
      <w:r w:rsidRPr="000A4EDE">
        <w:rPr>
          <w:sz w:val="22"/>
          <w:szCs w:val="22"/>
        </w:rPr>
        <w:t>, 509 U.S. 579 (1993)</w:t>
      </w:r>
      <w:bookmarkEnd w:id="9"/>
      <w:r>
        <w:rPr>
          <w:sz w:val="22"/>
          <w:szCs w:val="22"/>
        </w:rPr>
        <w:t>.</w:t>
      </w:r>
    </w:p>
  </w:footnote>
  <w:footnote w:id="4">
    <w:p w14:paraId="09C7ED49" w14:textId="3F4829A3" w:rsidR="00BC41E7" w:rsidRPr="000A4EDE" w:rsidRDefault="00BC41E7" w:rsidP="00BC41E7">
      <w:pPr>
        <w:pStyle w:val="FootnoteText"/>
        <w:rPr>
          <w:sz w:val="22"/>
          <w:szCs w:val="22"/>
        </w:rPr>
      </w:pPr>
      <w:r w:rsidRPr="000A4EDE">
        <w:rPr>
          <w:rStyle w:val="FootnoteReference"/>
          <w:sz w:val="22"/>
          <w:szCs w:val="22"/>
        </w:rPr>
        <w:footnoteRef/>
      </w:r>
      <w:r w:rsidRPr="000A4EDE">
        <w:rPr>
          <w:sz w:val="22"/>
          <w:szCs w:val="22"/>
        </w:rPr>
        <w:t xml:space="preserve"> </w:t>
      </w:r>
      <w:r w:rsidRPr="000A4EDE">
        <w:rPr>
          <w:i/>
          <w:iCs/>
          <w:sz w:val="22"/>
          <w:szCs w:val="22"/>
        </w:rPr>
        <w:t>General Electric Co. v. Joiner</w:t>
      </w:r>
      <w:r w:rsidRPr="000A4EDE">
        <w:rPr>
          <w:sz w:val="22"/>
          <w:szCs w:val="22"/>
        </w:rPr>
        <w:t>, 522 U.S. 136 (1997)</w:t>
      </w:r>
      <w:r w:rsidR="009565CA">
        <w:rPr>
          <w:sz w:val="22"/>
          <w:szCs w:val="22"/>
        </w:rPr>
        <w:fldChar w:fldCharType="begin"/>
      </w:r>
      <w:r w:rsidR="009565CA">
        <w:instrText xml:space="preserve"> TA \l "</w:instrText>
      </w:r>
      <w:r w:rsidR="009565CA" w:rsidRPr="00275109">
        <w:rPr>
          <w:i/>
          <w:iCs/>
          <w:sz w:val="22"/>
          <w:szCs w:val="22"/>
        </w:rPr>
        <w:instrText>General Electric Co. v. Joiner</w:instrText>
      </w:r>
      <w:r w:rsidR="009565CA" w:rsidRPr="00275109">
        <w:rPr>
          <w:sz w:val="22"/>
          <w:szCs w:val="22"/>
        </w:rPr>
        <w:instrText>, 522 U.S. 136 (1997)</w:instrText>
      </w:r>
      <w:r w:rsidR="009565CA">
        <w:instrText xml:space="preserve">" \s "General Electric Co. v. Joiner, 522 U.S. 136 (1997)" \c 1 </w:instrText>
      </w:r>
      <w:r w:rsidR="009565CA">
        <w:rPr>
          <w:sz w:val="22"/>
          <w:szCs w:val="22"/>
        </w:rPr>
        <w:fldChar w:fldCharType="end"/>
      </w:r>
      <w:r w:rsidRPr="000A4EDE">
        <w:rPr>
          <w:sz w:val="22"/>
          <w:szCs w:val="22"/>
        </w:rPr>
        <w:t xml:space="preserve">; </w:t>
      </w:r>
      <w:r w:rsidRPr="000A4EDE">
        <w:rPr>
          <w:i/>
          <w:iCs/>
          <w:sz w:val="22"/>
          <w:szCs w:val="22"/>
        </w:rPr>
        <w:t>Kumho Tire Co. v. Carmichael</w:t>
      </w:r>
      <w:r w:rsidRPr="000A4EDE">
        <w:rPr>
          <w:sz w:val="22"/>
          <w:szCs w:val="22"/>
        </w:rPr>
        <w:t>, 526 U.S. 137 (1999)</w:t>
      </w:r>
      <w:r w:rsidR="009565CA">
        <w:rPr>
          <w:sz w:val="22"/>
          <w:szCs w:val="22"/>
        </w:rPr>
        <w:fldChar w:fldCharType="begin"/>
      </w:r>
      <w:r w:rsidR="009565CA">
        <w:instrText xml:space="preserve"> TA \l "</w:instrText>
      </w:r>
      <w:r w:rsidR="009565CA" w:rsidRPr="00275109">
        <w:rPr>
          <w:i/>
          <w:iCs/>
          <w:sz w:val="22"/>
          <w:szCs w:val="22"/>
        </w:rPr>
        <w:instrText>Kumho Tire Co. v. Carmichael</w:instrText>
      </w:r>
      <w:r w:rsidR="009565CA" w:rsidRPr="00275109">
        <w:rPr>
          <w:sz w:val="22"/>
          <w:szCs w:val="22"/>
        </w:rPr>
        <w:instrText>, 526 U.S. 137 (1999)</w:instrText>
      </w:r>
      <w:r w:rsidR="009565CA">
        <w:instrText xml:space="preserve">" \s "Kumho Tire Co. v. Carmichael, 526 U.S. 137 (1999)" \c 1 </w:instrText>
      </w:r>
      <w:r w:rsidR="009565CA">
        <w:rPr>
          <w:sz w:val="22"/>
          <w:szCs w:val="22"/>
        </w:rPr>
        <w:fldChar w:fldCharType="end"/>
      </w:r>
      <w:r w:rsidRPr="000A4EDE">
        <w:rPr>
          <w:sz w:val="22"/>
          <w:szCs w:val="22"/>
        </w:rPr>
        <w:t>.</w:t>
      </w:r>
    </w:p>
  </w:footnote>
  <w:footnote w:id="5">
    <w:p w14:paraId="06C91DDE" w14:textId="47FF24B2" w:rsidR="002929A9" w:rsidRPr="00520F3A" w:rsidRDefault="002929A9" w:rsidP="0016675A">
      <w:pPr>
        <w:ind w:firstLine="720"/>
        <w:jc w:val="both"/>
        <w:rPr>
          <w:sz w:val="22"/>
          <w:szCs w:val="22"/>
        </w:rPr>
      </w:pPr>
      <w:r w:rsidRPr="00520F3A">
        <w:rPr>
          <w:rStyle w:val="FootnoteReference"/>
          <w:sz w:val="22"/>
          <w:szCs w:val="22"/>
        </w:rPr>
        <w:footnoteRef/>
      </w:r>
      <w:r w:rsidRPr="00520F3A">
        <w:rPr>
          <w:sz w:val="22"/>
          <w:szCs w:val="22"/>
        </w:rPr>
        <w:t xml:space="preserve"> </w:t>
      </w:r>
      <w:r w:rsidR="00E65D96" w:rsidRPr="00A34AD4">
        <w:rPr>
          <w:i/>
          <w:iCs/>
          <w:sz w:val="22"/>
          <w:szCs w:val="22"/>
        </w:rPr>
        <w:t>See</w:t>
      </w:r>
      <w:r w:rsidR="00E65D96" w:rsidRPr="00A34AD4">
        <w:rPr>
          <w:sz w:val="22"/>
          <w:szCs w:val="22"/>
        </w:rPr>
        <w:t xml:space="preserve"> </w:t>
      </w:r>
      <w:r w:rsidR="00E65D96" w:rsidRPr="00A34AD4">
        <w:rPr>
          <w:i/>
          <w:iCs/>
          <w:sz w:val="22"/>
          <w:szCs w:val="22"/>
        </w:rPr>
        <w:t>United States v. Wade</w:t>
      </w:r>
      <w:r w:rsidR="00E65D96" w:rsidRPr="00A34AD4">
        <w:rPr>
          <w:sz w:val="22"/>
          <w:szCs w:val="22"/>
        </w:rPr>
        <w:t>, 388 U.S. 218 (1967)</w:t>
      </w:r>
      <w:r w:rsidR="009565CA">
        <w:rPr>
          <w:sz w:val="22"/>
          <w:szCs w:val="22"/>
        </w:rPr>
        <w:fldChar w:fldCharType="begin"/>
      </w:r>
      <w:r w:rsidR="009565CA">
        <w:instrText xml:space="preserve"> TA \l "</w:instrText>
      </w:r>
      <w:r w:rsidR="009565CA" w:rsidRPr="00275109">
        <w:rPr>
          <w:i/>
          <w:iCs/>
          <w:sz w:val="22"/>
          <w:szCs w:val="22"/>
        </w:rPr>
        <w:instrText>United States v. Wade</w:instrText>
      </w:r>
      <w:r w:rsidR="009565CA" w:rsidRPr="00275109">
        <w:rPr>
          <w:sz w:val="22"/>
          <w:szCs w:val="22"/>
        </w:rPr>
        <w:instrText>, 388 U.S. 218 (1967)</w:instrText>
      </w:r>
      <w:r w:rsidR="009565CA">
        <w:instrText xml:space="preserve">" \s "United States v. Wade, 388 U.S. 218 (1967)" \c 1 </w:instrText>
      </w:r>
      <w:r w:rsidR="009565CA">
        <w:rPr>
          <w:sz w:val="22"/>
          <w:szCs w:val="22"/>
        </w:rPr>
        <w:fldChar w:fldCharType="end"/>
      </w:r>
      <w:r w:rsidR="00E65D96" w:rsidRPr="00A34AD4">
        <w:rPr>
          <w:sz w:val="22"/>
          <w:szCs w:val="22"/>
        </w:rPr>
        <w:t xml:space="preserve"> (recognizing eyewitness identification </w:t>
      </w:r>
      <w:r w:rsidR="00EE47B8" w:rsidRPr="00A34AD4">
        <w:rPr>
          <w:sz w:val="22"/>
          <w:szCs w:val="22"/>
        </w:rPr>
        <w:t>has</w:t>
      </w:r>
      <w:r w:rsidR="00E65D96" w:rsidRPr="00A34AD4">
        <w:rPr>
          <w:sz w:val="22"/>
          <w:szCs w:val="22"/>
        </w:rPr>
        <w:t xml:space="preserve"> a strong impact on jur</w:t>
      </w:r>
      <w:r w:rsidR="00EE47B8" w:rsidRPr="00A34AD4">
        <w:rPr>
          <w:sz w:val="22"/>
          <w:szCs w:val="22"/>
        </w:rPr>
        <w:t>ie</w:t>
      </w:r>
      <w:r w:rsidR="00E65D96" w:rsidRPr="00A34AD4">
        <w:rPr>
          <w:sz w:val="22"/>
          <w:szCs w:val="22"/>
        </w:rPr>
        <w:t xml:space="preserve">s </w:t>
      </w:r>
      <w:r w:rsidR="00EE47B8" w:rsidRPr="00A34AD4">
        <w:rPr>
          <w:sz w:val="22"/>
          <w:szCs w:val="22"/>
        </w:rPr>
        <w:t>regardless of its accuracy);</w:t>
      </w:r>
      <w:r w:rsidR="00E65D96" w:rsidRPr="00A34AD4">
        <w:rPr>
          <w:sz w:val="22"/>
          <w:szCs w:val="22"/>
        </w:rPr>
        <w:t xml:space="preserve"> </w:t>
      </w:r>
      <w:r w:rsidR="00E65D96" w:rsidRPr="00A34AD4">
        <w:rPr>
          <w:i/>
          <w:iCs/>
          <w:sz w:val="22"/>
          <w:szCs w:val="22"/>
        </w:rPr>
        <w:t>Manson v. Brathwaite</w:t>
      </w:r>
      <w:r w:rsidR="00E65D96" w:rsidRPr="00A34AD4">
        <w:rPr>
          <w:sz w:val="22"/>
          <w:szCs w:val="22"/>
        </w:rPr>
        <w:t>, 432 U.S. 98, 111-112 (1977)</w:t>
      </w:r>
      <w:r w:rsidR="009565CA">
        <w:rPr>
          <w:sz w:val="22"/>
          <w:szCs w:val="22"/>
        </w:rPr>
        <w:fldChar w:fldCharType="begin"/>
      </w:r>
      <w:r w:rsidR="009565CA">
        <w:instrText xml:space="preserve"> TA \l "</w:instrText>
      </w:r>
      <w:r w:rsidR="009565CA" w:rsidRPr="00275109">
        <w:rPr>
          <w:i/>
          <w:iCs/>
          <w:sz w:val="22"/>
          <w:szCs w:val="22"/>
        </w:rPr>
        <w:instrText>Manson v. Brathwaite</w:instrText>
      </w:r>
      <w:r w:rsidR="009565CA" w:rsidRPr="00275109">
        <w:rPr>
          <w:sz w:val="22"/>
          <w:szCs w:val="22"/>
        </w:rPr>
        <w:instrText>, 432 U.S. 98, 111-112 (1977)</w:instrText>
      </w:r>
      <w:r w:rsidR="009565CA">
        <w:instrText xml:space="preserve">" \s "Manson v. Brathwaite, 432 U.S. 98, 111-112 (1977)" \c 1 </w:instrText>
      </w:r>
      <w:r w:rsidR="009565CA">
        <w:rPr>
          <w:sz w:val="22"/>
          <w:szCs w:val="22"/>
        </w:rPr>
        <w:fldChar w:fldCharType="end"/>
      </w:r>
      <w:r w:rsidR="00E65D96" w:rsidRPr="00A34AD4">
        <w:rPr>
          <w:sz w:val="22"/>
          <w:szCs w:val="22"/>
        </w:rPr>
        <w:t xml:space="preserve"> (recognizing “[t]he driving force behind </w:t>
      </w:r>
      <w:bookmarkStart w:id="13" w:name="_Hlk119503385"/>
      <w:r w:rsidR="00E65D96" w:rsidRPr="00A34AD4">
        <w:rPr>
          <w:i/>
          <w:iCs/>
          <w:sz w:val="22"/>
          <w:szCs w:val="22"/>
        </w:rPr>
        <w:t>United States v. Wade</w:t>
      </w:r>
      <w:r w:rsidR="00E65D96" w:rsidRPr="00A34AD4">
        <w:rPr>
          <w:sz w:val="22"/>
          <w:szCs w:val="22"/>
        </w:rPr>
        <w:t>, 388 U.S. 218 (1967)</w:t>
      </w:r>
      <w:bookmarkEnd w:id="13"/>
      <w:r w:rsidR="009565CA">
        <w:rPr>
          <w:sz w:val="22"/>
          <w:szCs w:val="22"/>
        </w:rPr>
        <w:fldChar w:fldCharType="begin"/>
      </w:r>
      <w:r w:rsidR="009565CA">
        <w:instrText xml:space="preserve"> TA \s "United States v. Wade, 388 U.S. 218 (1967)" </w:instrText>
      </w:r>
      <w:r w:rsidR="009565CA">
        <w:rPr>
          <w:sz w:val="22"/>
          <w:szCs w:val="22"/>
        </w:rPr>
        <w:fldChar w:fldCharType="end"/>
      </w:r>
      <w:r w:rsidR="00E65D96" w:rsidRPr="00A34AD4">
        <w:rPr>
          <w:sz w:val="22"/>
          <w:szCs w:val="22"/>
        </w:rPr>
        <w:t xml:space="preserve">” and its companion cases “was the Court’s concern with the problems of eyewitness identification” and the desire to preclude the jury from hearing “eyewitness testimony unless that evidence has aspects of reliability”); </w:t>
      </w:r>
      <w:r w:rsidR="00E65D96" w:rsidRPr="00A34AD4">
        <w:rPr>
          <w:i/>
          <w:iCs/>
          <w:sz w:val="22"/>
          <w:szCs w:val="22"/>
        </w:rPr>
        <w:t xml:space="preserve">See also, </w:t>
      </w:r>
      <w:r w:rsidRPr="00A34AD4">
        <w:rPr>
          <w:sz w:val="22"/>
          <w:szCs w:val="22"/>
        </w:rPr>
        <w:t xml:space="preserve">Kimberly Schweitzer and </w:t>
      </w:r>
      <w:proofErr w:type="spellStart"/>
      <w:r w:rsidRPr="00A34AD4">
        <w:rPr>
          <w:sz w:val="22"/>
          <w:szCs w:val="22"/>
        </w:rPr>
        <w:t>Narina</w:t>
      </w:r>
      <w:proofErr w:type="spellEnd"/>
      <w:r w:rsidRPr="00A34AD4">
        <w:rPr>
          <w:sz w:val="22"/>
          <w:szCs w:val="22"/>
        </w:rPr>
        <w:t xml:space="preserve"> Nunez, </w:t>
      </w:r>
      <w:r w:rsidRPr="00A34AD4">
        <w:rPr>
          <w:i/>
          <w:iCs/>
          <w:sz w:val="22"/>
          <w:szCs w:val="22"/>
        </w:rPr>
        <w:t>What Evidence Matters Most to Jurors?  The Prevalence and Importance of Different Homicide Trial Evidence to Mock Jurors</w:t>
      </w:r>
      <w:r w:rsidRPr="00A34AD4">
        <w:rPr>
          <w:sz w:val="22"/>
          <w:szCs w:val="22"/>
        </w:rPr>
        <w:t>, 25(3) Psychiatry, Psych. &amp; L. 437 (2018)</w:t>
      </w:r>
      <w:r w:rsidR="009565CA">
        <w:rPr>
          <w:sz w:val="22"/>
          <w:szCs w:val="22"/>
        </w:rPr>
        <w:fldChar w:fldCharType="begin"/>
      </w:r>
      <w:r w:rsidR="009565CA">
        <w:instrText xml:space="preserve"> TA \l "</w:instrText>
      </w:r>
      <w:r w:rsidR="009565CA" w:rsidRPr="00275109">
        <w:rPr>
          <w:sz w:val="22"/>
          <w:szCs w:val="22"/>
        </w:rPr>
        <w:instrText xml:space="preserve">Kimberly Schweitzer and Narina Nunez, </w:instrText>
      </w:r>
      <w:r w:rsidR="009565CA" w:rsidRPr="00275109">
        <w:rPr>
          <w:i/>
          <w:iCs/>
          <w:sz w:val="22"/>
          <w:szCs w:val="22"/>
        </w:rPr>
        <w:instrText>What Evidence Matters Most to Jurors?  The Prevalence and Importance of Different Homicide Trial Evidence to Mock Jurors</w:instrText>
      </w:r>
      <w:r w:rsidR="009565CA" w:rsidRPr="00275109">
        <w:rPr>
          <w:sz w:val="22"/>
          <w:szCs w:val="22"/>
        </w:rPr>
        <w:instrText>, 25(3) Psychiatry, Psych. &amp; L. 437 (2018)</w:instrText>
      </w:r>
      <w:r w:rsidR="009565CA">
        <w:instrText xml:space="preserve">" \s "Kimberly Schweitzer and Narina Nunez, What Evidence Matters Most to Jurors?  The Prevalence and Importance of Different Homicide Trial Evidence to Mock Jurors, 25(3) Psychiatry, Psych. &amp; L. 437 (2018)" \c 3 </w:instrText>
      </w:r>
      <w:r w:rsidR="009565CA">
        <w:rPr>
          <w:sz w:val="22"/>
          <w:szCs w:val="22"/>
        </w:rPr>
        <w:fldChar w:fldCharType="end"/>
      </w:r>
      <w:r w:rsidRPr="00A34AD4">
        <w:rPr>
          <w:sz w:val="22"/>
          <w:szCs w:val="22"/>
        </w:rPr>
        <w:t>, https://www.ncbi.nlm.nih.gov/pmc/articles/PMC6818361/.</w:t>
      </w:r>
      <w:r w:rsidR="00E65D96" w:rsidRPr="00A34AD4">
        <w:rPr>
          <w:sz w:val="22"/>
          <w:szCs w:val="22"/>
        </w:rPr>
        <w:t xml:space="preserve"> (</w:t>
      </w:r>
      <w:proofErr w:type="gramStart"/>
      <w:r w:rsidR="00E65D96" w:rsidRPr="00A34AD4">
        <w:rPr>
          <w:sz w:val="22"/>
          <w:szCs w:val="22"/>
        </w:rPr>
        <w:t>mock</w:t>
      </w:r>
      <w:proofErr w:type="gramEnd"/>
      <w:r w:rsidR="00E65D96" w:rsidRPr="00A34AD4">
        <w:rPr>
          <w:sz w:val="22"/>
          <w:szCs w:val="22"/>
        </w:rPr>
        <w:t xml:space="preserve"> jurors rank DNA as the most important evidence).</w:t>
      </w:r>
      <w:r w:rsidR="00E65D96">
        <w:rPr>
          <w:sz w:val="22"/>
          <w:szCs w:val="22"/>
        </w:rPr>
        <w:t xml:space="preserve">  </w:t>
      </w:r>
    </w:p>
  </w:footnote>
  <w:footnote w:id="6">
    <w:p w14:paraId="29A48937" w14:textId="350D5ED6" w:rsidR="00520F3A" w:rsidRPr="00520F3A" w:rsidRDefault="00520F3A" w:rsidP="00994A41">
      <w:pPr>
        <w:pStyle w:val="FootnoteText"/>
        <w:ind w:firstLine="720"/>
        <w:jc w:val="both"/>
        <w:rPr>
          <w:sz w:val="22"/>
          <w:szCs w:val="22"/>
        </w:rPr>
      </w:pPr>
      <w:r w:rsidRPr="00520F3A">
        <w:rPr>
          <w:rStyle w:val="FootnoteReference"/>
          <w:sz w:val="22"/>
          <w:szCs w:val="22"/>
        </w:rPr>
        <w:footnoteRef/>
      </w:r>
      <w:r w:rsidRPr="00520F3A">
        <w:rPr>
          <w:sz w:val="22"/>
          <w:szCs w:val="22"/>
        </w:rPr>
        <w:t xml:space="preserve"> </w:t>
      </w:r>
      <w:r w:rsidR="00521F20">
        <w:rPr>
          <w:sz w:val="22"/>
          <w:szCs w:val="22"/>
        </w:rPr>
        <w:t xml:space="preserve">Schweitzer and Nunez, </w:t>
      </w:r>
      <w:r w:rsidR="00021AD7">
        <w:rPr>
          <w:sz w:val="22"/>
          <w:szCs w:val="22"/>
        </w:rPr>
        <w:t xml:space="preserve">supra </w:t>
      </w:r>
      <w:r w:rsidR="00521F20">
        <w:rPr>
          <w:sz w:val="22"/>
          <w:szCs w:val="22"/>
        </w:rPr>
        <w:t>note 5.</w:t>
      </w:r>
    </w:p>
  </w:footnote>
  <w:footnote w:id="7">
    <w:p w14:paraId="67E49FB5" w14:textId="095FE496" w:rsidR="00407ED7" w:rsidRPr="00472363" w:rsidRDefault="00407ED7" w:rsidP="00D82048">
      <w:pPr>
        <w:pStyle w:val="FootnoteText"/>
        <w:jc w:val="both"/>
        <w:rPr>
          <w:sz w:val="22"/>
          <w:szCs w:val="22"/>
        </w:rPr>
      </w:pPr>
      <w:r w:rsidRPr="00472363">
        <w:rPr>
          <w:rStyle w:val="FootnoteReference"/>
          <w:sz w:val="22"/>
          <w:szCs w:val="22"/>
        </w:rPr>
        <w:footnoteRef/>
      </w:r>
      <w:r w:rsidRPr="00472363">
        <w:rPr>
          <w:sz w:val="22"/>
          <w:szCs w:val="22"/>
        </w:rPr>
        <w:t xml:space="preserve"> Stochastic </w:t>
      </w:r>
      <w:r w:rsidR="003F2E5E" w:rsidRPr="00472363">
        <w:rPr>
          <w:sz w:val="22"/>
          <w:szCs w:val="22"/>
        </w:rPr>
        <w:t xml:space="preserve">is </w:t>
      </w:r>
      <w:r w:rsidRPr="00472363">
        <w:rPr>
          <w:sz w:val="22"/>
          <w:szCs w:val="22"/>
        </w:rPr>
        <w:t>defined as “involving a random variable” or a process “involving chance or probability.”  https://www.merriam-webster.com/dictionary/stochastic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3324"/>
      <w:docPartObj>
        <w:docPartGallery w:val="Page Numbers (Top of Page)"/>
        <w:docPartUnique/>
      </w:docPartObj>
    </w:sdtPr>
    <w:sdtEndPr>
      <w:rPr>
        <w:noProof/>
        <w:szCs w:val="26"/>
      </w:rPr>
    </w:sdtEndPr>
    <w:sdtContent>
      <w:p w14:paraId="769A24F7" w14:textId="2D2C22D1" w:rsidR="00523CC1" w:rsidRPr="00523CC1" w:rsidRDefault="00523CC1">
        <w:pPr>
          <w:pStyle w:val="Header"/>
          <w:jc w:val="center"/>
          <w:rPr>
            <w:szCs w:val="26"/>
          </w:rPr>
        </w:pPr>
        <w:r w:rsidRPr="00523CC1">
          <w:rPr>
            <w:szCs w:val="26"/>
          </w:rPr>
          <w:fldChar w:fldCharType="begin"/>
        </w:r>
        <w:r w:rsidRPr="00523CC1">
          <w:rPr>
            <w:szCs w:val="26"/>
          </w:rPr>
          <w:instrText xml:space="preserve"> PAGE   \* MERGEFORMAT </w:instrText>
        </w:r>
        <w:r w:rsidRPr="00523CC1">
          <w:rPr>
            <w:szCs w:val="26"/>
          </w:rPr>
          <w:fldChar w:fldCharType="separate"/>
        </w:r>
        <w:r w:rsidRPr="00523CC1">
          <w:rPr>
            <w:noProof/>
            <w:szCs w:val="26"/>
          </w:rPr>
          <w:t>2</w:t>
        </w:r>
        <w:r w:rsidRPr="00523CC1">
          <w:rPr>
            <w:noProof/>
            <w:szCs w:val="26"/>
          </w:rPr>
          <w:fldChar w:fldCharType="end"/>
        </w:r>
      </w:p>
    </w:sdtContent>
  </w:sdt>
  <w:p w14:paraId="611BC1DD" w14:textId="77777777" w:rsidR="00404197" w:rsidRDefault="0040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62A2" w14:textId="77777777" w:rsidR="00BF5900" w:rsidRDefault="00BF5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BE4"/>
    <w:multiLevelType w:val="hybridMultilevel"/>
    <w:tmpl w:val="5DE224D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446A49"/>
    <w:multiLevelType w:val="hybridMultilevel"/>
    <w:tmpl w:val="98F476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6A23"/>
    <w:multiLevelType w:val="hybridMultilevel"/>
    <w:tmpl w:val="8FC4E944"/>
    <w:lvl w:ilvl="0" w:tplc="FFFFFFFF">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461F5B"/>
    <w:multiLevelType w:val="hybridMultilevel"/>
    <w:tmpl w:val="CED8BB6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544DC8"/>
    <w:multiLevelType w:val="hybridMultilevel"/>
    <w:tmpl w:val="EE8036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B12B6C"/>
    <w:multiLevelType w:val="hybridMultilevel"/>
    <w:tmpl w:val="2494AA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F54AF"/>
    <w:multiLevelType w:val="hybridMultilevel"/>
    <w:tmpl w:val="74C65D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D6A21"/>
    <w:multiLevelType w:val="hybridMultilevel"/>
    <w:tmpl w:val="A8F41208"/>
    <w:lvl w:ilvl="0" w:tplc="FFFFFFFF">
      <w:start w:val="1"/>
      <w:numFmt w:val="low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AEC4BB1"/>
    <w:multiLevelType w:val="hybridMultilevel"/>
    <w:tmpl w:val="9B4660BC"/>
    <w:lvl w:ilvl="0" w:tplc="04090013">
      <w:start w:val="1"/>
      <w:numFmt w:val="upperRoman"/>
      <w:lvlText w:val="%1."/>
      <w:lvlJc w:val="righ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48153D"/>
    <w:multiLevelType w:val="hybridMultilevel"/>
    <w:tmpl w:val="AB8A6C6E"/>
    <w:lvl w:ilvl="0" w:tplc="FFFFFFFF">
      <w:start w:val="1"/>
      <w:numFmt w:val="lowerRoman"/>
      <w:lvlText w:val="%1."/>
      <w:lvlJc w:val="righ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5D0D88"/>
    <w:multiLevelType w:val="hybridMultilevel"/>
    <w:tmpl w:val="7422C1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3D70"/>
    <w:multiLevelType w:val="hybridMultilevel"/>
    <w:tmpl w:val="E20A16A0"/>
    <w:lvl w:ilvl="0" w:tplc="E59E5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A7089"/>
    <w:multiLevelType w:val="hybridMultilevel"/>
    <w:tmpl w:val="F0E2AC6E"/>
    <w:lvl w:ilvl="0" w:tplc="0F7C5A8E">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361F7"/>
    <w:multiLevelType w:val="hybridMultilevel"/>
    <w:tmpl w:val="8FC4E944"/>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D4D59"/>
    <w:multiLevelType w:val="hybridMultilevel"/>
    <w:tmpl w:val="00F6358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6767A3"/>
    <w:multiLevelType w:val="hybridMultilevel"/>
    <w:tmpl w:val="CD3896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040293"/>
    <w:multiLevelType w:val="hybridMultilevel"/>
    <w:tmpl w:val="7374868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42765"/>
    <w:multiLevelType w:val="hybridMultilevel"/>
    <w:tmpl w:val="E7E27D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E13C0F"/>
    <w:multiLevelType w:val="hybridMultilevel"/>
    <w:tmpl w:val="B8308132"/>
    <w:lvl w:ilvl="0" w:tplc="0B0C3BBA">
      <w:start w:val="1"/>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31C17C7"/>
    <w:multiLevelType w:val="hybridMultilevel"/>
    <w:tmpl w:val="C068E47C"/>
    <w:lvl w:ilvl="0" w:tplc="09126498">
      <w:start w:val="2"/>
      <w:numFmt w:val="lowerRoman"/>
      <w:lvlText w:val="%1."/>
      <w:lvlJc w:val="righ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7231AC2"/>
    <w:multiLevelType w:val="hybridMultilevel"/>
    <w:tmpl w:val="1200F2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76710"/>
    <w:multiLevelType w:val="hybridMultilevel"/>
    <w:tmpl w:val="1CDA2D2C"/>
    <w:lvl w:ilvl="0" w:tplc="B8923CC4">
      <w:start w:val="2"/>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7C6"/>
    <w:multiLevelType w:val="hybridMultilevel"/>
    <w:tmpl w:val="EE92D568"/>
    <w:lvl w:ilvl="0" w:tplc="7D92BFC8">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A95CC3"/>
    <w:multiLevelType w:val="hybridMultilevel"/>
    <w:tmpl w:val="E466BF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805A8B"/>
    <w:multiLevelType w:val="hybridMultilevel"/>
    <w:tmpl w:val="215873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07C9E"/>
    <w:multiLevelType w:val="hybridMultilevel"/>
    <w:tmpl w:val="98FEEB10"/>
    <w:lvl w:ilvl="0" w:tplc="4AE8FC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71820"/>
    <w:multiLevelType w:val="hybridMultilevel"/>
    <w:tmpl w:val="C460466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2A56624"/>
    <w:multiLevelType w:val="hybridMultilevel"/>
    <w:tmpl w:val="CED8BB6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24"/>
  </w:num>
  <w:num w:numId="4">
    <w:abstractNumId w:val="17"/>
  </w:num>
  <w:num w:numId="5">
    <w:abstractNumId w:val="23"/>
  </w:num>
  <w:num w:numId="6">
    <w:abstractNumId w:val="18"/>
  </w:num>
  <w:num w:numId="7">
    <w:abstractNumId w:val="22"/>
  </w:num>
  <w:num w:numId="8">
    <w:abstractNumId w:val="0"/>
  </w:num>
  <w:num w:numId="9">
    <w:abstractNumId w:val="20"/>
  </w:num>
  <w:num w:numId="10">
    <w:abstractNumId w:val="4"/>
  </w:num>
  <w:num w:numId="11">
    <w:abstractNumId w:val="26"/>
  </w:num>
  <w:num w:numId="12">
    <w:abstractNumId w:val="14"/>
  </w:num>
  <w:num w:numId="13">
    <w:abstractNumId w:val="8"/>
  </w:num>
  <w:num w:numId="14">
    <w:abstractNumId w:val="15"/>
  </w:num>
  <w:num w:numId="15">
    <w:abstractNumId w:val="27"/>
  </w:num>
  <w:num w:numId="16">
    <w:abstractNumId w:val="5"/>
  </w:num>
  <w:num w:numId="17">
    <w:abstractNumId w:val="16"/>
  </w:num>
  <w:num w:numId="18">
    <w:abstractNumId w:val="3"/>
  </w:num>
  <w:num w:numId="19">
    <w:abstractNumId w:val="1"/>
  </w:num>
  <w:num w:numId="20">
    <w:abstractNumId w:val="12"/>
  </w:num>
  <w:num w:numId="21">
    <w:abstractNumId w:val="13"/>
  </w:num>
  <w:num w:numId="22">
    <w:abstractNumId w:val="2"/>
  </w:num>
  <w:num w:numId="23">
    <w:abstractNumId w:val="21"/>
  </w:num>
  <w:num w:numId="24">
    <w:abstractNumId w:val="7"/>
  </w:num>
  <w:num w:numId="25">
    <w:abstractNumId w:val="10"/>
  </w:num>
  <w:num w:numId="26">
    <w:abstractNumId w:val="19"/>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99"/>
    <w:rsid w:val="000018F2"/>
    <w:rsid w:val="00002E37"/>
    <w:rsid w:val="00005761"/>
    <w:rsid w:val="00006C36"/>
    <w:rsid w:val="00007C33"/>
    <w:rsid w:val="000104D3"/>
    <w:rsid w:val="00012771"/>
    <w:rsid w:val="00012900"/>
    <w:rsid w:val="00012D52"/>
    <w:rsid w:val="00014B9E"/>
    <w:rsid w:val="00016815"/>
    <w:rsid w:val="00017806"/>
    <w:rsid w:val="00017CDE"/>
    <w:rsid w:val="00021AD7"/>
    <w:rsid w:val="00025A9E"/>
    <w:rsid w:val="000319C0"/>
    <w:rsid w:val="000336C5"/>
    <w:rsid w:val="000353DB"/>
    <w:rsid w:val="00035599"/>
    <w:rsid w:val="00036EFC"/>
    <w:rsid w:val="00045352"/>
    <w:rsid w:val="000471A3"/>
    <w:rsid w:val="00047AEB"/>
    <w:rsid w:val="000501A8"/>
    <w:rsid w:val="00052F71"/>
    <w:rsid w:val="00060B56"/>
    <w:rsid w:val="00064279"/>
    <w:rsid w:val="0006567D"/>
    <w:rsid w:val="00066BA2"/>
    <w:rsid w:val="00067471"/>
    <w:rsid w:val="00070722"/>
    <w:rsid w:val="00072A60"/>
    <w:rsid w:val="00074373"/>
    <w:rsid w:val="00074E55"/>
    <w:rsid w:val="00077A54"/>
    <w:rsid w:val="00077A75"/>
    <w:rsid w:val="00080F2D"/>
    <w:rsid w:val="00084F96"/>
    <w:rsid w:val="00096415"/>
    <w:rsid w:val="00096A1C"/>
    <w:rsid w:val="00097BBC"/>
    <w:rsid w:val="00097C32"/>
    <w:rsid w:val="000A28EF"/>
    <w:rsid w:val="000A419F"/>
    <w:rsid w:val="000A4DDE"/>
    <w:rsid w:val="000A4EDE"/>
    <w:rsid w:val="000A54D6"/>
    <w:rsid w:val="000A7169"/>
    <w:rsid w:val="000A7532"/>
    <w:rsid w:val="000A7682"/>
    <w:rsid w:val="000B0A09"/>
    <w:rsid w:val="000B1657"/>
    <w:rsid w:val="000B2C79"/>
    <w:rsid w:val="000B3D0C"/>
    <w:rsid w:val="000B4044"/>
    <w:rsid w:val="000B5BE2"/>
    <w:rsid w:val="000C3B26"/>
    <w:rsid w:val="000C3BCF"/>
    <w:rsid w:val="000C4C37"/>
    <w:rsid w:val="000C6F92"/>
    <w:rsid w:val="000C7C69"/>
    <w:rsid w:val="000D2999"/>
    <w:rsid w:val="000D2FA1"/>
    <w:rsid w:val="000D5308"/>
    <w:rsid w:val="000D7FE5"/>
    <w:rsid w:val="000E528B"/>
    <w:rsid w:val="000E5716"/>
    <w:rsid w:val="000E72B0"/>
    <w:rsid w:val="000E7598"/>
    <w:rsid w:val="000F0275"/>
    <w:rsid w:val="000F280F"/>
    <w:rsid w:val="000F3004"/>
    <w:rsid w:val="000F37AD"/>
    <w:rsid w:val="000F4076"/>
    <w:rsid w:val="000F5A34"/>
    <w:rsid w:val="000F6C54"/>
    <w:rsid w:val="00101499"/>
    <w:rsid w:val="00102052"/>
    <w:rsid w:val="001041BA"/>
    <w:rsid w:val="0010423C"/>
    <w:rsid w:val="00112C62"/>
    <w:rsid w:val="00114034"/>
    <w:rsid w:val="00114A44"/>
    <w:rsid w:val="00114C2D"/>
    <w:rsid w:val="00115D08"/>
    <w:rsid w:val="0011690B"/>
    <w:rsid w:val="00116FAA"/>
    <w:rsid w:val="001174F2"/>
    <w:rsid w:val="00131BCD"/>
    <w:rsid w:val="00131F77"/>
    <w:rsid w:val="001337EC"/>
    <w:rsid w:val="00133AF7"/>
    <w:rsid w:val="00133E1E"/>
    <w:rsid w:val="0013548A"/>
    <w:rsid w:val="0013632E"/>
    <w:rsid w:val="0013654E"/>
    <w:rsid w:val="00146318"/>
    <w:rsid w:val="00147EBE"/>
    <w:rsid w:val="001526DC"/>
    <w:rsid w:val="0015483F"/>
    <w:rsid w:val="00154C3D"/>
    <w:rsid w:val="00155FEA"/>
    <w:rsid w:val="001576F8"/>
    <w:rsid w:val="0015773B"/>
    <w:rsid w:val="00160183"/>
    <w:rsid w:val="00161EBC"/>
    <w:rsid w:val="0016288F"/>
    <w:rsid w:val="0016399D"/>
    <w:rsid w:val="00164344"/>
    <w:rsid w:val="0016675A"/>
    <w:rsid w:val="00170C11"/>
    <w:rsid w:val="00174A52"/>
    <w:rsid w:val="0019050C"/>
    <w:rsid w:val="001946FC"/>
    <w:rsid w:val="00197190"/>
    <w:rsid w:val="00197386"/>
    <w:rsid w:val="001A137C"/>
    <w:rsid w:val="001A17DF"/>
    <w:rsid w:val="001A22F4"/>
    <w:rsid w:val="001A33E6"/>
    <w:rsid w:val="001A51C5"/>
    <w:rsid w:val="001B0989"/>
    <w:rsid w:val="001B2145"/>
    <w:rsid w:val="001B249D"/>
    <w:rsid w:val="001B4C1F"/>
    <w:rsid w:val="001B61AE"/>
    <w:rsid w:val="001B6A91"/>
    <w:rsid w:val="001C21BE"/>
    <w:rsid w:val="001C2E5E"/>
    <w:rsid w:val="001C7609"/>
    <w:rsid w:val="001C7BAD"/>
    <w:rsid w:val="001D1AEE"/>
    <w:rsid w:val="001D4540"/>
    <w:rsid w:val="001D7510"/>
    <w:rsid w:val="001E3041"/>
    <w:rsid w:val="001E4687"/>
    <w:rsid w:val="001E492F"/>
    <w:rsid w:val="001E7611"/>
    <w:rsid w:val="001F4FA8"/>
    <w:rsid w:val="00210965"/>
    <w:rsid w:val="00210B64"/>
    <w:rsid w:val="002178D9"/>
    <w:rsid w:val="00222CF2"/>
    <w:rsid w:val="00224C62"/>
    <w:rsid w:val="00224F39"/>
    <w:rsid w:val="0022549D"/>
    <w:rsid w:val="00231898"/>
    <w:rsid w:val="002338E1"/>
    <w:rsid w:val="0023552F"/>
    <w:rsid w:val="00235AC4"/>
    <w:rsid w:val="002362A9"/>
    <w:rsid w:val="00237E8A"/>
    <w:rsid w:val="00241A96"/>
    <w:rsid w:val="0024508F"/>
    <w:rsid w:val="00246394"/>
    <w:rsid w:val="002519F8"/>
    <w:rsid w:val="00253A32"/>
    <w:rsid w:val="002570A0"/>
    <w:rsid w:val="0025779D"/>
    <w:rsid w:val="00261634"/>
    <w:rsid w:val="00261C37"/>
    <w:rsid w:val="00263F2B"/>
    <w:rsid w:val="0026421F"/>
    <w:rsid w:val="002709D1"/>
    <w:rsid w:val="00271AEB"/>
    <w:rsid w:val="00272373"/>
    <w:rsid w:val="002727F2"/>
    <w:rsid w:val="00275771"/>
    <w:rsid w:val="0027700E"/>
    <w:rsid w:val="002822FF"/>
    <w:rsid w:val="00282C8C"/>
    <w:rsid w:val="002849F9"/>
    <w:rsid w:val="00285776"/>
    <w:rsid w:val="00286C71"/>
    <w:rsid w:val="00290B37"/>
    <w:rsid w:val="0029193D"/>
    <w:rsid w:val="00291FC1"/>
    <w:rsid w:val="002929A9"/>
    <w:rsid w:val="002A4B09"/>
    <w:rsid w:val="002A5DD3"/>
    <w:rsid w:val="002A61A1"/>
    <w:rsid w:val="002A6F54"/>
    <w:rsid w:val="002A6FB8"/>
    <w:rsid w:val="002B1F6D"/>
    <w:rsid w:val="002B4EE6"/>
    <w:rsid w:val="002B5282"/>
    <w:rsid w:val="002B65DD"/>
    <w:rsid w:val="002B7245"/>
    <w:rsid w:val="002C31F8"/>
    <w:rsid w:val="002C4865"/>
    <w:rsid w:val="002C617D"/>
    <w:rsid w:val="002D3B08"/>
    <w:rsid w:val="002D5204"/>
    <w:rsid w:val="002D5CE2"/>
    <w:rsid w:val="002D5FCE"/>
    <w:rsid w:val="002D666D"/>
    <w:rsid w:val="002E06CE"/>
    <w:rsid w:val="002E1A03"/>
    <w:rsid w:val="002E3BE4"/>
    <w:rsid w:val="002E64BC"/>
    <w:rsid w:val="002F55C3"/>
    <w:rsid w:val="002F5DD7"/>
    <w:rsid w:val="002F6402"/>
    <w:rsid w:val="002F669B"/>
    <w:rsid w:val="002F7C6E"/>
    <w:rsid w:val="00300EE8"/>
    <w:rsid w:val="003027CF"/>
    <w:rsid w:val="00302A33"/>
    <w:rsid w:val="00305339"/>
    <w:rsid w:val="00306AF2"/>
    <w:rsid w:val="00306FC4"/>
    <w:rsid w:val="00310CD3"/>
    <w:rsid w:val="003165EA"/>
    <w:rsid w:val="00317280"/>
    <w:rsid w:val="003225D7"/>
    <w:rsid w:val="0032320C"/>
    <w:rsid w:val="00330817"/>
    <w:rsid w:val="003315BF"/>
    <w:rsid w:val="00332157"/>
    <w:rsid w:val="00335276"/>
    <w:rsid w:val="003408DE"/>
    <w:rsid w:val="00342341"/>
    <w:rsid w:val="00342EB4"/>
    <w:rsid w:val="00344CD0"/>
    <w:rsid w:val="0034514B"/>
    <w:rsid w:val="00346042"/>
    <w:rsid w:val="00346CC9"/>
    <w:rsid w:val="00346D6E"/>
    <w:rsid w:val="0034721C"/>
    <w:rsid w:val="00353D05"/>
    <w:rsid w:val="0035498F"/>
    <w:rsid w:val="003560BC"/>
    <w:rsid w:val="00362885"/>
    <w:rsid w:val="00367EDC"/>
    <w:rsid w:val="003726AA"/>
    <w:rsid w:val="003726D7"/>
    <w:rsid w:val="0037426D"/>
    <w:rsid w:val="003747C5"/>
    <w:rsid w:val="003822DC"/>
    <w:rsid w:val="0038303A"/>
    <w:rsid w:val="00384A33"/>
    <w:rsid w:val="0039346A"/>
    <w:rsid w:val="00396A74"/>
    <w:rsid w:val="00396A8D"/>
    <w:rsid w:val="003A06F1"/>
    <w:rsid w:val="003A671C"/>
    <w:rsid w:val="003A7B06"/>
    <w:rsid w:val="003B0031"/>
    <w:rsid w:val="003B5B1A"/>
    <w:rsid w:val="003B7725"/>
    <w:rsid w:val="003B7A05"/>
    <w:rsid w:val="003C134A"/>
    <w:rsid w:val="003C38D3"/>
    <w:rsid w:val="003C4430"/>
    <w:rsid w:val="003D3D27"/>
    <w:rsid w:val="003D48EB"/>
    <w:rsid w:val="003D6152"/>
    <w:rsid w:val="003D74A9"/>
    <w:rsid w:val="003D7A7F"/>
    <w:rsid w:val="003E1653"/>
    <w:rsid w:val="003E1C38"/>
    <w:rsid w:val="003E344B"/>
    <w:rsid w:val="003E39F6"/>
    <w:rsid w:val="003E4194"/>
    <w:rsid w:val="003E770D"/>
    <w:rsid w:val="003E7D30"/>
    <w:rsid w:val="003F13A9"/>
    <w:rsid w:val="003F2E5E"/>
    <w:rsid w:val="003F3465"/>
    <w:rsid w:val="003F4121"/>
    <w:rsid w:val="003F568C"/>
    <w:rsid w:val="003F5835"/>
    <w:rsid w:val="003F711D"/>
    <w:rsid w:val="004005A5"/>
    <w:rsid w:val="00400AE1"/>
    <w:rsid w:val="00400E39"/>
    <w:rsid w:val="00401350"/>
    <w:rsid w:val="00402D79"/>
    <w:rsid w:val="00404197"/>
    <w:rsid w:val="00405C36"/>
    <w:rsid w:val="00407ED7"/>
    <w:rsid w:val="004116DF"/>
    <w:rsid w:val="00411783"/>
    <w:rsid w:val="00411BB7"/>
    <w:rsid w:val="00416498"/>
    <w:rsid w:val="004219E2"/>
    <w:rsid w:val="00424522"/>
    <w:rsid w:val="0042764E"/>
    <w:rsid w:val="00427684"/>
    <w:rsid w:val="00430261"/>
    <w:rsid w:val="00430EAC"/>
    <w:rsid w:val="004312F3"/>
    <w:rsid w:val="00437219"/>
    <w:rsid w:val="004407AC"/>
    <w:rsid w:val="00440B1B"/>
    <w:rsid w:val="0044187C"/>
    <w:rsid w:val="00442EDB"/>
    <w:rsid w:val="0044762D"/>
    <w:rsid w:val="00447C54"/>
    <w:rsid w:val="00450506"/>
    <w:rsid w:val="00450E9F"/>
    <w:rsid w:val="0045104D"/>
    <w:rsid w:val="004571F1"/>
    <w:rsid w:val="00457AE5"/>
    <w:rsid w:val="00457B1E"/>
    <w:rsid w:val="00457E33"/>
    <w:rsid w:val="004616FD"/>
    <w:rsid w:val="00463714"/>
    <w:rsid w:val="00463826"/>
    <w:rsid w:val="00464DCD"/>
    <w:rsid w:val="00466A09"/>
    <w:rsid w:val="00467AB9"/>
    <w:rsid w:val="004709F6"/>
    <w:rsid w:val="00472363"/>
    <w:rsid w:val="00473DC6"/>
    <w:rsid w:val="00474C75"/>
    <w:rsid w:val="0047553D"/>
    <w:rsid w:val="00475582"/>
    <w:rsid w:val="00475F7D"/>
    <w:rsid w:val="00480B3C"/>
    <w:rsid w:val="004852FA"/>
    <w:rsid w:val="0048559B"/>
    <w:rsid w:val="00486067"/>
    <w:rsid w:val="00487356"/>
    <w:rsid w:val="00490EDA"/>
    <w:rsid w:val="004978D7"/>
    <w:rsid w:val="004A0E9E"/>
    <w:rsid w:val="004A0F8D"/>
    <w:rsid w:val="004A2A5D"/>
    <w:rsid w:val="004A5F10"/>
    <w:rsid w:val="004B1506"/>
    <w:rsid w:val="004B1AEC"/>
    <w:rsid w:val="004B38FD"/>
    <w:rsid w:val="004B4113"/>
    <w:rsid w:val="004B4408"/>
    <w:rsid w:val="004B6DB7"/>
    <w:rsid w:val="004C00A9"/>
    <w:rsid w:val="004C0D50"/>
    <w:rsid w:val="004C2E73"/>
    <w:rsid w:val="004C332A"/>
    <w:rsid w:val="004C49AF"/>
    <w:rsid w:val="004C564D"/>
    <w:rsid w:val="004C5FD5"/>
    <w:rsid w:val="004C7CCA"/>
    <w:rsid w:val="004D0639"/>
    <w:rsid w:val="004D21EF"/>
    <w:rsid w:val="004D2317"/>
    <w:rsid w:val="004D3E46"/>
    <w:rsid w:val="004D74C1"/>
    <w:rsid w:val="004D77D8"/>
    <w:rsid w:val="004E2A7B"/>
    <w:rsid w:val="004E39C9"/>
    <w:rsid w:val="004E5893"/>
    <w:rsid w:val="004F0D26"/>
    <w:rsid w:val="004F234B"/>
    <w:rsid w:val="004F4CD4"/>
    <w:rsid w:val="004F570A"/>
    <w:rsid w:val="004F6283"/>
    <w:rsid w:val="005004EB"/>
    <w:rsid w:val="00501A54"/>
    <w:rsid w:val="00501DAC"/>
    <w:rsid w:val="00502555"/>
    <w:rsid w:val="00505B22"/>
    <w:rsid w:val="00510926"/>
    <w:rsid w:val="00516F42"/>
    <w:rsid w:val="00520F3A"/>
    <w:rsid w:val="00521F20"/>
    <w:rsid w:val="00523CC1"/>
    <w:rsid w:val="00523CC6"/>
    <w:rsid w:val="0052438C"/>
    <w:rsid w:val="00524918"/>
    <w:rsid w:val="00525382"/>
    <w:rsid w:val="00526212"/>
    <w:rsid w:val="00531A11"/>
    <w:rsid w:val="0053316D"/>
    <w:rsid w:val="00534398"/>
    <w:rsid w:val="00534A2B"/>
    <w:rsid w:val="00535C00"/>
    <w:rsid w:val="00545A0C"/>
    <w:rsid w:val="00546715"/>
    <w:rsid w:val="00546DB4"/>
    <w:rsid w:val="0055056D"/>
    <w:rsid w:val="00550A00"/>
    <w:rsid w:val="00550B2E"/>
    <w:rsid w:val="0055332B"/>
    <w:rsid w:val="00554EAA"/>
    <w:rsid w:val="005574B8"/>
    <w:rsid w:val="0056082F"/>
    <w:rsid w:val="005620C1"/>
    <w:rsid w:val="00563731"/>
    <w:rsid w:val="005640D0"/>
    <w:rsid w:val="00566A81"/>
    <w:rsid w:val="00566FCB"/>
    <w:rsid w:val="00570BF8"/>
    <w:rsid w:val="00573E9F"/>
    <w:rsid w:val="00573F7F"/>
    <w:rsid w:val="00576042"/>
    <w:rsid w:val="0057769F"/>
    <w:rsid w:val="00577B48"/>
    <w:rsid w:val="00581CA9"/>
    <w:rsid w:val="00581DDA"/>
    <w:rsid w:val="005840B3"/>
    <w:rsid w:val="0058579D"/>
    <w:rsid w:val="0058602C"/>
    <w:rsid w:val="0058733C"/>
    <w:rsid w:val="00590DB6"/>
    <w:rsid w:val="00591A1B"/>
    <w:rsid w:val="00595811"/>
    <w:rsid w:val="00596025"/>
    <w:rsid w:val="005A27EF"/>
    <w:rsid w:val="005A35CF"/>
    <w:rsid w:val="005A6CE8"/>
    <w:rsid w:val="005B1F86"/>
    <w:rsid w:val="005B24EB"/>
    <w:rsid w:val="005B3CF0"/>
    <w:rsid w:val="005B4C9C"/>
    <w:rsid w:val="005B78AD"/>
    <w:rsid w:val="005B78AE"/>
    <w:rsid w:val="005C1677"/>
    <w:rsid w:val="005C6F85"/>
    <w:rsid w:val="005C78E1"/>
    <w:rsid w:val="005D32D6"/>
    <w:rsid w:val="005D3815"/>
    <w:rsid w:val="005E1EF0"/>
    <w:rsid w:val="005E2639"/>
    <w:rsid w:val="005E3FCE"/>
    <w:rsid w:val="005E5997"/>
    <w:rsid w:val="005E6BB6"/>
    <w:rsid w:val="005E7645"/>
    <w:rsid w:val="005F08C4"/>
    <w:rsid w:val="005F0E5E"/>
    <w:rsid w:val="005F37B3"/>
    <w:rsid w:val="005F50D6"/>
    <w:rsid w:val="005F6882"/>
    <w:rsid w:val="005F688D"/>
    <w:rsid w:val="005F6CF2"/>
    <w:rsid w:val="005F7DB8"/>
    <w:rsid w:val="00600542"/>
    <w:rsid w:val="00600EAD"/>
    <w:rsid w:val="00600FEF"/>
    <w:rsid w:val="00601FFA"/>
    <w:rsid w:val="00602893"/>
    <w:rsid w:val="00602FF9"/>
    <w:rsid w:val="006030D3"/>
    <w:rsid w:val="00603206"/>
    <w:rsid w:val="006051B2"/>
    <w:rsid w:val="00606633"/>
    <w:rsid w:val="006101DA"/>
    <w:rsid w:val="00611ED8"/>
    <w:rsid w:val="00614853"/>
    <w:rsid w:val="00617874"/>
    <w:rsid w:val="0062038F"/>
    <w:rsid w:val="00620DA3"/>
    <w:rsid w:val="006216F9"/>
    <w:rsid w:val="0062355C"/>
    <w:rsid w:val="00623716"/>
    <w:rsid w:val="00624A09"/>
    <w:rsid w:val="0062632E"/>
    <w:rsid w:val="00627308"/>
    <w:rsid w:val="00631592"/>
    <w:rsid w:val="00634B7E"/>
    <w:rsid w:val="00635786"/>
    <w:rsid w:val="00636832"/>
    <w:rsid w:val="00636B2D"/>
    <w:rsid w:val="006446EB"/>
    <w:rsid w:val="0064652D"/>
    <w:rsid w:val="00650186"/>
    <w:rsid w:val="006501B0"/>
    <w:rsid w:val="00650FEC"/>
    <w:rsid w:val="00651115"/>
    <w:rsid w:val="00651410"/>
    <w:rsid w:val="00653A2E"/>
    <w:rsid w:val="0065410F"/>
    <w:rsid w:val="00655D07"/>
    <w:rsid w:val="00661900"/>
    <w:rsid w:val="00662872"/>
    <w:rsid w:val="006704A5"/>
    <w:rsid w:val="00671820"/>
    <w:rsid w:val="006718E8"/>
    <w:rsid w:val="00672D1D"/>
    <w:rsid w:val="00676D56"/>
    <w:rsid w:val="006813F7"/>
    <w:rsid w:val="00682422"/>
    <w:rsid w:val="00682A91"/>
    <w:rsid w:val="00684925"/>
    <w:rsid w:val="00686928"/>
    <w:rsid w:val="00687902"/>
    <w:rsid w:val="0069607C"/>
    <w:rsid w:val="00697AE5"/>
    <w:rsid w:val="006A064A"/>
    <w:rsid w:val="006A6054"/>
    <w:rsid w:val="006A7A0F"/>
    <w:rsid w:val="006B164C"/>
    <w:rsid w:val="006B1C8A"/>
    <w:rsid w:val="006B1F34"/>
    <w:rsid w:val="006B4261"/>
    <w:rsid w:val="006B4C0B"/>
    <w:rsid w:val="006C0E86"/>
    <w:rsid w:val="006C3660"/>
    <w:rsid w:val="006C4B44"/>
    <w:rsid w:val="006C6CBA"/>
    <w:rsid w:val="006C7EF5"/>
    <w:rsid w:val="006E0416"/>
    <w:rsid w:val="006E10E8"/>
    <w:rsid w:val="006E2A32"/>
    <w:rsid w:val="006E3741"/>
    <w:rsid w:val="006E3F0B"/>
    <w:rsid w:val="006E50EC"/>
    <w:rsid w:val="006E75C7"/>
    <w:rsid w:val="006E7AD3"/>
    <w:rsid w:val="006F29B0"/>
    <w:rsid w:val="006F2D3E"/>
    <w:rsid w:val="006F51F5"/>
    <w:rsid w:val="006F6E82"/>
    <w:rsid w:val="006F70B5"/>
    <w:rsid w:val="00702C44"/>
    <w:rsid w:val="007044C4"/>
    <w:rsid w:val="007108DB"/>
    <w:rsid w:val="007123CA"/>
    <w:rsid w:val="00712A28"/>
    <w:rsid w:val="00712BB4"/>
    <w:rsid w:val="00713BE5"/>
    <w:rsid w:val="00714883"/>
    <w:rsid w:val="007169CB"/>
    <w:rsid w:val="00717BE7"/>
    <w:rsid w:val="007204B7"/>
    <w:rsid w:val="00721A52"/>
    <w:rsid w:val="00724616"/>
    <w:rsid w:val="00736179"/>
    <w:rsid w:val="00741AC5"/>
    <w:rsid w:val="007429A2"/>
    <w:rsid w:val="007455DD"/>
    <w:rsid w:val="00747060"/>
    <w:rsid w:val="0075049E"/>
    <w:rsid w:val="00751580"/>
    <w:rsid w:val="00753D99"/>
    <w:rsid w:val="007556A6"/>
    <w:rsid w:val="0075739C"/>
    <w:rsid w:val="00770645"/>
    <w:rsid w:val="00771735"/>
    <w:rsid w:val="007755FA"/>
    <w:rsid w:val="007765DF"/>
    <w:rsid w:val="007777FE"/>
    <w:rsid w:val="007829ED"/>
    <w:rsid w:val="00783592"/>
    <w:rsid w:val="007837BC"/>
    <w:rsid w:val="00784EDB"/>
    <w:rsid w:val="00785281"/>
    <w:rsid w:val="00785A36"/>
    <w:rsid w:val="00787EE3"/>
    <w:rsid w:val="00790ED7"/>
    <w:rsid w:val="007924BC"/>
    <w:rsid w:val="00793A9C"/>
    <w:rsid w:val="007958FD"/>
    <w:rsid w:val="007967BC"/>
    <w:rsid w:val="00796C25"/>
    <w:rsid w:val="00796FF8"/>
    <w:rsid w:val="007A058F"/>
    <w:rsid w:val="007A1403"/>
    <w:rsid w:val="007A3A7D"/>
    <w:rsid w:val="007A3DD3"/>
    <w:rsid w:val="007A43F9"/>
    <w:rsid w:val="007A532B"/>
    <w:rsid w:val="007A5DA1"/>
    <w:rsid w:val="007A6538"/>
    <w:rsid w:val="007B043B"/>
    <w:rsid w:val="007B1167"/>
    <w:rsid w:val="007B689D"/>
    <w:rsid w:val="007C1642"/>
    <w:rsid w:val="007C6CC0"/>
    <w:rsid w:val="007D0607"/>
    <w:rsid w:val="007D175A"/>
    <w:rsid w:val="007D2980"/>
    <w:rsid w:val="007D6CA8"/>
    <w:rsid w:val="007E08A9"/>
    <w:rsid w:val="007E4392"/>
    <w:rsid w:val="007E6CD0"/>
    <w:rsid w:val="007E6DBD"/>
    <w:rsid w:val="007E71EF"/>
    <w:rsid w:val="007F3D69"/>
    <w:rsid w:val="007F4F7F"/>
    <w:rsid w:val="00801943"/>
    <w:rsid w:val="0080412F"/>
    <w:rsid w:val="00804DCA"/>
    <w:rsid w:val="00807D07"/>
    <w:rsid w:val="008102B9"/>
    <w:rsid w:val="00812406"/>
    <w:rsid w:val="00813338"/>
    <w:rsid w:val="00813612"/>
    <w:rsid w:val="008149B7"/>
    <w:rsid w:val="00816468"/>
    <w:rsid w:val="00816EF2"/>
    <w:rsid w:val="008171BD"/>
    <w:rsid w:val="008229D9"/>
    <w:rsid w:val="00823E7E"/>
    <w:rsid w:val="00825661"/>
    <w:rsid w:val="00825FFB"/>
    <w:rsid w:val="008271D7"/>
    <w:rsid w:val="00827581"/>
    <w:rsid w:val="00827DE1"/>
    <w:rsid w:val="008327A1"/>
    <w:rsid w:val="008328A0"/>
    <w:rsid w:val="00834B0C"/>
    <w:rsid w:val="00836FDF"/>
    <w:rsid w:val="00840F4C"/>
    <w:rsid w:val="00841B89"/>
    <w:rsid w:val="008428FB"/>
    <w:rsid w:val="00843622"/>
    <w:rsid w:val="00851BF2"/>
    <w:rsid w:val="00852EBA"/>
    <w:rsid w:val="00857FFD"/>
    <w:rsid w:val="00861F8B"/>
    <w:rsid w:val="00863F40"/>
    <w:rsid w:val="0086409E"/>
    <w:rsid w:val="00866EBB"/>
    <w:rsid w:val="008672F2"/>
    <w:rsid w:val="00871EBB"/>
    <w:rsid w:val="00873804"/>
    <w:rsid w:val="00874060"/>
    <w:rsid w:val="00880C2F"/>
    <w:rsid w:val="00883521"/>
    <w:rsid w:val="00883A2C"/>
    <w:rsid w:val="008855AC"/>
    <w:rsid w:val="00886614"/>
    <w:rsid w:val="0088750B"/>
    <w:rsid w:val="00887B23"/>
    <w:rsid w:val="00892021"/>
    <w:rsid w:val="008929C8"/>
    <w:rsid w:val="00893C5B"/>
    <w:rsid w:val="00897284"/>
    <w:rsid w:val="008A0464"/>
    <w:rsid w:val="008A13DB"/>
    <w:rsid w:val="008A14FE"/>
    <w:rsid w:val="008A4A64"/>
    <w:rsid w:val="008B1E51"/>
    <w:rsid w:val="008B30A6"/>
    <w:rsid w:val="008B3D2D"/>
    <w:rsid w:val="008B3EFA"/>
    <w:rsid w:val="008B5294"/>
    <w:rsid w:val="008B7D88"/>
    <w:rsid w:val="008C23B2"/>
    <w:rsid w:val="008C2ED3"/>
    <w:rsid w:val="008C43E9"/>
    <w:rsid w:val="008C5F6C"/>
    <w:rsid w:val="008C722B"/>
    <w:rsid w:val="008D27DA"/>
    <w:rsid w:val="008D282C"/>
    <w:rsid w:val="008D3721"/>
    <w:rsid w:val="008D4B31"/>
    <w:rsid w:val="008D74C3"/>
    <w:rsid w:val="008D7550"/>
    <w:rsid w:val="008E057A"/>
    <w:rsid w:val="008E34E4"/>
    <w:rsid w:val="008E53CA"/>
    <w:rsid w:val="008E5AF0"/>
    <w:rsid w:val="008F0F5A"/>
    <w:rsid w:val="008F1102"/>
    <w:rsid w:val="008F33F5"/>
    <w:rsid w:val="008F374B"/>
    <w:rsid w:val="008F59FC"/>
    <w:rsid w:val="008F5D7C"/>
    <w:rsid w:val="008F625A"/>
    <w:rsid w:val="00900F48"/>
    <w:rsid w:val="009035DC"/>
    <w:rsid w:val="009073CA"/>
    <w:rsid w:val="00910B06"/>
    <w:rsid w:val="0091244D"/>
    <w:rsid w:val="009131E7"/>
    <w:rsid w:val="009133D3"/>
    <w:rsid w:val="00916243"/>
    <w:rsid w:val="0091748E"/>
    <w:rsid w:val="00925708"/>
    <w:rsid w:val="0093086E"/>
    <w:rsid w:val="00931C1F"/>
    <w:rsid w:val="00932ADC"/>
    <w:rsid w:val="00934C0D"/>
    <w:rsid w:val="009360BE"/>
    <w:rsid w:val="009416B4"/>
    <w:rsid w:val="0094246D"/>
    <w:rsid w:val="009457BC"/>
    <w:rsid w:val="00950E74"/>
    <w:rsid w:val="00954839"/>
    <w:rsid w:val="00955FA2"/>
    <w:rsid w:val="0095609D"/>
    <w:rsid w:val="009565CA"/>
    <w:rsid w:val="0095782A"/>
    <w:rsid w:val="00966547"/>
    <w:rsid w:val="00967E72"/>
    <w:rsid w:val="00971ACB"/>
    <w:rsid w:val="009730C7"/>
    <w:rsid w:val="00973797"/>
    <w:rsid w:val="009744E0"/>
    <w:rsid w:val="00974E1C"/>
    <w:rsid w:val="00976232"/>
    <w:rsid w:val="00976C37"/>
    <w:rsid w:val="00980E67"/>
    <w:rsid w:val="009811A2"/>
    <w:rsid w:val="00982723"/>
    <w:rsid w:val="00983B14"/>
    <w:rsid w:val="00984E8C"/>
    <w:rsid w:val="00990C14"/>
    <w:rsid w:val="00993143"/>
    <w:rsid w:val="009937F9"/>
    <w:rsid w:val="00994143"/>
    <w:rsid w:val="00994A41"/>
    <w:rsid w:val="00994C52"/>
    <w:rsid w:val="0099504C"/>
    <w:rsid w:val="009955CE"/>
    <w:rsid w:val="00995C2D"/>
    <w:rsid w:val="009A071F"/>
    <w:rsid w:val="009A251A"/>
    <w:rsid w:val="009A36E3"/>
    <w:rsid w:val="009A77E3"/>
    <w:rsid w:val="009A7C4E"/>
    <w:rsid w:val="009B00C0"/>
    <w:rsid w:val="009B05A9"/>
    <w:rsid w:val="009C09F2"/>
    <w:rsid w:val="009C0FF4"/>
    <w:rsid w:val="009C12C3"/>
    <w:rsid w:val="009C1A5A"/>
    <w:rsid w:val="009C375B"/>
    <w:rsid w:val="009C5DB3"/>
    <w:rsid w:val="009C7817"/>
    <w:rsid w:val="009C7B14"/>
    <w:rsid w:val="009D0145"/>
    <w:rsid w:val="009D16A5"/>
    <w:rsid w:val="009D68E4"/>
    <w:rsid w:val="009D7100"/>
    <w:rsid w:val="009E2478"/>
    <w:rsid w:val="009E3690"/>
    <w:rsid w:val="009F4608"/>
    <w:rsid w:val="009F7BFB"/>
    <w:rsid w:val="009F7C3E"/>
    <w:rsid w:val="00A03D9D"/>
    <w:rsid w:val="00A04579"/>
    <w:rsid w:val="00A04F8A"/>
    <w:rsid w:val="00A0560D"/>
    <w:rsid w:val="00A0582F"/>
    <w:rsid w:val="00A05D79"/>
    <w:rsid w:val="00A05DFB"/>
    <w:rsid w:val="00A07B1D"/>
    <w:rsid w:val="00A07C83"/>
    <w:rsid w:val="00A11A45"/>
    <w:rsid w:val="00A12312"/>
    <w:rsid w:val="00A1304A"/>
    <w:rsid w:val="00A20047"/>
    <w:rsid w:val="00A20E97"/>
    <w:rsid w:val="00A225A2"/>
    <w:rsid w:val="00A23355"/>
    <w:rsid w:val="00A2487D"/>
    <w:rsid w:val="00A254F8"/>
    <w:rsid w:val="00A3033A"/>
    <w:rsid w:val="00A32525"/>
    <w:rsid w:val="00A32E8C"/>
    <w:rsid w:val="00A3381A"/>
    <w:rsid w:val="00A34AD4"/>
    <w:rsid w:val="00A34E40"/>
    <w:rsid w:val="00A353D1"/>
    <w:rsid w:val="00A372B0"/>
    <w:rsid w:val="00A4003C"/>
    <w:rsid w:val="00A41812"/>
    <w:rsid w:val="00A42095"/>
    <w:rsid w:val="00A4394B"/>
    <w:rsid w:val="00A4635D"/>
    <w:rsid w:val="00A472C6"/>
    <w:rsid w:val="00A47F01"/>
    <w:rsid w:val="00A5110D"/>
    <w:rsid w:val="00A57080"/>
    <w:rsid w:val="00A61A43"/>
    <w:rsid w:val="00A61FCD"/>
    <w:rsid w:val="00A62DB2"/>
    <w:rsid w:val="00A63B91"/>
    <w:rsid w:val="00A641B6"/>
    <w:rsid w:val="00A66608"/>
    <w:rsid w:val="00A7164F"/>
    <w:rsid w:val="00A73F28"/>
    <w:rsid w:val="00A755E1"/>
    <w:rsid w:val="00A75D88"/>
    <w:rsid w:val="00A76CBD"/>
    <w:rsid w:val="00A77953"/>
    <w:rsid w:val="00A7796C"/>
    <w:rsid w:val="00A77B22"/>
    <w:rsid w:val="00A84311"/>
    <w:rsid w:val="00A84789"/>
    <w:rsid w:val="00A87C5E"/>
    <w:rsid w:val="00A90F8F"/>
    <w:rsid w:val="00A9282B"/>
    <w:rsid w:val="00AA06BF"/>
    <w:rsid w:val="00AA17A8"/>
    <w:rsid w:val="00AA6C8E"/>
    <w:rsid w:val="00AB156E"/>
    <w:rsid w:val="00AB1E7C"/>
    <w:rsid w:val="00AB258A"/>
    <w:rsid w:val="00AB2EAC"/>
    <w:rsid w:val="00AB3670"/>
    <w:rsid w:val="00AB3E0C"/>
    <w:rsid w:val="00AB41B3"/>
    <w:rsid w:val="00AB5C2A"/>
    <w:rsid w:val="00AB6AC9"/>
    <w:rsid w:val="00AB6E41"/>
    <w:rsid w:val="00AB6FEB"/>
    <w:rsid w:val="00AC0D45"/>
    <w:rsid w:val="00AC13FA"/>
    <w:rsid w:val="00AC302D"/>
    <w:rsid w:val="00AC4DDC"/>
    <w:rsid w:val="00AC5493"/>
    <w:rsid w:val="00AD1E9A"/>
    <w:rsid w:val="00AD568B"/>
    <w:rsid w:val="00AE03D2"/>
    <w:rsid w:val="00AE4ECA"/>
    <w:rsid w:val="00AF0AA0"/>
    <w:rsid w:val="00AF46FB"/>
    <w:rsid w:val="00AF5137"/>
    <w:rsid w:val="00AF57F5"/>
    <w:rsid w:val="00AF62E6"/>
    <w:rsid w:val="00AF6B60"/>
    <w:rsid w:val="00AF6B6D"/>
    <w:rsid w:val="00B0243B"/>
    <w:rsid w:val="00B03260"/>
    <w:rsid w:val="00B036E0"/>
    <w:rsid w:val="00B064FD"/>
    <w:rsid w:val="00B06CBE"/>
    <w:rsid w:val="00B07648"/>
    <w:rsid w:val="00B07B51"/>
    <w:rsid w:val="00B1349F"/>
    <w:rsid w:val="00B145C9"/>
    <w:rsid w:val="00B14AF3"/>
    <w:rsid w:val="00B14D4F"/>
    <w:rsid w:val="00B15372"/>
    <w:rsid w:val="00B2005D"/>
    <w:rsid w:val="00B20CCB"/>
    <w:rsid w:val="00B257D3"/>
    <w:rsid w:val="00B25D74"/>
    <w:rsid w:val="00B267E4"/>
    <w:rsid w:val="00B30570"/>
    <w:rsid w:val="00B33F20"/>
    <w:rsid w:val="00B34B2B"/>
    <w:rsid w:val="00B34CF9"/>
    <w:rsid w:val="00B35D0B"/>
    <w:rsid w:val="00B40A72"/>
    <w:rsid w:val="00B44641"/>
    <w:rsid w:val="00B4799A"/>
    <w:rsid w:val="00B51762"/>
    <w:rsid w:val="00B5370F"/>
    <w:rsid w:val="00B54154"/>
    <w:rsid w:val="00B54E2C"/>
    <w:rsid w:val="00B56B73"/>
    <w:rsid w:val="00B6143F"/>
    <w:rsid w:val="00B63D91"/>
    <w:rsid w:val="00B70B10"/>
    <w:rsid w:val="00B76BB2"/>
    <w:rsid w:val="00B777C2"/>
    <w:rsid w:val="00B828C1"/>
    <w:rsid w:val="00B85795"/>
    <w:rsid w:val="00B874F2"/>
    <w:rsid w:val="00B87F1C"/>
    <w:rsid w:val="00B90AA5"/>
    <w:rsid w:val="00B929D0"/>
    <w:rsid w:val="00B941D7"/>
    <w:rsid w:val="00B94ED3"/>
    <w:rsid w:val="00B95BA7"/>
    <w:rsid w:val="00B966E7"/>
    <w:rsid w:val="00B96B6A"/>
    <w:rsid w:val="00B971A2"/>
    <w:rsid w:val="00B97201"/>
    <w:rsid w:val="00BA0EC4"/>
    <w:rsid w:val="00BA2C24"/>
    <w:rsid w:val="00BA6AA3"/>
    <w:rsid w:val="00BA7D65"/>
    <w:rsid w:val="00BB514D"/>
    <w:rsid w:val="00BB7860"/>
    <w:rsid w:val="00BC41E7"/>
    <w:rsid w:val="00BC724F"/>
    <w:rsid w:val="00BD0756"/>
    <w:rsid w:val="00BD3642"/>
    <w:rsid w:val="00BD39B6"/>
    <w:rsid w:val="00BD3C68"/>
    <w:rsid w:val="00BD697C"/>
    <w:rsid w:val="00BE0FE4"/>
    <w:rsid w:val="00BE5083"/>
    <w:rsid w:val="00BE62D4"/>
    <w:rsid w:val="00BF0252"/>
    <w:rsid w:val="00BF5900"/>
    <w:rsid w:val="00BF7D77"/>
    <w:rsid w:val="00C06715"/>
    <w:rsid w:val="00C07199"/>
    <w:rsid w:val="00C07286"/>
    <w:rsid w:val="00C102FF"/>
    <w:rsid w:val="00C22100"/>
    <w:rsid w:val="00C228CE"/>
    <w:rsid w:val="00C24323"/>
    <w:rsid w:val="00C3297D"/>
    <w:rsid w:val="00C32EA2"/>
    <w:rsid w:val="00C3592B"/>
    <w:rsid w:val="00C36AF2"/>
    <w:rsid w:val="00C37624"/>
    <w:rsid w:val="00C43DDD"/>
    <w:rsid w:val="00C4727E"/>
    <w:rsid w:val="00C51F9E"/>
    <w:rsid w:val="00C52820"/>
    <w:rsid w:val="00C52A18"/>
    <w:rsid w:val="00C54050"/>
    <w:rsid w:val="00C550CE"/>
    <w:rsid w:val="00C55F37"/>
    <w:rsid w:val="00C60A70"/>
    <w:rsid w:val="00C62871"/>
    <w:rsid w:val="00C6327D"/>
    <w:rsid w:val="00C63B9A"/>
    <w:rsid w:val="00C677B3"/>
    <w:rsid w:val="00C701C0"/>
    <w:rsid w:val="00C72845"/>
    <w:rsid w:val="00C75A0E"/>
    <w:rsid w:val="00C83984"/>
    <w:rsid w:val="00C843BC"/>
    <w:rsid w:val="00C84D24"/>
    <w:rsid w:val="00C87567"/>
    <w:rsid w:val="00C87842"/>
    <w:rsid w:val="00C93612"/>
    <w:rsid w:val="00C94905"/>
    <w:rsid w:val="00C97C88"/>
    <w:rsid w:val="00CA3149"/>
    <w:rsid w:val="00CA33C8"/>
    <w:rsid w:val="00CA3998"/>
    <w:rsid w:val="00CA48A5"/>
    <w:rsid w:val="00CB188B"/>
    <w:rsid w:val="00CB2C27"/>
    <w:rsid w:val="00CC2EFA"/>
    <w:rsid w:val="00CC48BE"/>
    <w:rsid w:val="00CC5475"/>
    <w:rsid w:val="00CD2365"/>
    <w:rsid w:val="00CD3C03"/>
    <w:rsid w:val="00CD4928"/>
    <w:rsid w:val="00CD526D"/>
    <w:rsid w:val="00CD74A5"/>
    <w:rsid w:val="00CE2185"/>
    <w:rsid w:val="00CE2FF6"/>
    <w:rsid w:val="00CE4D12"/>
    <w:rsid w:val="00CE64EC"/>
    <w:rsid w:val="00CE6F85"/>
    <w:rsid w:val="00CE7F06"/>
    <w:rsid w:val="00CF011C"/>
    <w:rsid w:val="00CF1A52"/>
    <w:rsid w:val="00CF7186"/>
    <w:rsid w:val="00D011A7"/>
    <w:rsid w:val="00D03B03"/>
    <w:rsid w:val="00D052BF"/>
    <w:rsid w:val="00D104AA"/>
    <w:rsid w:val="00D1425F"/>
    <w:rsid w:val="00D20AC9"/>
    <w:rsid w:val="00D2406A"/>
    <w:rsid w:val="00D2563F"/>
    <w:rsid w:val="00D3135B"/>
    <w:rsid w:val="00D33619"/>
    <w:rsid w:val="00D3489E"/>
    <w:rsid w:val="00D350F6"/>
    <w:rsid w:val="00D454F7"/>
    <w:rsid w:val="00D45656"/>
    <w:rsid w:val="00D463D8"/>
    <w:rsid w:val="00D478DC"/>
    <w:rsid w:val="00D53CBB"/>
    <w:rsid w:val="00D5470B"/>
    <w:rsid w:val="00D57621"/>
    <w:rsid w:val="00D60835"/>
    <w:rsid w:val="00D61C6F"/>
    <w:rsid w:val="00D627C5"/>
    <w:rsid w:val="00D661DA"/>
    <w:rsid w:val="00D66F16"/>
    <w:rsid w:val="00D67673"/>
    <w:rsid w:val="00D71574"/>
    <w:rsid w:val="00D73A83"/>
    <w:rsid w:val="00D7553B"/>
    <w:rsid w:val="00D81FA0"/>
    <w:rsid w:val="00D82048"/>
    <w:rsid w:val="00D85ED2"/>
    <w:rsid w:val="00D90728"/>
    <w:rsid w:val="00D96E8A"/>
    <w:rsid w:val="00DA4175"/>
    <w:rsid w:val="00DA4C6E"/>
    <w:rsid w:val="00DA4D56"/>
    <w:rsid w:val="00DA5542"/>
    <w:rsid w:val="00DB0494"/>
    <w:rsid w:val="00DB0796"/>
    <w:rsid w:val="00DB26DD"/>
    <w:rsid w:val="00DB59D2"/>
    <w:rsid w:val="00DB5DCD"/>
    <w:rsid w:val="00DC1232"/>
    <w:rsid w:val="00DC1876"/>
    <w:rsid w:val="00DC673A"/>
    <w:rsid w:val="00DD071F"/>
    <w:rsid w:val="00DD26D4"/>
    <w:rsid w:val="00DD6DC6"/>
    <w:rsid w:val="00DD7ACB"/>
    <w:rsid w:val="00DE0E20"/>
    <w:rsid w:val="00DE2305"/>
    <w:rsid w:val="00DE518B"/>
    <w:rsid w:val="00DE5F12"/>
    <w:rsid w:val="00DF299C"/>
    <w:rsid w:val="00DF3DCA"/>
    <w:rsid w:val="00DF5E94"/>
    <w:rsid w:val="00DF72BD"/>
    <w:rsid w:val="00DF73D6"/>
    <w:rsid w:val="00E007BC"/>
    <w:rsid w:val="00E03AD5"/>
    <w:rsid w:val="00E103B0"/>
    <w:rsid w:val="00E105DE"/>
    <w:rsid w:val="00E10A0B"/>
    <w:rsid w:val="00E10F9C"/>
    <w:rsid w:val="00E1139F"/>
    <w:rsid w:val="00E13002"/>
    <w:rsid w:val="00E13C0E"/>
    <w:rsid w:val="00E14B08"/>
    <w:rsid w:val="00E150CA"/>
    <w:rsid w:val="00E163C1"/>
    <w:rsid w:val="00E21CE8"/>
    <w:rsid w:val="00E24A6F"/>
    <w:rsid w:val="00E2667B"/>
    <w:rsid w:val="00E26E89"/>
    <w:rsid w:val="00E3187D"/>
    <w:rsid w:val="00E34933"/>
    <w:rsid w:val="00E34F5B"/>
    <w:rsid w:val="00E355B1"/>
    <w:rsid w:val="00E35CC9"/>
    <w:rsid w:val="00E35F02"/>
    <w:rsid w:val="00E35FAF"/>
    <w:rsid w:val="00E4071E"/>
    <w:rsid w:val="00E4462E"/>
    <w:rsid w:val="00E46D3E"/>
    <w:rsid w:val="00E53345"/>
    <w:rsid w:val="00E62770"/>
    <w:rsid w:val="00E62ED4"/>
    <w:rsid w:val="00E63A81"/>
    <w:rsid w:val="00E63B54"/>
    <w:rsid w:val="00E65D96"/>
    <w:rsid w:val="00E65F58"/>
    <w:rsid w:val="00E73343"/>
    <w:rsid w:val="00E74F5B"/>
    <w:rsid w:val="00E8169A"/>
    <w:rsid w:val="00E81C03"/>
    <w:rsid w:val="00E833FC"/>
    <w:rsid w:val="00E836E7"/>
    <w:rsid w:val="00E86763"/>
    <w:rsid w:val="00E87CA2"/>
    <w:rsid w:val="00E87F66"/>
    <w:rsid w:val="00E915EA"/>
    <w:rsid w:val="00E9438C"/>
    <w:rsid w:val="00E9545C"/>
    <w:rsid w:val="00E97B38"/>
    <w:rsid w:val="00E97BEB"/>
    <w:rsid w:val="00EA64F8"/>
    <w:rsid w:val="00EA7742"/>
    <w:rsid w:val="00EB7F6B"/>
    <w:rsid w:val="00EC2938"/>
    <w:rsid w:val="00EC2A1B"/>
    <w:rsid w:val="00EC4BD5"/>
    <w:rsid w:val="00EC56A1"/>
    <w:rsid w:val="00ED1785"/>
    <w:rsid w:val="00ED198F"/>
    <w:rsid w:val="00ED30BA"/>
    <w:rsid w:val="00ED38D1"/>
    <w:rsid w:val="00ED3E8C"/>
    <w:rsid w:val="00ED458A"/>
    <w:rsid w:val="00EE1825"/>
    <w:rsid w:val="00EE27F2"/>
    <w:rsid w:val="00EE34C6"/>
    <w:rsid w:val="00EE47B8"/>
    <w:rsid w:val="00EE6F93"/>
    <w:rsid w:val="00EF089A"/>
    <w:rsid w:val="00EF103D"/>
    <w:rsid w:val="00EF27DA"/>
    <w:rsid w:val="00EF301E"/>
    <w:rsid w:val="00EF39F5"/>
    <w:rsid w:val="00EF6D10"/>
    <w:rsid w:val="00EF7166"/>
    <w:rsid w:val="00EF760A"/>
    <w:rsid w:val="00EF7C91"/>
    <w:rsid w:val="00F02A22"/>
    <w:rsid w:val="00F031FD"/>
    <w:rsid w:val="00F06C45"/>
    <w:rsid w:val="00F12C59"/>
    <w:rsid w:val="00F137D0"/>
    <w:rsid w:val="00F13904"/>
    <w:rsid w:val="00F14D92"/>
    <w:rsid w:val="00F16D4F"/>
    <w:rsid w:val="00F17897"/>
    <w:rsid w:val="00F20E10"/>
    <w:rsid w:val="00F21A71"/>
    <w:rsid w:val="00F22336"/>
    <w:rsid w:val="00F23116"/>
    <w:rsid w:val="00F2395E"/>
    <w:rsid w:val="00F261FD"/>
    <w:rsid w:val="00F30254"/>
    <w:rsid w:val="00F307C1"/>
    <w:rsid w:val="00F33445"/>
    <w:rsid w:val="00F337E9"/>
    <w:rsid w:val="00F35127"/>
    <w:rsid w:val="00F37F75"/>
    <w:rsid w:val="00F4198E"/>
    <w:rsid w:val="00F42630"/>
    <w:rsid w:val="00F44EA4"/>
    <w:rsid w:val="00F463D8"/>
    <w:rsid w:val="00F55616"/>
    <w:rsid w:val="00F55A09"/>
    <w:rsid w:val="00F64D2C"/>
    <w:rsid w:val="00F66DE9"/>
    <w:rsid w:val="00F67E03"/>
    <w:rsid w:val="00F72CDF"/>
    <w:rsid w:val="00F75C4B"/>
    <w:rsid w:val="00F81D63"/>
    <w:rsid w:val="00F86649"/>
    <w:rsid w:val="00F87B06"/>
    <w:rsid w:val="00F92742"/>
    <w:rsid w:val="00F93065"/>
    <w:rsid w:val="00F969E7"/>
    <w:rsid w:val="00FA00B6"/>
    <w:rsid w:val="00FA119B"/>
    <w:rsid w:val="00FA2556"/>
    <w:rsid w:val="00FA6224"/>
    <w:rsid w:val="00FB1FCD"/>
    <w:rsid w:val="00FB77E2"/>
    <w:rsid w:val="00FC3181"/>
    <w:rsid w:val="00FC510D"/>
    <w:rsid w:val="00FC53BA"/>
    <w:rsid w:val="00FC7E47"/>
    <w:rsid w:val="00FD5A32"/>
    <w:rsid w:val="00FD7E8F"/>
    <w:rsid w:val="00FE3A8D"/>
    <w:rsid w:val="00FE4A87"/>
    <w:rsid w:val="00FE50C3"/>
    <w:rsid w:val="00FE5BF3"/>
    <w:rsid w:val="00FF2B28"/>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8403"/>
  <w15:chartTrackingRefBased/>
  <w15:docId w15:val="{D66BF437-55F8-4C03-B59E-0112776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0F6"/>
    <w:pPr>
      <w:spacing w:after="0" w:line="240" w:lineRule="auto"/>
    </w:pPr>
    <w:rPr>
      <w:rFonts w:ascii="Century Schoolbook" w:eastAsia="Calibri" w:hAnsi="Century Schoolbook" w:cs="Times New Roman"/>
      <w:sz w:val="26"/>
      <w:szCs w:val="28"/>
    </w:rPr>
  </w:style>
  <w:style w:type="paragraph" w:styleId="Heading1">
    <w:name w:val="heading 1"/>
    <w:basedOn w:val="Normal"/>
    <w:next w:val="Normal"/>
    <w:link w:val="Heading1Char"/>
    <w:uiPriority w:val="9"/>
    <w:qFormat/>
    <w:rsid w:val="00D350F6"/>
    <w:pPr>
      <w:keepNext/>
      <w:keepLines/>
      <w:spacing w:before="240" w:after="240"/>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F44EA4"/>
    <w:pPr>
      <w:keepNext/>
      <w:keepLines/>
      <w:spacing w:before="40"/>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350F6"/>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6E2A32"/>
    <w:pPr>
      <w:keepNext/>
      <w:keepLines/>
      <w:spacing w:before="40"/>
      <w:ind w:left="14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197"/>
    <w:pPr>
      <w:tabs>
        <w:tab w:val="center" w:pos="4680"/>
        <w:tab w:val="right" w:pos="9360"/>
      </w:tabs>
    </w:pPr>
  </w:style>
  <w:style w:type="character" w:customStyle="1" w:styleId="HeaderChar">
    <w:name w:val="Header Char"/>
    <w:basedOn w:val="DefaultParagraphFont"/>
    <w:link w:val="Header"/>
    <w:uiPriority w:val="99"/>
    <w:rsid w:val="00404197"/>
    <w:rPr>
      <w:rFonts w:ascii="Times New Roman" w:eastAsia="Calibri" w:hAnsi="Times New Roman" w:cs="Times New Roman"/>
      <w:sz w:val="28"/>
      <w:szCs w:val="28"/>
    </w:rPr>
  </w:style>
  <w:style w:type="paragraph" w:styleId="Footer">
    <w:name w:val="footer"/>
    <w:basedOn w:val="Normal"/>
    <w:link w:val="FooterChar"/>
    <w:uiPriority w:val="99"/>
    <w:unhideWhenUsed/>
    <w:rsid w:val="00404197"/>
    <w:pPr>
      <w:tabs>
        <w:tab w:val="center" w:pos="4680"/>
        <w:tab w:val="right" w:pos="9360"/>
      </w:tabs>
    </w:pPr>
  </w:style>
  <w:style w:type="character" w:customStyle="1" w:styleId="FooterChar">
    <w:name w:val="Footer Char"/>
    <w:basedOn w:val="DefaultParagraphFont"/>
    <w:link w:val="Footer"/>
    <w:uiPriority w:val="99"/>
    <w:rsid w:val="00404197"/>
    <w:rPr>
      <w:rFonts w:ascii="Times New Roman" w:eastAsia="Calibri" w:hAnsi="Times New Roman" w:cs="Times New Roman"/>
      <w:sz w:val="28"/>
      <w:szCs w:val="28"/>
    </w:rPr>
  </w:style>
  <w:style w:type="paragraph" w:styleId="NormalWeb">
    <w:name w:val="Normal (Web)"/>
    <w:basedOn w:val="Normal"/>
    <w:uiPriority w:val="99"/>
    <w:semiHidden/>
    <w:unhideWhenUsed/>
    <w:rsid w:val="00A47F01"/>
    <w:rPr>
      <w:sz w:val="24"/>
      <w:szCs w:val="24"/>
    </w:rPr>
  </w:style>
  <w:style w:type="paragraph" w:styleId="FootnoteText">
    <w:name w:val="footnote text"/>
    <w:basedOn w:val="Normal"/>
    <w:link w:val="FootnoteTextChar"/>
    <w:uiPriority w:val="99"/>
    <w:semiHidden/>
    <w:unhideWhenUsed/>
    <w:rsid w:val="00F35127"/>
    <w:rPr>
      <w:sz w:val="20"/>
      <w:szCs w:val="20"/>
    </w:rPr>
  </w:style>
  <w:style w:type="character" w:customStyle="1" w:styleId="FootnoteTextChar">
    <w:name w:val="Footnote Text Char"/>
    <w:basedOn w:val="DefaultParagraphFont"/>
    <w:link w:val="FootnoteText"/>
    <w:uiPriority w:val="99"/>
    <w:semiHidden/>
    <w:rsid w:val="00F3512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35127"/>
    <w:rPr>
      <w:vertAlign w:val="superscript"/>
    </w:rPr>
  </w:style>
  <w:style w:type="paragraph" w:styleId="TOAHeading">
    <w:name w:val="toa heading"/>
    <w:basedOn w:val="Normal"/>
    <w:next w:val="Normal"/>
    <w:uiPriority w:val="99"/>
    <w:semiHidden/>
    <w:unhideWhenUsed/>
    <w:rsid w:val="00994C52"/>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994C52"/>
    <w:pPr>
      <w:ind w:left="280" w:hanging="280"/>
    </w:pPr>
  </w:style>
  <w:style w:type="paragraph" w:styleId="ListParagraph">
    <w:name w:val="List Paragraph"/>
    <w:basedOn w:val="Normal"/>
    <w:uiPriority w:val="34"/>
    <w:qFormat/>
    <w:rsid w:val="00573F7F"/>
    <w:pPr>
      <w:ind w:left="720"/>
      <w:contextualSpacing/>
    </w:pPr>
  </w:style>
  <w:style w:type="paragraph" w:styleId="TOCHeading">
    <w:name w:val="TOC Heading"/>
    <w:basedOn w:val="Heading1"/>
    <w:next w:val="Normal"/>
    <w:uiPriority w:val="39"/>
    <w:unhideWhenUsed/>
    <w:qFormat/>
    <w:rsid w:val="00F44EA4"/>
    <w:pPr>
      <w:spacing w:line="259" w:lineRule="auto"/>
      <w:jc w:val="left"/>
      <w:outlineLvl w:val="9"/>
    </w:pPr>
    <w:rPr>
      <w:rFonts w:asciiTheme="majorHAnsi" w:hAnsiTheme="majorHAnsi"/>
      <w:b w:val="0"/>
      <w:color w:val="2F5496" w:themeColor="accent1" w:themeShade="BF"/>
      <w:sz w:val="32"/>
      <w:u w:val="none"/>
    </w:rPr>
  </w:style>
  <w:style w:type="character" w:customStyle="1" w:styleId="Heading1Char">
    <w:name w:val="Heading 1 Char"/>
    <w:basedOn w:val="DefaultParagraphFont"/>
    <w:link w:val="Heading1"/>
    <w:uiPriority w:val="9"/>
    <w:rsid w:val="00D350F6"/>
    <w:rPr>
      <w:rFonts w:ascii="Century Schoolbook" w:eastAsiaTheme="majorEastAsia" w:hAnsi="Century Schoolbook" w:cstheme="majorBidi"/>
      <w:b/>
      <w:sz w:val="26"/>
      <w:szCs w:val="32"/>
      <w:u w:val="single"/>
    </w:rPr>
  </w:style>
  <w:style w:type="character" w:customStyle="1" w:styleId="Heading2Char">
    <w:name w:val="Heading 2 Char"/>
    <w:basedOn w:val="DefaultParagraphFont"/>
    <w:link w:val="Heading2"/>
    <w:uiPriority w:val="9"/>
    <w:rsid w:val="00F44EA4"/>
    <w:rPr>
      <w:rFonts w:ascii="Century Schoolbook" w:eastAsiaTheme="majorEastAsia" w:hAnsi="Century Schoolbook" w:cstheme="majorBidi"/>
      <w:b/>
      <w:sz w:val="26"/>
      <w:szCs w:val="26"/>
    </w:rPr>
  </w:style>
  <w:style w:type="paragraph" w:styleId="TOC1">
    <w:name w:val="toc 1"/>
    <w:basedOn w:val="Normal"/>
    <w:next w:val="Normal"/>
    <w:autoRedefine/>
    <w:uiPriority w:val="39"/>
    <w:unhideWhenUsed/>
    <w:rsid w:val="00F44EA4"/>
    <w:pPr>
      <w:spacing w:after="100"/>
    </w:pPr>
  </w:style>
  <w:style w:type="character" w:styleId="Hyperlink">
    <w:name w:val="Hyperlink"/>
    <w:basedOn w:val="DefaultParagraphFont"/>
    <w:uiPriority w:val="99"/>
    <w:unhideWhenUsed/>
    <w:rsid w:val="00F44EA4"/>
    <w:rPr>
      <w:color w:val="0563C1" w:themeColor="hyperlink"/>
      <w:u w:val="single"/>
    </w:rPr>
  </w:style>
  <w:style w:type="paragraph" w:styleId="TOC2">
    <w:name w:val="toc 2"/>
    <w:basedOn w:val="Normal"/>
    <w:next w:val="Normal"/>
    <w:autoRedefine/>
    <w:uiPriority w:val="39"/>
    <w:unhideWhenUsed/>
    <w:rsid w:val="00222CF2"/>
    <w:pPr>
      <w:tabs>
        <w:tab w:val="right" w:leader="dot" w:pos="7190"/>
      </w:tabs>
      <w:spacing w:after="260"/>
      <w:ind w:left="259"/>
    </w:pPr>
  </w:style>
  <w:style w:type="character" w:styleId="CommentReference">
    <w:name w:val="annotation reference"/>
    <w:basedOn w:val="DefaultParagraphFont"/>
    <w:uiPriority w:val="99"/>
    <w:semiHidden/>
    <w:unhideWhenUsed/>
    <w:rsid w:val="009730C7"/>
    <w:rPr>
      <w:sz w:val="16"/>
      <w:szCs w:val="16"/>
    </w:rPr>
  </w:style>
  <w:style w:type="paragraph" w:styleId="CommentText">
    <w:name w:val="annotation text"/>
    <w:basedOn w:val="Normal"/>
    <w:link w:val="CommentTextChar"/>
    <w:uiPriority w:val="99"/>
    <w:unhideWhenUsed/>
    <w:rsid w:val="009730C7"/>
    <w:rPr>
      <w:sz w:val="20"/>
      <w:szCs w:val="20"/>
    </w:rPr>
  </w:style>
  <w:style w:type="character" w:customStyle="1" w:styleId="CommentTextChar">
    <w:name w:val="Comment Text Char"/>
    <w:basedOn w:val="DefaultParagraphFont"/>
    <w:link w:val="CommentText"/>
    <w:uiPriority w:val="99"/>
    <w:rsid w:val="009730C7"/>
    <w:rPr>
      <w:rFonts w:ascii="Century Schoolbook" w:eastAsia="Calibri"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9730C7"/>
    <w:rPr>
      <w:b/>
      <w:bCs/>
    </w:rPr>
  </w:style>
  <w:style w:type="character" w:customStyle="1" w:styleId="CommentSubjectChar">
    <w:name w:val="Comment Subject Char"/>
    <w:basedOn w:val="CommentTextChar"/>
    <w:link w:val="CommentSubject"/>
    <w:uiPriority w:val="99"/>
    <w:semiHidden/>
    <w:rsid w:val="009730C7"/>
    <w:rPr>
      <w:rFonts w:ascii="Century Schoolbook" w:eastAsia="Calibri" w:hAnsi="Century Schoolbook" w:cs="Times New Roman"/>
      <w:b/>
      <w:bCs/>
      <w:sz w:val="20"/>
      <w:szCs w:val="20"/>
    </w:rPr>
  </w:style>
  <w:style w:type="character" w:styleId="UnresolvedMention">
    <w:name w:val="Unresolved Mention"/>
    <w:basedOn w:val="DefaultParagraphFont"/>
    <w:uiPriority w:val="99"/>
    <w:semiHidden/>
    <w:unhideWhenUsed/>
    <w:rsid w:val="00D478DC"/>
    <w:rPr>
      <w:color w:val="605E5C"/>
      <w:shd w:val="clear" w:color="auto" w:fill="E1DFDD"/>
    </w:rPr>
  </w:style>
  <w:style w:type="character" w:customStyle="1" w:styleId="Heading3Char">
    <w:name w:val="Heading 3 Char"/>
    <w:basedOn w:val="DefaultParagraphFont"/>
    <w:link w:val="Heading3"/>
    <w:uiPriority w:val="9"/>
    <w:rsid w:val="00D350F6"/>
    <w:rPr>
      <w:rFonts w:ascii="Century Schoolbook" w:eastAsiaTheme="majorEastAsia" w:hAnsi="Century Schoolbook" w:cstheme="majorBidi"/>
      <w:sz w:val="26"/>
      <w:szCs w:val="24"/>
      <w:u w:val="single"/>
    </w:rPr>
  </w:style>
  <w:style w:type="character" w:customStyle="1" w:styleId="Heading4Char">
    <w:name w:val="Heading 4 Char"/>
    <w:basedOn w:val="DefaultParagraphFont"/>
    <w:link w:val="Heading4"/>
    <w:uiPriority w:val="9"/>
    <w:rsid w:val="006E2A32"/>
    <w:rPr>
      <w:rFonts w:ascii="Century Schoolbook" w:eastAsiaTheme="majorEastAsia" w:hAnsi="Century Schoolbook" w:cstheme="majorBidi"/>
      <w:i/>
      <w:iCs/>
      <w:sz w:val="26"/>
      <w:szCs w:val="28"/>
    </w:rPr>
  </w:style>
  <w:style w:type="paragraph" w:styleId="EndnoteText">
    <w:name w:val="endnote text"/>
    <w:basedOn w:val="Normal"/>
    <w:link w:val="EndnoteTextChar"/>
    <w:uiPriority w:val="99"/>
    <w:semiHidden/>
    <w:unhideWhenUsed/>
    <w:rsid w:val="00407ED7"/>
    <w:rPr>
      <w:sz w:val="20"/>
      <w:szCs w:val="20"/>
    </w:rPr>
  </w:style>
  <w:style w:type="character" w:customStyle="1" w:styleId="EndnoteTextChar">
    <w:name w:val="Endnote Text Char"/>
    <w:basedOn w:val="DefaultParagraphFont"/>
    <w:link w:val="EndnoteText"/>
    <w:uiPriority w:val="99"/>
    <w:semiHidden/>
    <w:rsid w:val="00407ED7"/>
    <w:rPr>
      <w:rFonts w:ascii="Century Schoolbook" w:eastAsia="Calibri" w:hAnsi="Century Schoolbook" w:cs="Times New Roman"/>
      <w:sz w:val="20"/>
      <w:szCs w:val="20"/>
    </w:rPr>
  </w:style>
  <w:style w:type="character" w:styleId="EndnoteReference">
    <w:name w:val="endnote reference"/>
    <w:basedOn w:val="DefaultParagraphFont"/>
    <w:uiPriority w:val="99"/>
    <w:semiHidden/>
    <w:unhideWhenUsed/>
    <w:rsid w:val="00407ED7"/>
    <w:rPr>
      <w:vertAlign w:val="superscript"/>
    </w:rPr>
  </w:style>
  <w:style w:type="character" w:customStyle="1" w:styleId="ssrfcpassagedeactivated">
    <w:name w:val="ss_rfcpassage_deactivated"/>
    <w:basedOn w:val="DefaultParagraphFont"/>
    <w:rsid w:val="00505B22"/>
  </w:style>
  <w:style w:type="character" w:customStyle="1" w:styleId="ssprior">
    <w:name w:val="ss_prior"/>
    <w:basedOn w:val="DefaultParagraphFont"/>
    <w:rsid w:val="00505B22"/>
  </w:style>
  <w:style w:type="character" w:customStyle="1" w:styleId="ssit">
    <w:name w:val="ss_it"/>
    <w:basedOn w:val="DefaultParagraphFont"/>
    <w:rsid w:val="00505B22"/>
  </w:style>
  <w:style w:type="paragraph" w:styleId="Revision">
    <w:name w:val="Revision"/>
    <w:hidden/>
    <w:uiPriority w:val="99"/>
    <w:semiHidden/>
    <w:rsid w:val="00424522"/>
    <w:pPr>
      <w:spacing w:after="0" w:line="240" w:lineRule="auto"/>
    </w:pPr>
    <w:rPr>
      <w:rFonts w:ascii="Century Schoolbook" w:eastAsia="Calibri" w:hAnsi="Century Schoolbook" w:cs="Times New Roman"/>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27775">
      <w:bodyDiv w:val="1"/>
      <w:marLeft w:val="0"/>
      <w:marRight w:val="0"/>
      <w:marTop w:val="0"/>
      <w:marBottom w:val="0"/>
      <w:divBdr>
        <w:top w:val="none" w:sz="0" w:space="0" w:color="auto"/>
        <w:left w:val="none" w:sz="0" w:space="0" w:color="auto"/>
        <w:bottom w:val="none" w:sz="0" w:space="0" w:color="auto"/>
        <w:right w:val="none" w:sz="0" w:space="0" w:color="auto"/>
      </w:divBdr>
      <w:divsChild>
        <w:div w:id="1789004579">
          <w:marLeft w:val="0"/>
          <w:marRight w:val="0"/>
          <w:marTop w:val="0"/>
          <w:marBottom w:val="0"/>
          <w:divBdr>
            <w:top w:val="none" w:sz="0" w:space="0" w:color="auto"/>
            <w:left w:val="none" w:sz="0" w:space="0" w:color="auto"/>
            <w:bottom w:val="none" w:sz="0" w:space="0" w:color="auto"/>
            <w:right w:val="none" w:sz="0" w:space="0" w:color="auto"/>
          </w:divBdr>
        </w:div>
        <w:div w:id="1418097479">
          <w:marLeft w:val="0"/>
          <w:marRight w:val="0"/>
          <w:marTop w:val="0"/>
          <w:marBottom w:val="0"/>
          <w:divBdr>
            <w:top w:val="none" w:sz="0" w:space="0" w:color="auto"/>
            <w:left w:val="none" w:sz="0" w:space="0" w:color="auto"/>
            <w:bottom w:val="none" w:sz="0" w:space="0" w:color="auto"/>
            <w:right w:val="none" w:sz="0" w:space="0" w:color="auto"/>
          </w:divBdr>
        </w:div>
      </w:divsChild>
    </w:div>
    <w:div w:id="787431778">
      <w:bodyDiv w:val="1"/>
      <w:marLeft w:val="0"/>
      <w:marRight w:val="0"/>
      <w:marTop w:val="0"/>
      <w:marBottom w:val="0"/>
      <w:divBdr>
        <w:top w:val="none" w:sz="0" w:space="0" w:color="auto"/>
        <w:left w:val="none" w:sz="0" w:space="0" w:color="auto"/>
        <w:bottom w:val="none" w:sz="0" w:space="0" w:color="auto"/>
        <w:right w:val="none" w:sz="0" w:space="0" w:color="auto"/>
      </w:divBdr>
      <w:divsChild>
        <w:div w:id="13061614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22B5F-3CA1-43D1-8536-D4D5785E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9860</Words>
  <Characters>56206</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Candace M.</dc:creator>
  <cp:keywords/>
  <dc:description/>
  <cp:lastModifiedBy>Mayes, Brandon B.</cp:lastModifiedBy>
  <cp:revision>2</cp:revision>
  <cp:lastPrinted>2022-11-17T19:09:00Z</cp:lastPrinted>
  <dcterms:created xsi:type="dcterms:W3CDTF">2022-11-21T17:56:00Z</dcterms:created>
  <dcterms:modified xsi:type="dcterms:W3CDTF">2022-11-21T17:56:00Z</dcterms:modified>
</cp:coreProperties>
</file>