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7301" w14:textId="278D9EB7" w:rsidR="00166D53" w:rsidRPr="005E4B32" w:rsidRDefault="00067013">
      <w:r w:rsidRPr="005E4B32">
        <w:rPr>
          <w:rFonts w:ascii="Century" w:hAnsi="Century"/>
          <w:sz w:val="28"/>
          <w:szCs w:val="28"/>
        </w:rPr>
        <w:t xml:space="preserve">No. COA </w:t>
      </w:r>
      <w:r w:rsidR="00B9416F" w:rsidRPr="005E4B32">
        <w:rPr>
          <w:rFonts w:ascii="Century" w:hAnsi="Century"/>
          <w:sz w:val="28"/>
          <w:szCs w:val="28"/>
        </w:rPr>
        <w:t>21-724</w:t>
      </w:r>
      <w:r w:rsidRPr="005E4B32">
        <w:rPr>
          <w:rFonts w:ascii="Century" w:hAnsi="Century"/>
          <w:sz w:val="28"/>
          <w:szCs w:val="28"/>
        </w:rPr>
        <w:tab/>
      </w:r>
      <w:r w:rsidRPr="005E4B32">
        <w:rPr>
          <w:rFonts w:ascii="Century" w:hAnsi="Century"/>
          <w:sz w:val="28"/>
          <w:szCs w:val="28"/>
        </w:rPr>
        <w:tab/>
      </w:r>
      <w:r w:rsidRPr="005E4B32">
        <w:rPr>
          <w:rFonts w:ascii="Century" w:hAnsi="Century"/>
          <w:sz w:val="28"/>
          <w:szCs w:val="28"/>
        </w:rPr>
        <w:tab/>
      </w:r>
      <w:r w:rsidRPr="005E4B32">
        <w:rPr>
          <w:rFonts w:ascii="Century" w:hAnsi="Century"/>
          <w:sz w:val="28"/>
          <w:szCs w:val="28"/>
        </w:rPr>
        <w:tab/>
      </w:r>
      <w:r w:rsidRPr="005E4B32">
        <w:rPr>
          <w:rFonts w:ascii="Century" w:hAnsi="Century"/>
          <w:sz w:val="28"/>
          <w:szCs w:val="28"/>
        </w:rPr>
        <w:tab/>
        <w:t xml:space="preserve"> </w:t>
      </w:r>
      <w:r w:rsidRPr="005E4B32">
        <w:rPr>
          <w:rFonts w:ascii="Century" w:hAnsi="Century"/>
          <w:sz w:val="28"/>
          <w:szCs w:val="28"/>
        </w:rPr>
        <w:tab/>
        <w:t xml:space="preserve">       </w:t>
      </w:r>
      <w:r w:rsidRPr="005E4B32">
        <w:rPr>
          <w:rFonts w:ascii="Century" w:hAnsi="Century"/>
          <w:sz w:val="28"/>
          <w:szCs w:val="28"/>
        </w:rPr>
        <w:tab/>
        <w:t xml:space="preserve">        DISTRICT FIVE</w:t>
      </w:r>
    </w:p>
    <w:p w14:paraId="0DF87302" w14:textId="77777777" w:rsidR="00166D53" w:rsidRPr="005E4B32" w:rsidRDefault="00166D53">
      <w:pPr>
        <w:rPr>
          <w:rFonts w:ascii="Century" w:hAnsi="Century"/>
          <w:sz w:val="28"/>
          <w:szCs w:val="28"/>
        </w:rPr>
      </w:pPr>
    </w:p>
    <w:p w14:paraId="0DF87303" w14:textId="77777777" w:rsidR="00166D53" w:rsidRPr="005E4B32" w:rsidRDefault="00166D53">
      <w:pPr>
        <w:rPr>
          <w:rFonts w:ascii="Century" w:hAnsi="Century"/>
          <w:sz w:val="28"/>
          <w:szCs w:val="28"/>
        </w:rPr>
      </w:pPr>
    </w:p>
    <w:p w14:paraId="0DF87304" w14:textId="77777777" w:rsidR="00166D53" w:rsidRPr="005E4B32" w:rsidRDefault="00067013">
      <w:pPr>
        <w:jc w:val="center"/>
        <w:rPr>
          <w:rFonts w:ascii="Century" w:hAnsi="Century"/>
          <w:sz w:val="28"/>
          <w:szCs w:val="28"/>
        </w:rPr>
      </w:pPr>
      <w:r w:rsidRPr="005E4B32">
        <w:rPr>
          <w:rFonts w:ascii="Century" w:hAnsi="Century"/>
          <w:sz w:val="28"/>
          <w:szCs w:val="28"/>
        </w:rPr>
        <w:t>NORTH CAROLINA COURT OF APPEALS</w:t>
      </w:r>
    </w:p>
    <w:p w14:paraId="0DF87305" w14:textId="77777777" w:rsidR="00166D53" w:rsidRPr="005E4B32" w:rsidRDefault="00166D53">
      <w:pPr>
        <w:jc w:val="center"/>
        <w:rPr>
          <w:rFonts w:ascii="Century" w:hAnsi="Century"/>
          <w:sz w:val="28"/>
          <w:szCs w:val="28"/>
        </w:rPr>
      </w:pPr>
    </w:p>
    <w:p w14:paraId="0DF87306" w14:textId="77777777" w:rsidR="00166D53" w:rsidRPr="005E4B32" w:rsidRDefault="00067013">
      <w:pPr>
        <w:tabs>
          <w:tab w:val="left" w:pos="1260"/>
          <w:tab w:val="left" w:pos="9180"/>
        </w:tabs>
        <w:jc w:val="center"/>
        <w:rPr>
          <w:rFonts w:ascii="Century" w:hAnsi="Century"/>
          <w:sz w:val="28"/>
          <w:szCs w:val="28"/>
        </w:rPr>
      </w:pPr>
      <w:r w:rsidRPr="005E4B32">
        <w:rPr>
          <w:rFonts w:ascii="Century" w:hAnsi="Century"/>
          <w:sz w:val="28"/>
          <w:szCs w:val="28"/>
        </w:rPr>
        <w:t>****************************************************</w:t>
      </w:r>
    </w:p>
    <w:p w14:paraId="0DF87307" w14:textId="77777777" w:rsidR="00166D53" w:rsidRPr="005E4B32" w:rsidRDefault="00166D53">
      <w:pPr>
        <w:tabs>
          <w:tab w:val="left" w:pos="1260"/>
          <w:tab w:val="left" w:pos="9180"/>
        </w:tabs>
        <w:rPr>
          <w:rFonts w:ascii="Century" w:hAnsi="Century"/>
          <w:sz w:val="28"/>
          <w:szCs w:val="28"/>
        </w:rPr>
      </w:pPr>
    </w:p>
    <w:p w14:paraId="0DF87308" w14:textId="77777777" w:rsidR="00166D53" w:rsidRPr="005E4B32" w:rsidRDefault="00067013">
      <w:pPr>
        <w:tabs>
          <w:tab w:val="left" w:pos="4590"/>
        </w:tabs>
        <w:rPr>
          <w:rFonts w:ascii="Century" w:hAnsi="Century"/>
          <w:sz w:val="28"/>
          <w:szCs w:val="28"/>
        </w:rPr>
      </w:pPr>
      <w:r w:rsidRPr="005E4B32">
        <w:rPr>
          <w:rFonts w:ascii="Century" w:hAnsi="Century"/>
          <w:sz w:val="28"/>
          <w:szCs w:val="28"/>
        </w:rPr>
        <w:t>STATE OF NORTH CAROLINA</w:t>
      </w:r>
      <w:r w:rsidRPr="005E4B32">
        <w:rPr>
          <w:rFonts w:ascii="Century" w:hAnsi="Century"/>
          <w:sz w:val="28"/>
          <w:szCs w:val="28"/>
        </w:rPr>
        <w:tab/>
        <w:t>)</w:t>
      </w:r>
      <w:r w:rsidRPr="005E4B32">
        <w:rPr>
          <w:rFonts w:ascii="Century" w:hAnsi="Century"/>
          <w:sz w:val="28"/>
          <w:szCs w:val="28"/>
        </w:rPr>
        <w:tab/>
      </w:r>
      <w:r w:rsidRPr="005E4B32">
        <w:rPr>
          <w:rFonts w:ascii="Century" w:hAnsi="Century"/>
          <w:sz w:val="28"/>
          <w:szCs w:val="28"/>
        </w:rPr>
        <w:tab/>
      </w:r>
      <w:r w:rsidRPr="005E4B32">
        <w:rPr>
          <w:rFonts w:ascii="Century" w:hAnsi="Century"/>
          <w:sz w:val="28"/>
          <w:szCs w:val="28"/>
        </w:rPr>
        <w:tab/>
        <w:t xml:space="preserve">   </w:t>
      </w:r>
      <w:r w:rsidRPr="005E4B32">
        <w:rPr>
          <w:rFonts w:ascii="Century" w:hAnsi="Century"/>
          <w:sz w:val="28"/>
          <w:szCs w:val="28"/>
        </w:rPr>
        <w:tab/>
        <w:t xml:space="preserve">              </w:t>
      </w:r>
    </w:p>
    <w:p w14:paraId="0DF87309" w14:textId="77777777" w:rsidR="00166D53" w:rsidRPr="005E4B32" w:rsidRDefault="00067013">
      <w:pPr>
        <w:tabs>
          <w:tab w:val="left" w:pos="4590"/>
          <w:tab w:val="left" w:pos="5400"/>
        </w:tabs>
        <w:rPr>
          <w:rFonts w:ascii="Century" w:hAnsi="Century"/>
          <w:sz w:val="28"/>
          <w:szCs w:val="28"/>
        </w:rPr>
      </w:pPr>
      <w:r w:rsidRPr="005E4B32">
        <w:rPr>
          <w:rFonts w:ascii="Century" w:hAnsi="Century"/>
          <w:sz w:val="28"/>
          <w:szCs w:val="28"/>
        </w:rPr>
        <w:tab/>
        <w:t xml:space="preserve">)            </w:t>
      </w:r>
    </w:p>
    <w:p w14:paraId="0DF8730A" w14:textId="77777777" w:rsidR="00166D53" w:rsidRPr="005E4B32" w:rsidRDefault="00067013">
      <w:pPr>
        <w:tabs>
          <w:tab w:val="left" w:pos="4590"/>
          <w:tab w:val="left" w:pos="5400"/>
        </w:tabs>
        <w:ind w:firstLine="1620"/>
      </w:pPr>
      <w:r w:rsidRPr="005E4B32">
        <w:rPr>
          <w:rFonts w:ascii="Century" w:hAnsi="Century"/>
          <w:sz w:val="28"/>
          <w:szCs w:val="28"/>
        </w:rPr>
        <w:t>v.</w:t>
      </w:r>
      <w:proofErr w:type="gramStart"/>
      <w:r w:rsidRPr="005E4B32">
        <w:rPr>
          <w:rFonts w:ascii="Century" w:hAnsi="Century"/>
          <w:sz w:val="28"/>
          <w:szCs w:val="28"/>
        </w:rPr>
        <w:tab/>
        <w:t xml:space="preserve">)   </w:t>
      </w:r>
      <w:proofErr w:type="gramEnd"/>
      <w:r w:rsidRPr="005E4B32">
        <w:rPr>
          <w:rFonts w:ascii="Century" w:hAnsi="Century"/>
          <w:sz w:val="28"/>
          <w:szCs w:val="28"/>
        </w:rPr>
        <w:t xml:space="preserve">     </w:t>
      </w:r>
      <w:r w:rsidRPr="005E4B32">
        <w:rPr>
          <w:rFonts w:ascii="Century" w:hAnsi="Century"/>
          <w:sz w:val="28"/>
          <w:szCs w:val="28"/>
          <w:u w:val="single"/>
        </w:rPr>
        <w:t>From Pender County</w:t>
      </w:r>
    </w:p>
    <w:p w14:paraId="0DF8730B" w14:textId="77777777" w:rsidR="00166D53" w:rsidRPr="005E4B32" w:rsidRDefault="00067013">
      <w:pPr>
        <w:tabs>
          <w:tab w:val="left" w:pos="4590"/>
          <w:tab w:val="left" w:pos="5400"/>
        </w:tabs>
        <w:rPr>
          <w:rFonts w:ascii="Century" w:hAnsi="Century"/>
          <w:sz w:val="28"/>
          <w:szCs w:val="28"/>
        </w:rPr>
      </w:pPr>
      <w:r w:rsidRPr="005E4B32">
        <w:rPr>
          <w:rFonts w:ascii="Century" w:hAnsi="Century"/>
          <w:sz w:val="28"/>
          <w:szCs w:val="28"/>
        </w:rPr>
        <w:tab/>
        <w:t xml:space="preserve">)        </w:t>
      </w:r>
    </w:p>
    <w:p w14:paraId="0DF8730C" w14:textId="77777777" w:rsidR="00166D53" w:rsidRPr="005E4B32" w:rsidRDefault="00067013">
      <w:pPr>
        <w:tabs>
          <w:tab w:val="left" w:pos="4590"/>
          <w:tab w:val="left" w:pos="5400"/>
        </w:tabs>
      </w:pPr>
      <w:r w:rsidRPr="005E4B32">
        <w:rPr>
          <w:rFonts w:ascii="Century" w:hAnsi="Century"/>
          <w:sz w:val="28"/>
          <w:szCs w:val="28"/>
        </w:rPr>
        <w:t>ALBERTO PEREZ</w:t>
      </w:r>
      <w:r w:rsidRPr="005E4B32">
        <w:rPr>
          <w:rFonts w:ascii="Century" w:hAnsi="Century"/>
          <w:sz w:val="28"/>
          <w:szCs w:val="28"/>
        </w:rPr>
        <w:tab/>
        <w:t xml:space="preserve">)         </w:t>
      </w:r>
    </w:p>
    <w:p w14:paraId="0DF8730D" w14:textId="77777777" w:rsidR="00166D53" w:rsidRPr="005E4B32" w:rsidRDefault="00166D53">
      <w:pPr>
        <w:tabs>
          <w:tab w:val="left" w:pos="4590"/>
          <w:tab w:val="left" w:pos="5400"/>
        </w:tabs>
        <w:rPr>
          <w:rFonts w:ascii="Century" w:hAnsi="Century"/>
          <w:sz w:val="28"/>
          <w:szCs w:val="28"/>
        </w:rPr>
      </w:pPr>
    </w:p>
    <w:p w14:paraId="0DF8730E" w14:textId="77777777" w:rsidR="00166D53" w:rsidRPr="005E4B32" w:rsidRDefault="00067013">
      <w:pPr>
        <w:jc w:val="center"/>
        <w:rPr>
          <w:rFonts w:ascii="Century" w:hAnsi="Century"/>
          <w:sz w:val="28"/>
          <w:szCs w:val="28"/>
        </w:rPr>
      </w:pPr>
      <w:r w:rsidRPr="005E4B32">
        <w:rPr>
          <w:rFonts w:ascii="Century" w:hAnsi="Century"/>
          <w:sz w:val="28"/>
          <w:szCs w:val="28"/>
        </w:rPr>
        <w:t>****************************************************</w:t>
      </w:r>
    </w:p>
    <w:p w14:paraId="0DF8730F" w14:textId="77777777" w:rsidR="00166D53" w:rsidRPr="005E4B32" w:rsidRDefault="00067013">
      <w:pPr>
        <w:pStyle w:val="Heading1"/>
        <w:spacing w:after="120"/>
        <w:rPr>
          <w:rFonts w:ascii="Century" w:hAnsi="Century"/>
          <w:sz w:val="28"/>
          <w:szCs w:val="28"/>
        </w:rPr>
      </w:pPr>
      <w:r w:rsidRPr="005E4B32">
        <w:rPr>
          <w:rFonts w:ascii="Century" w:hAnsi="Century"/>
          <w:sz w:val="28"/>
          <w:szCs w:val="28"/>
        </w:rPr>
        <w:t>DEFENDANT-APPELLANT’S BRIEF</w:t>
      </w:r>
    </w:p>
    <w:p w14:paraId="0DF87310" w14:textId="77777777" w:rsidR="00166D53" w:rsidRDefault="00067013">
      <w:pPr>
        <w:jc w:val="center"/>
        <w:rPr>
          <w:rFonts w:ascii="Century" w:hAnsi="Century"/>
          <w:sz w:val="28"/>
          <w:szCs w:val="28"/>
        </w:rPr>
      </w:pPr>
      <w:r w:rsidRPr="005E4B32">
        <w:rPr>
          <w:rFonts w:ascii="Century" w:hAnsi="Century"/>
          <w:sz w:val="28"/>
          <w:szCs w:val="28"/>
        </w:rPr>
        <w:t>****************************************************</w:t>
      </w:r>
    </w:p>
    <w:p w14:paraId="0DF87311" w14:textId="77777777" w:rsidR="00166D53" w:rsidRDefault="00166D53">
      <w:pPr>
        <w:pStyle w:val="BlockText"/>
        <w:tabs>
          <w:tab w:val="left" w:pos="720"/>
        </w:tabs>
        <w:rPr>
          <w:rFonts w:ascii="Century" w:hAnsi="Century"/>
          <w:sz w:val="28"/>
          <w:szCs w:val="28"/>
        </w:rPr>
      </w:pPr>
    </w:p>
    <w:p w14:paraId="0DF87312" w14:textId="77777777" w:rsidR="00166D53" w:rsidRDefault="00166D53">
      <w:pPr>
        <w:pStyle w:val="BlockText"/>
        <w:tabs>
          <w:tab w:val="left" w:pos="720"/>
        </w:tabs>
        <w:rPr>
          <w:rFonts w:ascii="Century" w:hAnsi="Century"/>
          <w:sz w:val="28"/>
          <w:szCs w:val="28"/>
        </w:rPr>
      </w:pPr>
    </w:p>
    <w:p w14:paraId="0DF87313" w14:textId="77777777" w:rsidR="00166D53" w:rsidRDefault="00166D53">
      <w:pPr>
        <w:pStyle w:val="BlockText"/>
        <w:tabs>
          <w:tab w:val="left" w:pos="720"/>
        </w:tabs>
        <w:rPr>
          <w:rFonts w:ascii="Century" w:hAnsi="Century"/>
          <w:sz w:val="28"/>
          <w:szCs w:val="28"/>
        </w:rPr>
      </w:pPr>
    </w:p>
    <w:p w14:paraId="0DF87314" w14:textId="77777777" w:rsidR="00166D53" w:rsidRDefault="00166D53">
      <w:pPr>
        <w:pStyle w:val="BlockText"/>
        <w:tabs>
          <w:tab w:val="left" w:pos="720"/>
        </w:tabs>
        <w:rPr>
          <w:rFonts w:ascii="Century" w:hAnsi="Century"/>
          <w:sz w:val="28"/>
          <w:szCs w:val="28"/>
        </w:rPr>
      </w:pPr>
    </w:p>
    <w:p w14:paraId="0DF87315" w14:textId="77777777" w:rsidR="00166D53" w:rsidRDefault="00166D53">
      <w:pPr>
        <w:pStyle w:val="BlockText"/>
        <w:tabs>
          <w:tab w:val="left" w:pos="720"/>
        </w:tabs>
        <w:rPr>
          <w:rFonts w:ascii="Century" w:hAnsi="Century"/>
          <w:sz w:val="28"/>
          <w:szCs w:val="28"/>
        </w:rPr>
      </w:pPr>
    </w:p>
    <w:p w14:paraId="0DF87316" w14:textId="77777777" w:rsidR="00166D53" w:rsidRDefault="00166D53">
      <w:pPr>
        <w:pStyle w:val="BlockText"/>
        <w:tabs>
          <w:tab w:val="left" w:pos="720"/>
        </w:tabs>
        <w:rPr>
          <w:rFonts w:ascii="Century" w:hAnsi="Century"/>
          <w:sz w:val="28"/>
          <w:szCs w:val="28"/>
        </w:rPr>
      </w:pPr>
    </w:p>
    <w:p w14:paraId="0DF87317" w14:textId="77777777" w:rsidR="00166D53" w:rsidRDefault="00166D53">
      <w:pPr>
        <w:pStyle w:val="BlockText"/>
        <w:tabs>
          <w:tab w:val="left" w:pos="720"/>
        </w:tabs>
        <w:rPr>
          <w:rFonts w:ascii="Century" w:hAnsi="Century"/>
          <w:sz w:val="28"/>
          <w:szCs w:val="28"/>
        </w:rPr>
      </w:pPr>
    </w:p>
    <w:p w14:paraId="0DF87318" w14:textId="77777777" w:rsidR="00166D53" w:rsidRDefault="00166D53">
      <w:pPr>
        <w:pStyle w:val="BlockText"/>
        <w:tabs>
          <w:tab w:val="left" w:pos="720"/>
        </w:tabs>
        <w:rPr>
          <w:rFonts w:ascii="Century" w:hAnsi="Century"/>
          <w:sz w:val="28"/>
          <w:szCs w:val="28"/>
        </w:rPr>
      </w:pPr>
    </w:p>
    <w:p w14:paraId="0DF87319" w14:textId="77777777" w:rsidR="00166D53" w:rsidRDefault="00166D53">
      <w:pPr>
        <w:pStyle w:val="BlockText"/>
        <w:tabs>
          <w:tab w:val="left" w:pos="720"/>
        </w:tabs>
        <w:rPr>
          <w:rFonts w:ascii="Century" w:hAnsi="Century"/>
          <w:sz w:val="28"/>
          <w:szCs w:val="28"/>
        </w:rPr>
      </w:pPr>
    </w:p>
    <w:p w14:paraId="0DF8731A" w14:textId="77777777" w:rsidR="00166D53" w:rsidRDefault="00166D53">
      <w:pPr>
        <w:pStyle w:val="BlockText"/>
        <w:tabs>
          <w:tab w:val="left" w:pos="720"/>
        </w:tabs>
        <w:rPr>
          <w:rFonts w:ascii="Century" w:hAnsi="Century"/>
          <w:sz w:val="28"/>
          <w:szCs w:val="28"/>
        </w:rPr>
      </w:pPr>
    </w:p>
    <w:p w14:paraId="0DF8731B" w14:textId="77777777" w:rsidR="00166D53" w:rsidRDefault="00166D53">
      <w:pPr>
        <w:pStyle w:val="BlockText"/>
        <w:tabs>
          <w:tab w:val="left" w:pos="720"/>
        </w:tabs>
        <w:rPr>
          <w:rFonts w:ascii="Century" w:hAnsi="Century"/>
          <w:sz w:val="28"/>
          <w:szCs w:val="28"/>
        </w:rPr>
      </w:pPr>
    </w:p>
    <w:p w14:paraId="0DF8731C" w14:textId="77777777" w:rsidR="00166D53" w:rsidRDefault="00166D53">
      <w:pPr>
        <w:pStyle w:val="BlockText"/>
        <w:tabs>
          <w:tab w:val="left" w:pos="720"/>
        </w:tabs>
        <w:rPr>
          <w:rFonts w:ascii="Century" w:hAnsi="Century"/>
          <w:sz w:val="28"/>
          <w:szCs w:val="28"/>
        </w:rPr>
      </w:pPr>
    </w:p>
    <w:p w14:paraId="0DF8731D" w14:textId="77777777" w:rsidR="00166D53" w:rsidRDefault="00166D53">
      <w:pPr>
        <w:pStyle w:val="BlockText"/>
        <w:tabs>
          <w:tab w:val="left" w:pos="720"/>
        </w:tabs>
        <w:rPr>
          <w:rFonts w:ascii="Century" w:hAnsi="Century"/>
          <w:sz w:val="28"/>
          <w:szCs w:val="28"/>
        </w:rPr>
        <w:sectPr w:rsidR="00166D53">
          <w:pgSz w:w="12240" w:h="15840"/>
          <w:pgMar w:top="1440" w:right="1440" w:bottom="1440" w:left="1440" w:header="0" w:footer="0" w:gutter="0"/>
          <w:cols w:space="720"/>
          <w:formProt w:val="0"/>
          <w:docGrid w:linePitch="100"/>
        </w:sectPr>
      </w:pPr>
    </w:p>
    <w:p w14:paraId="0DF8731E" w14:textId="6990774D" w:rsidR="00166D53" w:rsidRDefault="00067013">
      <w:pPr>
        <w:jc w:val="center"/>
        <w:rPr>
          <w:rFonts w:ascii="Century" w:hAnsi="Century"/>
          <w:b/>
          <w:sz w:val="28"/>
          <w:szCs w:val="28"/>
          <w:u w:val="single"/>
        </w:rPr>
      </w:pPr>
      <w:r>
        <w:rPr>
          <w:rFonts w:ascii="Century" w:hAnsi="Century"/>
          <w:b/>
          <w:sz w:val="28"/>
          <w:szCs w:val="28"/>
          <w:u w:val="single"/>
        </w:rPr>
        <w:lastRenderedPageBreak/>
        <w:t>INDEX</w:t>
      </w:r>
    </w:p>
    <w:p w14:paraId="0DF8731F" w14:textId="77777777" w:rsidR="00166D53" w:rsidRDefault="00166D53">
      <w:pPr>
        <w:jc w:val="center"/>
        <w:rPr>
          <w:rFonts w:ascii="Century" w:hAnsi="Century"/>
          <w:sz w:val="28"/>
          <w:szCs w:val="28"/>
        </w:rPr>
      </w:pPr>
    </w:p>
    <w:p w14:paraId="0DF87320" w14:textId="77777777"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TABLE OF AUTHORITIES</w:t>
      </w:r>
      <w:r>
        <w:rPr>
          <w:rFonts w:ascii="Century" w:hAnsi="Century"/>
          <w:sz w:val="28"/>
          <w:szCs w:val="28"/>
        </w:rPr>
        <w:tab/>
        <w:t>ii</w:t>
      </w:r>
    </w:p>
    <w:p w14:paraId="0DF87321" w14:textId="77777777" w:rsidR="00166D53" w:rsidRDefault="00166D53">
      <w:pPr>
        <w:tabs>
          <w:tab w:val="right" w:leader="dot" w:pos="8280"/>
        </w:tabs>
        <w:ind w:left="1800" w:right="1080" w:hanging="720"/>
        <w:jc w:val="both"/>
        <w:rPr>
          <w:rFonts w:ascii="Century" w:hAnsi="Century"/>
          <w:sz w:val="28"/>
          <w:szCs w:val="28"/>
        </w:rPr>
      </w:pPr>
    </w:p>
    <w:p w14:paraId="0DF87322" w14:textId="3915CA48"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ISSUE PRESENTED</w:t>
      </w:r>
      <w:r>
        <w:rPr>
          <w:rFonts w:ascii="Century" w:hAnsi="Century"/>
          <w:sz w:val="28"/>
          <w:szCs w:val="28"/>
        </w:rPr>
        <w:tab/>
        <w:t>1</w:t>
      </w:r>
    </w:p>
    <w:p w14:paraId="0DF87323" w14:textId="77777777" w:rsidR="00166D53" w:rsidRDefault="00166D53">
      <w:pPr>
        <w:tabs>
          <w:tab w:val="right" w:leader="dot" w:pos="8280"/>
          <w:tab w:val="right" w:leader="dot" w:pos="8640"/>
        </w:tabs>
        <w:ind w:left="1800" w:right="1080" w:hanging="720"/>
        <w:jc w:val="both"/>
        <w:rPr>
          <w:rFonts w:ascii="Century" w:hAnsi="Century"/>
          <w:sz w:val="28"/>
          <w:szCs w:val="28"/>
        </w:rPr>
      </w:pPr>
    </w:p>
    <w:p w14:paraId="0DF87324" w14:textId="77777777"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STATEMENT OF THE CASE</w:t>
      </w:r>
      <w:r>
        <w:rPr>
          <w:rFonts w:ascii="Century" w:hAnsi="Century"/>
          <w:sz w:val="28"/>
          <w:szCs w:val="28"/>
        </w:rPr>
        <w:tab/>
        <w:t>2</w:t>
      </w:r>
    </w:p>
    <w:p w14:paraId="0DF87325" w14:textId="77777777" w:rsidR="00166D53" w:rsidRDefault="00166D53">
      <w:pPr>
        <w:tabs>
          <w:tab w:val="right" w:leader="dot" w:pos="8280"/>
          <w:tab w:val="right" w:leader="dot" w:pos="8640"/>
        </w:tabs>
        <w:ind w:left="1800" w:right="1080" w:hanging="720"/>
        <w:jc w:val="both"/>
        <w:rPr>
          <w:rFonts w:ascii="Century" w:hAnsi="Century"/>
          <w:sz w:val="28"/>
          <w:szCs w:val="28"/>
        </w:rPr>
      </w:pPr>
    </w:p>
    <w:p w14:paraId="0DF87326" w14:textId="77777777"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STATEMENT OF GROUNDS FOR APPELLATE REVIEW……………………………………………….2</w:t>
      </w:r>
    </w:p>
    <w:p w14:paraId="0DF87327" w14:textId="77777777" w:rsidR="00166D53" w:rsidRDefault="00166D53">
      <w:pPr>
        <w:tabs>
          <w:tab w:val="right" w:leader="dot" w:pos="8280"/>
        </w:tabs>
        <w:ind w:left="1800" w:right="1080" w:hanging="720"/>
        <w:jc w:val="both"/>
        <w:rPr>
          <w:rFonts w:ascii="Century" w:hAnsi="Century"/>
          <w:sz w:val="28"/>
          <w:szCs w:val="28"/>
        </w:rPr>
      </w:pPr>
    </w:p>
    <w:p w14:paraId="0DF87328" w14:textId="77777777"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STATEMENT OF THE FACTS</w:t>
      </w:r>
      <w:r>
        <w:rPr>
          <w:rFonts w:ascii="Century" w:hAnsi="Century"/>
          <w:sz w:val="28"/>
          <w:szCs w:val="28"/>
        </w:rPr>
        <w:tab/>
        <w:t>2</w:t>
      </w:r>
    </w:p>
    <w:p w14:paraId="0DF87329" w14:textId="77777777"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 xml:space="preserve">     </w:t>
      </w:r>
    </w:p>
    <w:p w14:paraId="0DF8732A" w14:textId="10F9F32D" w:rsidR="00166D53" w:rsidRPr="001E7218" w:rsidRDefault="00067013">
      <w:pPr>
        <w:tabs>
          <w:tab w:val="right" w:leader="dot" w:pos="8280"/>
        </w:tabs>
        <w:ind w:left="1800" w:right="1080" w:hanging="720"/>
        <w:jc w:val="both"/>
        <w:rPr>
          <w:rFonts w:ascii="Century" w:hAnsi="Century"/>
          <w:sz w:val="28"/>
          <w:szCs w:val="28"/>
        </w:rPr>
      </w:pPr>
      <w:r w:rsidRPr="001E7218">
        <w:rPr>
          <w:rFonts w:ascii="Century" w:hAnsi="Century"/>
          <w:sz w:val="28"/>
          <w:szCs w:val="28"/>
        </w:rPr>
        <w:t>ARGUMENT</w:t>
      </w:r>
      <w:r w:rsidRPr="001E7218">
        <w:rPr>
          <w:rFonts w:ascii="Century" w:hAnsi="Century"/>
          <w:sz w:val="28"/>
          <w:szCs w:val="28"/>
        </w:rPr>
        <w:tab/>
      </w:r>
      <w:r w:rsidR="00605DF8">
        <w:rPr>
          <w:rFonts w:ascii="Century" w:hAnsi="Century"/>
          <w:sz w:val="28"/>
          <w:szCs w:val="28"/>
        </w:rPr>
        <w:t>7</w:t>
      </w:r>
    </w:p>
    <w:p w14:paraId="0DF8732B" w14:textId="77777777" w:rsidR="00166D53" w:rsidRPr="00FD6AB7" w:rsidRDefault="00166D53">
      <w:pPr>
        <w:tabs>
          <w:tab w:val="right" w:leader="dot" w:pos="8280"/>
          <w:tab w:val="right" w:leader="dot" w:pos="8640"/>
        </w:tabs>
        <w:ind w:left="1800" w:right="1080" w:hanging="720"/>
        <w:jc w:val="both"/>
        <w:rPr>
          <w:rFonts w:ascii="Century" w:hAnsi="Century"/>
          <w:sz w:val="28"/>
          <w:szCs w:val="28"/>
        </w:rPr>
      </w:pPr>
    </w:p>
    <w:p w14:paraId="0DF8732C" w14:textId="0060E908" w:rsidR="00166D53" w:rsidRPr="001E7218" w:rsidRDefault="00067013">
      <w:pPr>
        <w:numPr>
          <w:ilvl w:val="0"/>
          <w:numId w:val="1"/>
        </w:numPr>
        <w:tabs>
          <w:tab w:val="left" w:pos="1800"/>
          <w:tab w:val="right" w:leader="dot" w:pos="8280"/>
        </w:tabs>
        <w:spacing w:line="240" w:lineRule="auto"/>
        <w:ind w:left="1800" w:right="1620"/>
        <w:jc w:val="both"/>
        <w:rPr>
          <w:rFonts w:ascii="Century" w:hAnsi="Century"/>
          <w:bCs/>
          <w:sz w:val="28"/>
          <w:szCs w:val="28"/>
        </w:rPr>
      </w:pPr>
      <w:r w:rsidRPr="00FD6AB7">
        <w:rPr>
          <w:rFonts w:ascii="Century" w:hAnsi="Century"/>
          <w:sz w:val="28"/>
          <w:szCs w:val="28"/>
        </w:rPr>
        <w:t xml:space="preserve">THE TRIAL COURT </w:t>
      </w:r>
      <w:r w:rsidR="00A22688" w:rsidRPr="00FD6AB7">
        <w:rPr>
          <w:rFonts w:ascii="Century" w:hAnsi="Century"/>
          <w:sz w:val="28"/>
          <w:szCs w:val="28"/>
        </w:rPr>
        <w:t xml:space="preserve">ERRED OR </w:t>
      </w:r>
      <w:r w:rsidR="001C639D" w:rsidRPr="00FD6AB7">
        <w:rPr>
          <w:rFonts w:ascii="Century" w:hAnsi="Century"/>
          <w:sz w:val="28"/>
          <w:szCs w:val="28"/>
        </w:rPr>
        <w:t xml:space="preserve">PLAINLY ERRED IN </w:t>
      </w:r>
      <w:r w:rsidR="001E7218" w:rsidRPr="00FD6AB7">
        <w:rPr>
          <w:rFonts w:ascii="Century" w:hAnsi="Century"/>
          <w:sz w:val="28"/>
          <w:szCs w:val="28"/>
        </w:rPr>
        <w:t xml:space="preserve">ITS INSTRUCTIONS </w:t>
      </w:r>
      <w:r w:rsidR="00D41ABF" w:rsidRPr="00FD6AB7">
        <w:rPr>
          <w:rFonts w:ascii="Century" w:hAnsi="Century"/>
          <w:sz w:val="28"/>
          <w:szCs w:val="28"/>
        </w:rPr>
        <w:t>TO THE JURY WHERE IT OMITTED THE DEFINITION</w:t>
      </w:r>
      <w:r w:rsidR="00D41ABF">
        <w:rPr>
          <w:rFonts w:ascii="Century" w:hAnsi="Century"/>
          <w:sz w:val="28"/>
          <w:szCs w:val="28"/>
        </w:rPr>
        <w:t xml:space="preserve"> OF </w:t>
      </w:r>
      <w:r w:rsidR="001E7218" w:rsidRPr="001E7218">
        <w:rPr>
          <w:rFonts w:ascii="Century" w:hAnsi="Century"/>
          <w:sz w:val="28"/>
          <w:szCs w:val="28"/>
        </w:rPr>
        <w:t xml:space="preserve">DEFENSE OF </w:t>
      </w:r>
      <w:r w:rsidR="00D41ABF">
        <w:rPr>
          <w:rFonts w:ascii="Century" w:hAnsi="Century"/>
          <w:sz w:val="28"/>
          <w:szCs w:val="28"/>
        </w:rPr>
        <w:t>A FAMILY MEMBER</w:t>
      </w:r>
      <w:r w:rsidRPr="001E7218">
        <w:rPr>
          <w:rFonts w:ascii="Century" w:hAnsi="Century"/>
          <w:sz w:val="28"/>
          <w:szCs w:val="28"/>
        </w:rPr>
        <w:tab/>
      </w:r>
      <w:r w:rsidR="00605DF8">
        <w:rPr>
          <w:rFonts w:ascii="Century" w:hAnsi="Century"/>
          <w:sz w:val="28"/>
          <w:szCs w:val="28"/>
        </w:rPr>
        <w:t>7</w:t>
      </w:r>
    </w:p>
    <w:p w14:paraId="0DF8732D" w14:textId="77777777" w:rsidR="00166D53" w:rsidRPr="001E7218" w:rsidRDefault="00166D53">
      <w:pPr>
        <w:tabs>
          <w:tab w:val="right" w:leader="dot" w:pos="8280"/>
          <w:tab w:val="right" w:leader="dot" w:pos="8820"/>
        </w:tabs>
        <w:ind w:left="1800" w:right="1080" w:hanging="720"/>
        <w:jc w:val="both"/>
        <w:rPr>
          <w:rFonts w:ascii="Century" w:hAnsi="Century"/>
          <w:sz w:val="28"/>
          <w:szCs w:val="28"/>
        </w:rPr>
      </w:pPr>
    </w:p>
    <w:p w14:paraId="0DF8732E" w14:textId="2DC5BDA5" w:rsidR="00166D53" w:rsidRDefault="00067013">
      <w:pPr>
        <w:tabs>
          <w:tab w:val="right" w:leader="dot" w:pos="8280"/>
        </w:tabs>
        <w:ind w:left="1800" w:right="1080" w:hanging="720"/>
        <w:jc w:val="both"/>
        <w:rPr>
          <w:rFonts w:ascii="Century" w:hAnsi="Century"/>
          <w:sz w:val="28"/>
          <w:szCs w:val="28"/>
        </w:rPr>
      </w:pPr>
      <w:r w:rsidRPr="001E7218">
        <w:rPr>
          <w:rFonts w:ascii="Century" w:hAnsi="Century"/>
          <w:sz w:val="28"/>
          <w:szCs w:val="28"/>
        </w:rPr>
        <w:t>CONCLUSION</w:t>
      </w:r>
      <w:r>
        <w:rPr>
          <w:rFonts w:ascii="Century" w:hAnsi="Century"/>
          <w:sz w:val="28"/>
          <w:szCs w:val="28"/>
        </w:rPr>
        <w:tab/>
      </w:r>
      <w:r w:rsidR="00605DF8">
        <w:rPr>
          <w:rFonts w:ascii="Century" w:hAnsi="Century"/>
          <w:sz w:val="28"/>
          <w:szCs w:val="28"/>
        </w:rPr>
        <w:t>19</w:t>
      </w:r>
    </w:p>
    <w:p w14:paraId="0DF8732F" w14:textId="77777777" w:rsidR="00166D53" w:rsidRDefault="00166D53">
      <w:pPr>
        <w:tabs>
          <w:tab w:val="right" w:leader="dot" w:pos="8280"/>
          <w:tab w:val="right" w:leader="dot" w:pos="8640"/>
        </w:tabs>
        <w:ind w:left="1800" w:right="1080" w:hanging="720"/>
        <w:jc w:val="both"/>
        <w:rPr>
          <w:rFonts w:ascii="Century" w:hAnsi="Century"/>
          <w:sz w:val="28"/>
          <w:szCs w:val="28"/>
        </w:rPr>
      </w:pPr>
    </w:p>
    <w:p w14:paraId="0DF87330" w14:textId="78BE953C"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CERTIFICATE OF COMPLIANCE</w:t>
      </w:r>
      <w:r>
        <w:rPr>
          <w:rFonts w:ascii="Century" w:hAnsi="Century"/>
          <w:sz w:val="28"/>
          <w:szCs w:val="28"/>
        </w:rPr>
        <w:tab/>
        <w:t>2</w:t>
      </w:r>
      <w:r w:rsidR="00605DF8">
        <w:rPr>
          <w:rFonts w:ascii="Century" w:hAnsi="Century"/>
          <w:sz w:val="28"/>
          <w:szCs w:val="28"/>
        </w:rPr>
        <w:t>0</w:t>
      </w:r>
    </w:p>
    <w:p w14:paraId="0DF87331" w14:textId="77777777" w:rsidR="00166D53" w:rsidRDefault="00166D53">
      <w:pPr>
        <w:tabs>
          <w:tab w:val="right" w:leader="dot" w:pos="8280"/>
          <w:tab w:val="right" w:leader="dot" w:pos="8820"/>
        </w:tabs>
        <w:ind w:left="1800" w:right="1080" w:hanging="720"/>
        <w:jc w:val="both"/>
        <w:rPr>
          <w:rFonts w:ascii="Century" w:hAnsi="Century"/>
          <w:sz w:val="28"/>
          <w:szCs w:val="28"/>
        </w:rPr>
      </w:pPr>
    </w:p>
    <w:p w14:paraId="0DF87332" w14:textId="6070CB32" w:rsidR="00166D53" w:rsidRDefault="00067013">
      <w:pPr>
        <w:tabs>
          <w:tab w:val="right" w:leader="dot" w:pos="8280"/>
        </w:tabs>
        <w:ind w:left="1800" w:right="1080" w:hanging="720"/>
        <w:jc w:val="both"/>
        <w:rPr>
          <w:rFonts w:ascii="Century" w:hAnsi="Century"/>
          <w:sz w:val="28"/>
          <w:szCs w:val="28"/>
        </w:rPr>
      </w:pPr>
      <w:r>
        <w:rPr>
          <w:rFonts w:ascii="Century" w:hAnsi="Century"/>
          <w:sz w:val="28"/>
          <w:szCs w:val="28"/>
        </w:rPr>
        <w:t>CERTIFICATE OF FILING AND SERVICE</w:t>
      </w:r>
      <w:r>
        <w:rPr>
          <w:rFonts w:ascii="Century" w:hAnsi="Century"/>
          <w:sz w:val="28"/>
          <w:szCs w:val="28"/>
        </w:rPr>
        <w:tab/>
        <w:t>2</w:t>
      </w:r>
      <w:r w:rsidR="00605DF8">
        <w:rPr>
          <w:rFonts w:ascii="Century" w:hAnsi="Century"/>
          <w:sz w:val="28"/>
          <w:szCs w:val="28"/>
        </w:rPr>
        <w:t>0</w:t>
      </w:r>
    </w:p>
    <w:p w14:paraId="0DF87333" w14:textId="77777777" w:rsidR="00166D53" w:rsidRDefault="00166D53">
      <w:pPr>
        <w:tabs>
          <w:tab w:val="right" w:leader="dot" w:pos="9360"/>
        </w:tabs>
        <w:ind w:left="720" w:right="900" w:firstLine="360"/>
        <w:jc w:val="both"/>
        <w:rPr>
          <w:rFonts w:ascii="Century" w:hAnsi="Century"/>
          <w:sz w:val="28"/>
          <w:szCs w:val="28"/>
        </w:rPr>
      </w:pPr>
    </w:p>
    <w:p w14:paraId="0DF87334" w14:textId="77777777" w:rsidR="00166D53" w:rsidRDefault="00166D53">
      <w:pPr>
        <w:tabs>
          <w:tab w:val="right" w:leader="dot" w:pos="9360"/>
        </w:tabs>
        <w:ind w:left="720" w:right="900" w:hanging="720"/>
        <w:jc w:val="both"/>
        <w:rPr>
          <w:rFonts w:ascii="Century" w:hAnsi="Century"/>
          <w:sz w:val="28"/>
          <w:szCs w:val="28"/>
        </w:rPr>
      </w:pPr>
    </w:p>
    <w:p w14:paraId="0DF87335" w14:textId="77777777" w:rsidR="00166D53" w:rsidRDefault="00166D53">
      <w:pPr>
        <w:tabs>
          <w:tab w:val="right" w:leader="dot" w:pos="9360"/>
        </w:tabs>
        <w:ind w:left="720" w:right="900" w:hanging="720"/>
        <w:jc w:val="both"/>
        <w:rPr>
          <w:rFonts w:ascii="Century" w:hAnsi="Century"/>
          <w:sz w:val="28"/>
          <w:szCs w:val="28"/>
        </w:rPr>
      </w:pPr>
    </w:p>
    <w:p w14:paraId="0DF87336" w14:textId="77777777" w:rsidR="00166D53" w:rsidRDefault="00166D53">
      <w:pPr>
        <w:rPr>
          <w:rFonts w:ascii="Century" w:hAnsi="Century"/>
          <w:b/>
          <w:sz w:val="28"/>
          <w:szCs w:val="28"/>
          <w:highlight w:val="yellow"/>
          <w:u w:val="single"/>
        </w:rPr>
      </w:pPr>
    </w:p>
    <w:p w14:paraId="20D367A6" w14:textId="77777777" w:rsidR="0021214A" w:rsidRDefault="0021214A">
      <w:pPr>
        <w:spacing w:line="240" w:lineRule="auto"/>
        <w:rPr>
          <w:rFonts w:ascii="Century" w:eastAsia="Times New Roman" w:hAnsi="Century"/>
          <w:b/>
          <w:caps/>
          <w:sz w:val="28"/>
          <w:szCs w:val="28"/>
          <w:highlight w:val="yellow"/>
          <w:u w:val="single"/>
        </w:rPr>
      </w:pPr>
      <w:r>
        <w:rPr>
          <w:rFonts w:ascii="Century" w:hAnsi="Century"/>
          <w:sz w:val="28"/>
          <w:szCs w:val="28"/>
          <w:highlight w:val="yellow"/>
        </w:rPr>
        <w:br w:type="page"/>
      </w:r>
    </w:p>
    <w:p w14:paraId="0DF87337" w14:textId="7A3A120D" w:rsidR="00166D53" w:rsidRDefault="00067013">
      <w:pPr>
        <w:pStyle w:val="BATOATitle"/>
        <w:ind w:left="1080" w:right="1080" w:hanging="720"/>
        <w:rPr>
          <w:rFonts w:ascii="Century" w:hAnsi="Century"/>
          <w:sz w:val="28"/>
          <w:szCs w:val="28"/>
        </w:rPr>
      </w:pPr>
      <w:r w:rsidRPr="00605DF8">
        <w:rPr>
          <w:rFonts w:ascii="Century" w:hAnsi="Century"/>
          <w:sz w:val="28"/>
          <w:szCs w:val="28"/>
        </w:rPr>
        <w:lastRenderedPageBreak/>
        <w:t>Table of Authorities</w:t>
      </w:r>
    </w:p>
    <w:p w14:paraId="0DF87338" w14:textId="77777777" w:rsidR="00166D53" w:rsidRDefault="00067013">
      <w:pPr>
        <w:pStyle w:val="BATOAPageHeading"/>
        <w:tabs>
          <w:tab w:val="right" w:pos="8280"/>
        </w:tabs>
        <w:ind w:left="1080" w:right="1080" w:hanging="720"/>
        <w:rPr>
          <w:rFonts w:ascii="Century" w:hAnsi="Century"/>
          <w:sz w:val="28"/>
          <w:szCs w:val="28"/>
        </w:rPr>
      </w:pPr>
      <w:r>
        <w:rPr>
          <w:rFonts w:ascii="Century" w:hAnsi="Century"/>
          <w:sz w:val="28"/>
          <w:szCs w:val="28"/>
        </w:rPr>
        <w:tab/>
        <w:t>Page(s)</w:t>
      </w:r>
    </w:p>
    <w:p w14:paraId="0DF87339" w14:textId="77777777" w:rsidR="00166D53" w:rsidRDefault="00067013">
      <w:pPr>
        <w:pStyle w:val="BATOAHeading"/>
        <w:ind w:left="1080" w:right="1080" w:hanging="720"/>
        <w:rPr>
          <w:rFonts w:ascii="Century" w:hAnsi="Century"/>
          <w:sz w:val="28"/>
          <w:szCs w:val="28"/>
        </w:rPr>
      </w:pPr>
      <w:r>
        <w:rPr>
          <w:rFonts w:ascii="Century" w:hAnsi="Century"/>
          <w:sz w:val="28"/>
          <w:szCs w:val="28"/>
        </w:rPr>
        <w:t>Cases</w:t>
      </w:r>
    </w:p>
    <w:p w14:paraId="0B34389E" w14:textId="370E523F" w:rsidR="002F04B4" w:rsidRPr="00605DF8" w:rsidRDefault="002F04B4" w:rsidP="002F04B4">
      <w:pPr>
        <w:pStyle w:val="BATOAEntry"/>
        <w:tabs>
          <w:tab w:val="right" w:leader="dot" w:pos="8280"/>
        </w:tabs>
        <w:ind w:left="1080" w:right="1080" w:firstLine="0"/>
      </w:pPr>
      <w:r w:rsidRPr="002F04B4">
        <w:rPr>
          <w:rFonts w:ascii="Century" w:hAnsi="Century"/>
          <w:i/>
          <w:sz w:val="28"/>
          <w:szCs w:val="28"/>
        </w:rPr>
        <w:t>State v. Allen</w:t>
      </w:r>
      <w:r w:rsidRPr="002F04B4">
        <w:rPr>
          <w:rFonts w:ascii="Century" w:hAnsi="Century"/>
          <w:iCs/>
          <w:sz w:val="28"/>
          <w:szCs w:val="28"/>
        </w:rPr>
        <w:t>,</w:t>
      </w:r>
      <w:r w:rsidRPr="002F04B4">
        <w:rPr>
          <w:rFonts w:ascii="Century" w:hAnsi="Century"/>
          <w:sz w:val="28"/>
          <w:szCs w:val="28"/>
        </w:rPr>
        <w:br/>
        <w:t>233 N.C. App. 507 (</w:t>
      </w:r>
      <w:r w:rsidRPr="00605DF8">
        <w:rPr>
          <w:rFonts w:ascii="Century" w:hAnsi="Century"/>
          <w:sz w:val="28"/>
          <w:szCs w:val="28"/>
        </w:rPr>
        <w:t>2014)</w:t>
      </w:r>
      <w:r w:rsidRPr="00605DF8">
        <w:rPr>
          <w:rFonts w:ascii="Century" w:hAnsi="Century"/>
          <w:sz w:val="28"/>
          <w:szCs w:val="28"/>
        </w:rPr>
        <w:tab/>
      </w:r>
      <w:hyperlink w:anchor="_BA_Cite_46" w:tgtFrame="Long: State v. Moore, 309 N.C. 102, 305 S.E.2d 542 (1983)">
        <w:r w:rsidR="00605DF8" w:rsidRPr="00605DF8">
          <w:rPr>
            <w:rStyle w:val="ListLabel11"/>
          </w:rPr>
          <w:t>15</w:t>
        </w:r>
      </w:hyperlink>
    </w:p>
    <w:p w14:paraId="0DF8733B" w14:textId="04B7CC7B" w:rsidR="00166D53" w:rsidRPr="00605DF8" w:rsidRDefault="00067013">
      <w:pPr>
        <w:pStyle w:val="BATOAEntry"/>
        <w:tabs>
          <w:tab w:val="right" w:leader="dot" w:pos="8280"/>
        </w:tabs>
        <w:ind w:left="1080" w:right="1080" w:firstLine="0"/>
        <w:rPr>
          <w:i/>
          <w:iCs/>
        </w:rPr>
      </w:pPr>
      <w:r w:rsidRPr="00605DF8">
        <w:rPr>
          <w:rFonts w:ascii="Century" w:hAnsi="Century"/>
          <w:i/>
          <w:sz w:val="28"/>
          <w:szCs w:val="28"/>
        </w:rPr>
        <w:t xml:space="preserve">State v. </w:t>
      </w:r>
      <w:r w:rsidR="00FE6B27" w:rsidRPr="00605DF8">
        <w:rPr>
          <w:rFonts w:ascii="Century" w:hAnsi="Century"/>
          <w:i/>
          <w:iCs/>
          <w:sz w:val="28"/>
          <w:szCs w:val="28"/>
        </w:rPr>
        <w:t>Bass</w:t>
      </w:r>
      <w:r w:rsidRPr="00605DF8">
        <w:rPr>
          <w:rFonts w:ascii="Century" w:hAnsi="Century"/>
          <w:i/>
          <w:iCs/>
          <w:sz w:val="28"/>
          <w:szCs w:val="28"/>
        </w:rPr>
        <w:t>,</w:t>
      </w:r>
      <w:r w:rsidRPr="00605DF8">
        <w:rPr>
          <w:rFonts w:ascii="Century" w:hAnsi="Century"/>
          <w:iCs/>
          <w:sz w:val="28"/>
          <w:szCs w:val="28"/>
        </w:rPr>
        <w:br/>
      </w:r>
      <w:r w:rsidR="00FE6B27" w:rsidRPr="00605DF8">
        <w:rPr>
          <w:rFonts w:ascii="Century" w:hAnsi="Century"/>
          <w:sz w:val="28"/>
          <w:szCs w:val="28"/>
        </w:rPr>
        <w:t>371 N.C. 535 (2018)</w:t>
      </w:r>
      <w:r w:rsidRPr="00605DF8">
        <w:rPr>
          <w:rFonts w:ascii="Century" w:hAnsi="Century"/>
          <w:sz w:val="28"/>
          <w:szCs w:val="28"/>
        </w:rPr>
        <w:tab/>
      </w:r>
      <w:hyperlink w:anchor="_BA_Cite_47" w:tgtFrame="Long: State v. Al-Bayyinah, 356 N.C. 150, 567 S.E.2d 120 (2002)">
        <w:r w:rsidR="00605DF8" w:rsidRPr="00605DF8">
          <w:rPr>
            <w:rStyle w:val="ListLabel12"/>
            <w:i w:val="0"/>
            <w:iCs/>
          </w:rPr>
          <w:t>10</w:t>
        </w:r>
      </w:hyperlink>
    </w:p>
    <w:p w14:paraId="0DF8733C" w14:textId="12EAC8D4" w:rsidR="00166D53" w:rsidRPr="00605DF8" w:rsidRDefault="00067013">
      <w:pPr>
        <w:pStyle w:val="BATOAEntry"/>
        <w:tabs>
          <w:tab w:val="right" w:leader="dot" w:pos="8280"/>
        </w:tabs>
        <w:ind w:left="1080" w:right="1080" w:firstLine="0"/>
        <w:rPr>
          <w:rFonts w:ascii="Century" w:hAnsi="Century"/>
          <w:sz w:val="28"/>
          <w:szCs w:val="28"/>
        </w:rPr>
      </w:pPr>
      <w:r w:rsidRPr="00605DF8">
        <w:rPr>
          <w:rFonts w:ascii="Century" w:hAnsi="Century"/>
          <w:i/>
          <w:sz w:val="28"/>
          <w:szCs w:val="28"/>
        </w:rPr>
        <w:t>State v.</w:t>
      </w:r>
      <w:r w:rsidRPr="00605DF8">
        <w:rPr>
          <w:rFonts w:ascii="Century" w:hAnsi="Century"/>
          <w:sz w:val="28"/>
          <w:szCs w:val="28"/>
        </w:rPr>
        <w:t xml:space="preserve"> </w:t>
      </w:r>
      <w:r w:rsidR="00FE6B27" w:rsidRPr="00605DF8">
        <w:rPr>
          <w:rFonts w:ascii="Century" w:hAnsi="Century"/>
          <w:i/>
          <w:sz w:val="28"/>
          <w:szCs w:val="28"/>
        </w:rPr>
        <w:t>Boykin</w:t>
      </w:r>
      <w:r w:rsidRPr="00605DF8">
        <w:rPr>
          <w:rFonts w:ascii="Century" w:hAnsi="Century"/>
          <w:sz w:val="28"/>
          <w:szCs w:val="28"/>
        </w:rPr>
        <w:t>,</w:t>
      </w:r>
      <w:r w:rsidRPr="00605DF8">
        <w:rPr>
          <w:rFonts w:ascii="Century" w:hAnsi="Century"/>
          <w:sz w:val="28"/>
          <w:szCs w:val="28"/>
        </w:rPr>
        <w:br/>
      </w:r>
      <w:r w:rsidR="00FE6B27" w:rsidRPr="00605DF8">
        <w:rPr>
          <w:rFonts w:ascii="Century" w:hAnsi="Century"/>
          <w:sz w:val="28"/>
          <w:szCs w:val="28"/>
        </w:rPr>
        <w:t>275 N.C. App. 187 (2020)</w:t>
      </w:r>
      <w:r w:rsidRPr="00605DF8">
        <w:rPr>
          <w:rFonts w:ascii="Century" w:hAnsi="Century"/>
          <w:sz w:val="28"/>
          <w:szCs w:val="28"/>
        </w:rPr>
        <w:tab/>
      </w:r>
      <w:r w:rsidR="00605DF8" w:rsidRPr="00605DF8">
        <w:rPr>
          <w:rFonts w:ascii="Century" w:hAnsi="Century"/>
          <w:sz w:val="28"/>
          <w:szCs w:val="28"/>
        </w:rPr>
        <w:t>15</w:t>
      </w:r>
    </w:p>
    <w:p w14:paraId="53638E4D" w14:textId="587A321D" w:rsidR="00FE6B27" w:rsidRPr="00605DF8" w:rsidRDefault="00FE6B27" w:rsidP="00FE6B27">
      <w:pPr>
        <w:pStyle w:val="BATOAEntry"/>
        <w:tabs>
          <w:tab w:val="right" w:leader="dot" w:pos="8280"/>
        </w:tabs>
        <w:ind w:left="1080" w:right="1080" w:firstLine="0"/>
      </w:pPr>
      <w:r w:rsidRPr="00605DF8">
        <w:rPr>
          <w:rFonts w:ascii="Century" w:hAnsi="Century"/>
          <w:i/>
          <w:sz w:val="28"/>
          <w:szCs w:val="28"/>
        </w:rPr>
        <w:t>State v. Corbett</w:t>
      </w:r>
      <w:r w:rsidRPr="00605DF8">
        <w:rPr>
          <w:rFonts w:ascii="Century" w:hAnsi="Century"/>
          <w:sz w:val="28"/>
          <w:szCs w:val="28"/>
        </w:rPr>
        <w:t>,</w:t>
      </w:r>
      <w:r w:rsidRPr="00605DF8">
        <w:rPr>
          <w:rFonts w:ascii="Century" w:hAnsi="Century"/>
          <w:sz w:val="28"/>
          <w:szCs w:val="28"/>
        </w:rPr>
        <w:br/>
        <w:t xml:space="preserve">269 </w:t>
      </w:r>
      <w:r w:rsidR="002F04B4" w:rsidRPr="00605DF8">
        <w:rPr>
          <w:rFonts w:ascii="Century" w:hAnsi="Century"/>
          <w:sz w:val="28"/>
          <w:szCs w:val="28"/>
        </w:rPr>
        <w:t xml:space="preserve">N.C. App. 509 (2020), </w:t>
      </w:r>
      <w:r w:rsidR="002F04B4" w:rsidRPr="00605DF8">
        <w:rPr>
          <w:rFonts w:ascii="Century" w:hAnsi="Century"/>
          <w:i/>
          <w:iCs/>
          <w:sz w:val="28"/>
          <w:szCs w:val="28"/>
        </w:rPr>
        <w:t xml:space="preserve">aff’d </w:t>
      </w:r>
      <w:r w:rsidR="002F04B4" w:rsidRPr="00605DF8">
        <w:rPr>
          <w:rFonts w:ascii="Century" w:hAnsi="Century"/>
          <w:sz w:val="28"/>
          <w:szCs w:val="28"/>
        </w:rPr>
        <w:t>376 N.C. 799 (2021)</w:t>
      </w:r>
      <w:r w:rsidRPr="00605DF8">
        <w:rPr>
          <w:rFonts w:ascii="Century" w:hAnsi="Century"/>
          <w:sz w:val="28"/>
          <w:szCs w:val="28"/>
        </w:rPr>
        <w:tab/>
      </w:r>
      <w:hyperlink w:anchor="_BA_Cite_40" w:tgtFrame="Long: State v. Johnson, 317 N.C. 417, 347 S.E.2d 7 (1986)">
        <w:r w:rsidR="00605DF8" w:rsidRPr="00605DF8">
          <w:rPr>
            <w:rStyle w:val="ListLabel11"/>
          </w:rPr>
          <w:t>10</w:t>
        </w:r>
      </w:hyperlink>
    </w:p>
    <w:p w14:paraId="0DF8733D" w14:textId="4F0A5C54" w:rsidR="00166D53" w:rsidRPr="00605DF8" w:rsidRDefault="00067013">
      <w:pPr>
        <w:pStyle w:val="BATOAEntry"/>
        <w:tabs>
          <w:tab w:val="right" w:leader="dot" w:pos="8280"/>
        </w:tabs>
        <w:ind w:left="1080" w:right="1080" w:firstLine="0"/>
      </w:pPr>
      <w:r w:rsidRPr="00605DF8">
        <w:rPr>
          <w:rFonts w:ascii="Century" w:hAnsi="Century"/>
          <w:i/>
          <w:sz w:val="28"/>
          <w:szCs w:val="28"/>
        </w:rPr>
        <w:t xml:space="preserve">State v. </w:t>
      </w:r>
      <w:r w:rsidR="00FE6B27" w:rsidRPr="00605DF8">
        <w:rPr>
          <w:rFonts w:ascii="Century" w:hAnsi="Century"/>
          <w:i/>
          <w:sz w:val="28"/>
          <w:szCs w:val="28"/>
        </w:rPr>
        <w:t>Dooley</w:t>
      </w:r>
      <w:r w:rsidRPr="00605DF8">
        <w:rPr>
          <w:rFonts w:ascii="Century" w:hAnsi="Century"/>
          <w:sz w:val="28"/>
          <w:szCs w:val="28"/>
        </w:rPr>
        <w:t>,</w:t>
      </w:r>
      <w:r w:rsidRPr="00605DF8">
        <w:rPr>
          <w:rFonts w:ascii="Century" w:hAnsi="Century"/>
          <w:sz w:val="28"/>
          <w:szCs w:val="28"/>
        </w:rPr>
        <w:br/>
      </w:r>
      <w:r w:rsidR="00FE6B27" w:rsidRPr="00605DF8">
        <w:rPr>
          <w:rFonts w:ascii="Century" w:hAnsi="Century"/>
          <w:sz w:val="28"/>
          <w:szCs w:val="28"/>
        </w:rPr>
        <w:t>285 N.C. 158 (1974)</w:t>
      </w:r>
      <w:r w:rsidRPr="00605DF8">
        <w:rPr>
          <w:rFonts w:ascii="Century" w:hAnsi="Century"/>
          <w:sz w:val="28"/>
          <w:szCs w:val="28"/>
        </w:rPr>
        <w:tab/>
      </w:r>
      <w:hyperlink w:anchor="_BA_Cite_55" w:tgtFrame="Long: State v. English, 95 N.C. App. 611, 383 S.E.2d 436 (1989)">
        <w:r w:rsidR="00605DF8" w:rsidRPr="00605DF8">
          <w:rPr>
            <w:rStyle w:val="ListLabel11"/>
          </w:rPr>
          <w:t>10,</w:t>
        </w:r>
      </w:hyperlink>
      <w:r w:rsidR="00605DF8" w:rsidRPr="00605DF8">
        <w:rPr>
          <w:rStyle w:val="ListLabel11"/>
        </w:rPr>
        <w:t xml:space="preserve"> 14</w:t>
      </w:r>
    </w:p>
    <w:p w14:paraId="0DF8733E" w14:textId="183B929A" w:rsidR="00166D53" w:rsidRPr="008E0A0C" w:rsidRDefault="00067013">
      <w:pPr>
        <w:pStyle w:val="BATOAEntry"/>
        <w:tabs>
          <w:tab w:val="right" w:leader="dot" w:pos="8280"/>
        </w:tabs>
        <w:ind w:left="1080" w:right="1080" w:firstLine="0"/>
      </w:pPr>
      <w:r w:rsidRPr="00605DF8">
        <w:rPr>
          <w:rFonts w:ascii="Century" w:hAnsi="Century"/>
          <w:i/>
          <w:sz w:val="28"/>
          <w:szCs w:val="28"/>
        </w:rPr>
        <w:t xml:space="preserve">State v. </w:t>
      </w:r>
      <w:r w:rsidR="00605DF8" w:rsidRPr="00605DF8">
        <w:rPr>
          <w:rFonts w:ascii="Century" w:hAnsi="Century"/>
          <w:i/>
          <w:sz w:val="28"/>
          <w:szCs w:val="28"/>
        </w:rPr>
        <w:t>Holloman</w:t>
      </w:r>
      <w:r w:rsidRPr="00605DF8">
        <w:rPr>
          <w:rFonts w:ascii="Century" w:hAnsi="Century"/>
          <w:sz w:val="28"/>
          <w:szCs w:val="28"/>
        </w:rPr>
        <w:t>,</w:t>
      </w:r>
      <w:r w:rsidRPr="00605DF8">
        <w:rPr>
          <w:rFonts w:ascii="Century" w:hAnsi="Century"/>
          <w:sz w:val="28"/>
          <w:szCs w:val="28"/>
        </w:rPr>
        <w:br/>
      </w:r>
      <w:r w:rsidR="00605DF8" w:rsidRPr="00605DF8">
        <w:rPr>
          <w:rFonts w:ascii="Century" w:hAnsi="Century"/>
          <w:sz w:val="28"/>
          <w:szCs w:val="28"/>
        </w:rPr>
        <w:t>369 N.C. 615 (2017)</w:t>
      </w:r>
      <w:r w:rsidRPr="00605DF8">
        <w:rPr>
          <w:rFonts w:ascii="Century" w:hAnsi="Century"/>
          <w:sz w:val="28"/>
          <w:szCs w:val="28"/>
        </w:rPr>
        <w:tab/>
      </w:r>
      <w:hyperlink w:anchor="_BA_Cite_51" w:tgtFrame="Long: State v. Flood, ___ N.C. App. ___, 726 S.E.2d 908 (2012)">
        <w:r w:rsidRPr="008E0A0C">
          <w:rPr>
            <w:rStyle w:val="ListLabel11"/>
          </w:rPr>
          <w:t>1</w:t>
        </w:r>
        <w:r w:rsidR="00605DF8" w:rsidRPr="008E0A0C">
          <w:rPr>
            <w:rStyle w:val="ListLabel11"/>
          </w:rPr>
          <w:t>7</w:t>
        </w:r>
      </w:hyperlink>
    </w:p>
    <w:p w14:paraId="0DF87341" w14:textId="37DFAD02" w:rsidR="00166D53" w:rsidRPr="008E0A0C" w:rsidRDefault="00067013">
      <w:pPr>
        <w:pStyle w:val="BATOAEntry"/>
        <w:tabs>
          <w:tab w:val="right" w:leader="dot" w:pos="8280"/>
        </w:tabs>
        <w:ind w:left="1080" w:right="1080" w:firstLine="0"/>
      </w:pPr>
      <w:r w:rsidRPr="008E0A0C">
        <w:rPr>
          <w:rFonts w:ascii="Century" w:hAnsi="Century"/>
          <w:i/>
          <w:iCs/>
          <w:sz w:val="28"/>
          <w:szCs w:val="28"/>
        </w:rPr>
        <w:t xml:space="preserve">State v. </w:t>
      </w:r>
      <w:r w:rsidR="00FE6B27" w:rsidRPr="008E0A0C">
        <w:rPr>
          <w:rFonts w:ascii="Century" w:hAnsi="Century"/>
          <w:i/>
          <w:iCs/>
          <w:sz w:val="28"/>
          <w:szCs w:val="28"/>
        </w:rPr>
        <w:t>Irabor</w:t>
      </w:r>
      <w:r w:rsidRPr="008E0A0C">
        <w:rPr>
          <w:rFonts w:ascii="Century" w:hAnsi="Century"/>
          <w:i/>
          <w:iCs/>
          <w:sz w:val="28"/>
          <w:szCs w:val="28"/>
        </w:rPr>
        <w:t>,</w:t>
      </w:r>
      <w:r w:rsidRPr="008E0A0C">
        <w:rPr>
          <w:rFonts w:ascii="Century" w:hAnsi="Century"/>
          <w:iCs/>
          <w:sz w:val="28"/>
          <w:szCs w:val="28"/>
        </w:rPr>
        <w:br/>
      </w:r>
      <w:r w:rsidR="00FE6B27" w:rsidRPr="008E0A0C">
        <w:rPr>
          <w:rFonts w:ascii="Century" w:hAnsi="Century"/>
          <w:sz w:val="28"/>
          <w:szCs w:val="28"/>
        </w:rPr>
        <w:t>262 N.C. App. 490 (2018)</w:t>
      </w:r>
      <w:r w:rsidRPr="008E0A0C">
        <w:rPr>
          <w:rFonts w:ascii="Century" w:hAnsi="Century"/>
          <w:sz w:val="28"/>
          <w:szCs w:val="28"/>
        </w:rPr>
        <w:tab/>
      </w:r>
      <w:hyperlink w:anchor="_BA_Cite_63" w:tgtFrame="Long: State v. Hunt, 324 N.C. 343, 378 S.E.2d 754 (1989)">
        <w:r w:rsidRPr="008E0A0C">
          <w:rPr>
            <w:rStyle w:val="ListLabel11"/>
          </w:rPr>
          <w:t>1</w:t>
        </w:r>
        <w:r w:rsidR="00605DF8" w:rsidRPr="008E0A0C">
          <w:rPr>
            <w:rStyle w:val="ListLabel11"/>
          </w:rPr>
          <w:t>8</w:t>
        </w:r>
      </w:hyperlink>
    </w:p>
    <w:p w14:paraId="0DF87343" w14:textId="5D27C71E" w:rsidR="00166D53" w:rsidRPr="008E0A0C" w:rsidRDefault="00067013">
      <w:pPr>
        <w:pStyle w:val="BATOAEntry"/>
        <w:tabs>
          <w:tab w:val="right" w:leader="dot" w:pos="8280"/>
        </w:tabs>
        <w:ind w:left="1080" w:right="1080" w:firstLine="0"/>
      </w:pPr>
      <w:r w:rsidRPr="008E0A0C">
        <w:rPr>
          <w:rFonts w:ascii="Century" w:hAnsi="Century"/>
          <w:i/>
          <w:sz w:val="28"/>
          <w:szCs w:val="28"/>
        </w:rPr>
        <w:t>State v. Lawrence</w:t>
      </w:r>
      <w:r w:rsidRPr="008E0A0C">
        <w:rPr>
          <w:rFonts w:ascii="Century" w:hAnsi="Century"/>
          <w:sz w:val="28"/>
          <w:szCs w:val="28"/>
        </w:rPr>
        <w:t>,</w:t>
      </w:r>
      <w:r w:rsidRPr="008E0A0C">
        <w:rPr>
          <w:rFonts w:ascii="Century" w:hAnsi="Century"/>
          <w:sz w:val="28"/>
          <w:szCs w:val="28"/>
        </w:rPr>
        <w:br/>
        <w:t>365 N.C. 506 (2012)</w:t>
      </w:r>
      <w:r w:rsidRPr="008E0A0C">
        <w:rPr>
          <w:rFonts w:ascii="Century" w:hAnsi="Century"/>
          <w:sz w:val="28"/>
          <w:szCs w:val="28"/>
        </w:rPr>
        <w:tab/>
      </w:r>
      <w:hyperlink w:anchor="_BA_Cite_39" w:tgtFrame="Long: State v. Lawrence, 365 N.C. 506, 723 S.E.2d 326 (2012)">
        <w:r w:rsidR="008E0A0C" w:rsidRPr="008E0A0C">
          <w:rPr>
            <w:rStyle w:val="ListLabel11"/>
          </w:rPr>
          <w:t>8</w:t>
        </w:r>
      </w:hyperlink>
    </w:p>
    <w:p w14:paraId="76C6A30E" w14:textId="1FA3EC8B" w:rsidR="00FE6B27" w:rsidRPr="008E0A0C" w:rsidRDefault="00FE6B27" w:rsidP="00FE6B27">
      <w:pPr>
        <w:pStyle w:val="BATOAEntry"/>
        <w:tabs>
          <w:tab w:val="right" w:leader="dot" w:pos="8280"/>
        </w:tabs>
        <w:ind w:left="1080" w:right="1080" w:firstLine="0"/>
      </w:pPr>
      <w:r w:rsidRPr="008E0A0C">
        <w:rPr>
          <w:rFonts w:ascii="Century" w:hAnsi="Century"/>
          <w:i/>
          <w:sz w:val="28"/>
          <w:szCs w:val="28"/>
        </w:rPr>
        <w:t>State v. Lee</w:t>
      </w:r>
      <w:r w:rsidRPr="008E0A0C">
        <w:rPr>
          <w:rFonts w:ascii="Century" w:hAnsi="Century"/>
          <w:sz w:val="28"/>
          <w:szCs w:val="28"/>
        </w:rPr>
        <w:t>,</w:t>
      </w:r>
      <w:r w:rsidRPr="008E0A0C">
        <w:rPr>
          <w:rFonts w:ascii="Century" w:hAnsi="Century"/>
          <w:sz w:val="28"/>
          <w:szCs w:val="28"/>
        </w:rPr>
        <w:br/>
        <w:t>370 N.C. 671 (2018)</w:t>
      </w:r>
      <w:r w:rsidRPr="008E0A0C">
        <w:rPr>
          <w:rFonts w:ascii="Century" w:hAnsi="Century"/>
          <w:sz w:val="28"/>
          <w:szCs w:val="28"/>
        </w:rPr>
        <w:tab/>
      </w:r>
      <w:hyperlink w:anchor="_BA_Cite_40" w:tgtFrame="Long: State v. Johnson, 317 N.C. 417, 347 S.E.2d 7 (1986)">
        <w:r w:rsidR="008E0A0C" w:rsidRPr="008E0A0C">
          <w:rPr>
            <w:rStyle w:val="ListLabel11"/>
          </w:rPr>
          <w:t>8,</w:t>
        </w:r>
      </w:hyperlink>
      <w:r w:rsidR="008E0A0C" w:rsidRPr="008E0A0C">
        <w:rPr>
          <w:rStyle w:val="ListLabel11"/>
        </w:rPr>
        <w:t xml:space="preserve"> 10, 17</w:t>
      </w:r>
    </w:p>
    <w:p w14:paraId="0DF87344" w14:textId="64A2BB2F" w:rsidR="00166D53" w:rsidRPr="008E0A0C" w:rsidRDefault="00067013">
      <w:pPr>
        <w:pStyle w:val="BATOAEntry"/>
        <w:tabs>
          <w:tab w:val="right" w:leader="dot" w:pos="8280"/>
        </w:tabs>
        <w:ind w:left="1080" w:right="1080" w:firstLine="0"/>
      </w:pPr>
      <w:r w:rsidRPr="00FE6B27">
        <w:rPr>
          <w:rFonts w:ascii="Century" w:hAnsi="Century"/>
          <w:i/>
          <w:sz w:val="28"/>
          <w:szCs w:val="28"/>
        </w:rPr>
        <w:t xml:space="preserve">State v. </w:t>
      </w:r>
      <w:r w:rsidR="00FE6B27" w:rsidRPr="00FE6B27">
        <w:rPr>
          <w:rFonts w:ascii="Century" w:hAnsi="Century"/>
          <w:i/>
          <w:sz w:val="28"/>
          <w:szCs w:val="28"/>
        </w:rPr>
        <w:t>Osorio</w:t>
      </w:r>
      <w:r w:rsidRPr="00FE6B27">
        <w:rPr>
          <w:rFonts w:ascii="Century" w:hAnsi="Century"/>
          <w:i/>
          <w:sz w:val="28"/>
          <w:szCs w:val="28"/>
        </w:rPr>
        <w:t>,</w:t>
      </w:r>
      <w:r w:rsidRPr="00FE6B27">
        <w:rPr>
          <w:rFonts w:ascii="Century" w:hAnsi="Century"/>
          <w:sz w:val="28"/>
          <w:szCs w:val="28"/>
        </w:rPr>
        <w:br/>
      </w:r>
      <w:r w:rsidR="00FE6B27" w:rsidRPr="00FE6B27">
        <w:rPr>
          <w:rFonts w:ascii="Century" w:hAnsi="Century"/>
          <w:sz w:val="28"/>
          <w:szCs w:val="28"/>
        </w:rPr>
        <w:t>196 N.C. App. 458 (</w:t>
      </w:r>
      <w:r w:rsidR="00FE6B27" w:rsidRPr="008E0A0C">
        <w:rPr>
          <w:rFonts w:ascii="Century" w:hAnsi="Century"/>
          <w:sz w:val="28"/>
          <w:szCs w:val="28"/>
        </w:rPr>
        <w:t>2009)</w:t>
      </w:r>
      <w:r w:rsidRPr="008E0A0C">
        <w:rPr>
          <w:rFonts w:ascii="Century" w:hAnsi="Century"/>
          <w:sz w:val="28"/>
          <w:szCs w:val="28"/>
        </w:rPr>
        <w:tab/>
      </w:r>
      <w:hyperlink w:anchor="_BA_Cite_45" w:tgtFrame="Long: State v. Martin, 191 N.C. App. 462, 665 S.E.2d 471 (2008)">
        <w:r w:rsidR="008E0A0C" w:rsidRPr="008E0A0C">
          <w:rPr>
            <w:rStyle w:val="ListLabel11"/>
          </w:rPr>
          <w:t>7</w:t>
        </w:r>
      </w:hyperlink>
    </w:p>
    <w:p w14:paraId="0DF87345" w14:textId="6449AF26" w:rsidR="00166D53" w:rsidRPr="008E0A0C" w:rsidRDefault="00067013">
      <w:pPr>
        <w:pStyle w:val="BATOAEntry"/>
        <w:tabs>
          <w:tab w:val="right" w:leader="dot" w:pos="8280"/>
        </w:tabs>
        <w:ind w:left="1080" w:right="1080" w:firstLine="0"/>
      </w:pPr>
      <w:r w:rsidRPr="008E0A0C">
        <w:rPr>
          <w:rFonts w:ascii="Century" w:hAnsi="Century"/>
          <w:i/>
          <w:sz w:val="28"/>
          <w:szCs w:val="28"/>
        </w:rPr>
        <w:t xml:space="preserve">State v. </w:t>
      </w:r>
      <w:r w:rsidR="00605DF8" w:rsidRPr="008E0A0C">
        <w:rPr>
          <w:rFonts w:ascii="Century" w:hAnsi="Century"/>
          <w:i/>
          <w:sz w:val="28"/>
          <w:szCs w:val="28"/>
        </w:rPr>
        <w:t>Parks</w:t>
      </w:r>
      <w:r w:rsidRPr="008E0A0C">
        <w:rPr>
          <w:rFonts w:ascii="Century" w:hAnsi="Century"/>
          <w:sz w:val="28"/>
          <w:szCs w:val="28"/>
        </w:rPr>
        <w:t>,</w:t>
      </w:r>
      <w:r w:rsidRPr="008E0A0C">
        <w:rPr>
          <w:rFonts w:ascii="Century" w:hAnsi="Century"/>
          <w:sz w:val="28"/>
          <w:szCs w:val="28"/>
        </w:rPr>
        <w:br/>
      </w:r>
      <w:r w:rsidR="00605DF8" w:rsidRPr="008E0A0C">
        <w:rPr>
          <w:rFonts w:ascii="Century" w:hAnsi="Century"/>
          <w:sz w:val="28"/>
          <w:szCs w:val="28"/>
        </w:rPr>
        <w:t>264 N.C. App. 112 (2019)</w:t>
      </w:r>
      <w:r w:rsidRPr="008E0A0C">
        <w:rPr>
          <w:rFonts w:ascii="Century" w:hAnsi="Century"/>
          <w:sz w:val="28"/>
          <w:szCs w:val="28"/>
        </w:rPr>
        <w:tab/>
      </w:r>
      <w:hyperlink w:anchor="_BA_Cite_41" w:tgtFrame="Long: State v. McClain, 240 N.C. 171, 81 S.E.2d 364 (1954)">
        <w:r w:rsidR="008E0A0C" w:rsidRPr="008E0A0C">
          <w:rPr>
            <w:rStyle w:val="ListLabel11"/>
          </w:rPr>
          <w:t>17</w:t>
        </w:r>
      </w:hyperlink>
    </w:p>
    <w:p w14:paraId="0DF87347" w14:textId="69CA6C7F" w:rsidR="00166D53" w:rsidRPr="008E0A0C" w:rsidRDefault="00067013">
      <w:pPr>
        <w:pStyle w:val="BATOAEntry"/>
        <w:tabs>
          <w:tab w:val="right" w:leader="dot" w:pos="8280"/>
        </w:tabs>
        <w:ind w:left="1080" w:right="1080" w:firstLine="0"/>
      </w:pPr>
      <w:r w:rsidRPr="008E0A0C">
        <w:rPr>
          <w:rFonts w:ascii="Century" w:hAnsi="Century"/>
          <w:i/>
          <w:iCs/>
          <w:sz w:val="28"/>
          <w:szCs w:val="28"/>
        </w:rPr>
        <w:t xml:space="preserve">State v. </w:t>
      </w:r>
      <w:r w:rsidR="00FE6B27" w:rsidRPr="008E0A0C">
        <w:rPr>
          <w:rFonts w:ascii="Century" w:hAnsi="Century"/>
          <w:i/>
          <w:iCs/>
          <w:sz w:val="28"/>
          <w:szCs w:val="28"/>
        </w:rPr>
        <w:t>Snider</w:t>
      </w:r>
      <w:r w:rsidRPr="008E0A0C">
        <w:rPr>
          <w:rFonts w:ascii="Century" w:hAnsi="Century"/>
          <w:sz w:val="28"/>
          <w:szCs w:val="28"/>
        </w:rPr>
        <w:t>,</w:t>
      </w:r>
      <w:r w:rsidRPr="008E0A0C">
        <w:rPr>
          <w:rFonts w:ascii="Century" w:hAnsi="Century"/>
          <w:sz w:val="28"/>
          <w:szCs w:val="28"/>
        </w:rPr>
        <w:br/>
      </w:r>
      <w:r w:rsidR="00FE6B27" w:rsidRPr="008E0A0C">
        <w:rPr>
          <w:rFonts w:ascii="Century" w:hAnsi="Century"/>
          <w:sz w:val="28"/>
          <w:szCs w:val="28"/>
        </w:rPr>
        <w:t>168 N.C. App. 701 (2005)</w:t>
      </w:r>
      <w:r w:rsidRPr="008E0A0C">
        <w:rPr>
          <w:rFonts w:ascii="Century" w:hAnsi="Century"/>
          <w:sz w:val="28"/>
          <w:szCs w:val="28"/>
        </w:rPr>
        <w:tab/>
      </w:r>
      <w:hyperlink w:anchor="_BA_Cite_64" w:tgtFrame="Long: State v. Riddick, 316 N.C. 127, 340 S.E.2d 422 (1986)">
        <w:r w:rsidR="008E0A0C" w:rsidRPr="008E0A0C">
          <w:rPr>
            <w:rStyle w:val="ListLabel11"/>
          </w:rPr>
          <w:t>7</w:t>
        </w:r>
      </w:hyperlink>
    </w:p>
    <w:p w14:paraId="0DF87348" w14:textId="47C386E3" w:rsidR="00166D53" w:rsidRPr="008E0A0C" w:rsidRDefault="00067013">
      <w:pPr>
        <w:pStyle w:val="BATOAEntry"/>
        <w:tabs>
          <w:tab w:val="right" w:leader="dot" w:pos="8280"/>
        </w:tabs>
        <w:ind w:left="1080" w:right="1080" w:firstLine="0"/>
        <w:rPr>
          <w:rStyle w:val="ListLabel11"/>
        </w:rPr>
      </w:pPr>
      <w:r w:rsidRPr="00FE6B27">
        <w:rPr>
          <w:rFonts w:ascii="Century" w:hAnsi="Century"/>
          <w:i/>
          <w:sz w:val="28"/>
          <w:szCs w:val="28"/>
        </w:rPr>
        <w:lastRenderedPageBreak/>
        <w:t xml:space="preserve">State v. </w:t>
      </w:r>
      <w:r w:rsidR="00FE6B27" w:rsidRPr="00FE6B27">
        <w:rPr>
          <w:rFonts w:ascii="Century" w:hAnsi="Century"/>
          <w:i/>
          <w:sz w:val="28"/>
          <w:szCs w:val="28"/>
        </w:rPr>
        <w:t>Williams</w:t>
      </w:r>
      <w:r w:rsidRPr="00FE6B27">
        <w:rPr>
          <w:rFonts w:ascii="Century" w:hAnsi="Century"/>
          <w:sz w:val="28"/>
          <w:szCs w:val="28"/>
        </w:rPr>
        <w:t>,</w:t>
      </w:r>
      <w:r w:rsidRPr="00FE6B27">
        <w:rPr>
          <w:rFonts w:ascii="Century" w:hAnsi="Century"/>
          <w:sz w:val="28"/>
          <w:szCs w:val="28"/>
        </w:rPr>
        <w:br/>
      </w:r>
      <w:r w:rsidR="00FE6B27" w:rsidRPr="00FE6B27">
        <w:rPr>
          <w:rFonts w:ascii="Century" w:hAnsi="Century"/>
          <w:sz w:val="28"/>
          <w:szCs w:val="28"/>
        </w:rPr>
        <w:t>362 N.C. 628 (</w:t>
      </w:r>
      <w:r w:rsidR="00FE6B27" w:rsidRPr="008E0A0C">
        <w:rPr>
          <w:rFonts w:ascii="Century" w:hAnsi="Century"/>
          <w:sz w:val="28"/>
          <w:szCs w:val="28"/>
        </w:rPr>
        <w:t>2008)</w:t>
      </w:r>
      <w:r w:rsidRPr="008E0A0C">
        <w:rPr>
          <w:rFonts w:ascii="Century" w:hAnsi="Century"/>
          <w:sz w:val="28"/>
          <w:szCs w:val="28"/>
        </w:rPr>
        <w:tab/>
      </w:r>
      <w:hyperlink w:anchor="_BA_Cite_54" w:tgtFrame="Long: State v. Stager, 329 N.C. 278, 406 S.E.2d 876 (1991)">
        <w:r w:rsidR="008E0A0C" w:rsidRPr="008E0A0C">
          <w:rPr>
            <w:rStyle w:val="ListLabel11"/>
          </w:rPr>
          <w:t>7</w:t>
        </w:r>
      </w:hyperlink>
    </w:p>
    <w:p w14:paraId="7CB558E4" w14:textId="1D8DD21D" w:rsidR="002F04B4" w:rsidRPr="008E0A0C" w:rsidRDefault="002F04B4" w:rsidP="002F04B4">
      <w:pPr>
        <w:pStyle w:val="BATOAEntry"/>
        <w:tabs>
          <w:tab w:val="right" w:leader="dot" w:pos="8280"/>
        </w:tabs>
        <w:ind w:left="1080" w:right="1080" w:firstLine="0"/>
      </w:pPr>
      <w:r w:rsidRPr="008E0A0C">
        <w:rPr>
          <w:rFonts w:ascii="Century" w:hAnsi="Century"/>
          <w:i/>
          <w:sz w:val="28"/>
          <w:szCs w:val="28"/>
        </w:rPr>
        <w:t>State v. Withers</w:t>
      </w:r>
      <w:r w:rsidRPr="008E0A0C">
        <w:rPr>
          <w:rFonts w:ascii="Century" w:hAnsi="Century"/>
          <w:sz w:val="28"/>
          <w:szCs w:val="28"/>
        </w:rPr>
        <w:t>,</w:t>
      </w:r>
      <w:r w:rsidRPr="008E0A0C">
        <w:rPr>
          <w:rFonts w:ascii="Century" w:hAnsi="Century"/>
          <w:sz w:val="28"/>
          <w:szCs w:val="28"/>
        </w:rPr>
        <w:br/>
        <w:t>179 N.C. App. 249 (2006)</w:t>
      </w:r>
      <w:r w:rsidRPr="008E0A0C">
        <w:rPr>
          <w:rFonts w:ascii="Century" w:hAnsi="Century"/>
          <w:sz w:val="28"/>
          <w:szCs w:val="28"/>
        </w:rPr>
        <w:tab/>
      </w:r>
      <w:hyperlink w:anchor="_BA_Cite_46" w:tgtFrame="Long: State v. Moore, 309 N.C. 102, 305 S.E.2d 542 (1983)">
        <w:r w:rsidRPr="008E0A0C">
          <w:rPr>
            <w:rStyle w:val="ListLabel11"/>
          </w:rPr>
          <w:t>1</w:t>
        </w:r>
        <w:r w:rsidR="008E0A0C" w:rsidRPr="008E0A0C">
          <w:rPr>
            <w:rStyle w:val="ListLabel11"/>
          </w:rPr>
          <w:t>4</w:t>
        </w:r>
      </w:hyperlink>
    </w:p>
    <w:p w14:paraId="0DF87349" w14:textId="77777777" w:rsidR="00166D53" w:rsidRPr="00605DF8" w:rsidRDefault="00067013">
      <w:pPr>
        <w:pStyle w:val="BATOAHeading"/>
        <w:tabs>
          <w:tab w:val="right" w:leader="dot" w:pos="8280"/>
        </w:tabs>
        <w:ind w:left="1080" w:right="1080" w:hanging="720"/>
        <w:rPr>
          <w:rFonts w:ascii="Century" w:hAnsi="Century"/>
          <w:sz w:val="28"/>
          <w:szCs w:val="28"/>
        </w:rPr>
      </w:pPr>
      <w:bookmarkStart w:id="0" w:name="_BA95XTOA95Cases"/>
      <w:bookmarkEnd w:id="0"/>
      <w:r w:rsidRPr="00605DF8">
        <w:rPr>
          <w:rFonts w:ascii="Century" w:hAnsi="Century"/>
          <w:sz w:val="28"/>
          <w:szCs w:val="28"/>
        </w:rPr>
        <w:t>Statutes</w:t>
      </w:r>
    </w:p>
    <w:p w14:paraId="0DF8734A" w14:textId="5B0BE6BA" w:rsidR="00166D53" w:rsidRPr="00516AB1" w:rsidRDefault="00067013">
      <w:pPr>
        <w:pStyle w:val="BATOAEntry"/>
        <w:tabs>
          <w:tab w:val="right" w:leader="dot" w:pos="8280"/>
        </w:tabs>
        <w:ind w:left="1080" w:right="1080" w:firstLine="0"/>
        <w:rPr>
          <w:highlight w:val="yellow"/>
        </w:rPr>
      </w:pPr>
      <w:r w:rsidRPr="00605DF8">
        <w:rPr>
          <w:rFonts w:ascii="Century" w:hAnsi="Century"/>
          <w:sz w:val="28"/>
          <w:szCs w:val="28"/>
        </w:rPr>
        <w:t xml:space="preserve">N.C. Gen. Stat. § </w:t>
      </w:r>
      <w:r w:rsidR="00605DF8" w:rsidRPr="00605DF8">
        <w:rPr>
          <w:rFonts w:ascii="Century" w:hAnsi="Century"/>
          <w:sz w:val="28"/>
          <w:szCs w:val="28"/>
        </w:rPr>
        <w:t>14</w:t>
      </w:r>
      <w:r w:rsidR="008E0A0C">
        <w:rPr>
          <w:rFonts w:ascii="Century" w:hAnsi="Century"/>
          <w:sz w:val="28"/>
          <w:szCs w:val="28"/>
        </w:rPr>
        <w:t>-</w:t>
      </w:r>
      <w:r w:rsidR="00605DF8" w:rsidRPr="008E0A0C">
        <w:rPr>
          <w:rFonts w:ascii="Century" w:hAnsi="Century"/>
          <w:sz w:val="28"/>
          <w:szCs w:val="28"/>
        </w:rPr>
        <w:t>51.4(a)</w:t>
      </w:r>
      <w:r w:rsidRPr="008E0A0C">
        <w:rPr>
          <w:rFonts w:ascii="Century" w:hAnsi="Century"/>
          <w:sz w:val="28"/>
          <w:szCs w:val="28"/>
        </w:rPr>
        <w:tab/>
      </w:r>
      <w:hyperlink w:anchor="_BA_Cite_34" w:tgtFrame="Long: N.C. Gen. Stat. §§ 7A-27(b) and 15A-1444(a)">
        <w:r w:rsidR="00605DF8" w:rsidRPr="008E0A0C">
          <w:rPr>
            <w:rStyle w:val="ListLabel11"/>
          </w:rPr>
          <w:t>18</w:t>
        </w:r>
      </w:hyperlink>
    </w:p>
    <w:p w14:paraId="0DF87350" w14:textId="77777777" w:rsidR="00166D53" w:rsidRPr="008E0A0C" w:rsidRDefault="00067013">
      <w:pPr>
        <w:pStyle w:val="BATOAHeading"/>
        <w:tabs>
          <w:tab w:val="right" w:leader="dot" w:pos="8280"/>
        </w:tabs>
        <w:ind w:left="1080" w:right="1080" w:hanging="720"/>
        <w:rPr>
          <w:rFonts w:ascii="Century" w:hAnsi="Century"/>
          <w:sz w:val="28"/>
          <w:szCs w:val="28"/>
        </w:rPr>
      </w:pPr>
      <w:bookmarkStart w:id="1" w:name="_BA95XTOA95Statutes"/>
      <w:bookmarkEnd w:id="1"/>
      <w:r w:rsidRPr="00FE6B27">
        <w:rPr>
          <w:rFonts w:ascii="Century" w:hAnsi="Century"/>
          <w:sz w:val="28"/>
          <w:szCs w:val="28"/>
        </w:rPr>
        <w:t>Other Authorities</w:t>
      </w:r>
    </w:p>
    <w:p w14:paraId="7AC694F2" w14:textId="73FE9252" w:rsidR="002F04B4" w:rsidRPr="008E0A0C" w:rsidRDefault="002F04B4" w:rsidP="002F04B4">
      <w:pPr>
        <w:pStyle w:val="BATOAEntry"/>
        <w:tabs>
          <w:tab w:val="right" w:leader="dot" w:pos="8280"/>
        </w:tabs>
        <w:ind w:left="1080" w:right="1080" w:firstLine="0"/>
        <w:rPr>
          <w:rFonts w:ascii="Century" w:hAnsi="Century"/>
          <w:sz w:val="28"/>
          <w:szCs w:val="28"/>
        </w:rPr>
      </w:pPr>
      <w:r w:rsidRPr="008E0A0C">
        <w:rPr>
          <w:rFonts w:ascii="Century" w:hAnsi="Century"/>
          <w:sz w:val="28"/>
          <w:szCs w:val="28"/>
        </w:rPr>
        <w:t>N.C.P.I. Crim. 206.17A</w:t>
      </w:r>
      <w:r w:rsidRPr="008E0A0C">
        <w:rPr>
          <w:rFonts w:ascii="Century" w:hAnsi="Century"/>
          <w:sz w:val="28"/>
          <w:szCs w:val="28"/>
        </w:rPr>
        <w:tab/>
      </w:r>
      <w:r w:rsidR="008E0A0C" w:rsidRPr="008E0A0C">
        <w:rPr>
          <w:rFonts w:ascii="Century" w:hAnsi="Century"/>
          <w:sz w:val="28"/>
          <w:szCs w:val="28"/>
        </w:rPr>
        <w:t>9, 11</w:t>
      </w:r>
    </w:p>
    <w:p w14:paraId="3C267350" w14:textId="35FAE612" w:rsidR="002F04B4" w:rsidRPr="008E0A0C" w:rsidRDefault="002F04B4" w:rsidP="002F04B4">
      <w:pPr>
        <w:pStyle w:val="BATOAEntry"/>
        <w:tabs>
          <w:tab w:val="right" w:leader="dot" w:pos="8280"/>
        </w:tabs>
        <w:ind w:left="1080" w:right="1080" w:firstLine="0"/>
        <w:rPr>
          <w:rFonts w:ascii="Century" w:hAnsi="Century"/>
          <w:sz w:val="28"/>
          <w:szCs w:val="28"/>
        </w:rPr>
      </w:pPr>
      <w:r w:rsidRPr="008E0A0C">
        <w:rPr>
          <w:rFonts w:ascii="Century" w:hAnsi="Century"/>
          <w:sz w:val="28"/>
          <w:szCs w:val="28"/>
        </w:rPr>
        <w:t>N.C.P.I. Crim. 208.15</w:t>
      </w:r>
      <w:r w:rsidRPr="008E0A0C">
        <w:rPr>
          <w:rFonts w:ascii="Century" w:hAnsi="Century"/>
          <w:sz w:val="28"/>
          <w:szCs w:val="28"/>
        </w:rPr>
        <w:tab/>
      </w:r>
      <w:hyperlink w:anchor="_BA_Cite_37" w:tgtFrame="Long: N.C. R. App. P. 10(c)(4)">
        <w:r w:rsidR="008E0A0C" w:rsidRPr="008E0A0C">
          <w:rPr>
            <w:rStyle w:val="ListLabel11"/>
          </w:rPr>
          <w:t>11</w:t>
        </w:r>
      </w:hyperlink>
    </w:p>
    <w:p w14:paraId="31B05E14" w14:textId="0A8B37E9" w:rsidR="002F04B4" w:rsidRPr="008E0A0C" w:rsidRDefault="002F04B4" w:rsidP="002F04B4">
      <w:pPr>
        <w:pStyle w:val="BATOAEntry"/>
        <w:tabs>
          <w:tab w:val="right" w:leader="dot" w:pos="8280"/>
        </w:tabs>
        <w:ind w:left="1080" w:right="1080" w:firstLine="0"/>
        <w:rPr>
          <w:rStyle w:val="ListLabel11"/>
        </w:rPr>
      </w:pPr>
      <w:r w:rsidRPr="008E0A0C">
        <w:rPr>
          <w:rFonts w:ascii="Century" w:hAnsi="Century"/>
          <w:sz w:val="28"/>
          <w:szCs w:val="28"/>
        </w:rPr>
        <w:t>N.C.P.I. Crim. 308.50</w:t>
      </w:r>
      <w:r w:rsidRPr="008E0A0C">
        <w:rPr>
          <w:rFonts w:ascii="Century" w:hAnsi="Century"/>
          <w:sz w:val="28"/>
          <w:szCs w:val="28"/>
        </w:rPr>
        <w:tab/>
      </w:r>
      <w:hyperlink w:anchor="_BA_Cite_37" w:tgtFrame="Long: N.C. R. App. P. 10(c)(4)">
        <w:r w:rsidR="008E0A0C" w:rsidRPr="008E0A0C">
          <w:rPr>
            <w:rStyle w:val="ListLabel11"/>
            <w:i/>
            <w:iCs/>
          </w:rPr>
          <w:t>passim</w:t>
        </w:r>
      </w:hyperlink>
    </w:p>
    <w:p w14:paraId="0DF87351" w14:textId="3BF91C85" w:rsidR="00166D53" w:rsidRDefault="00067013">
      <w:pPr>
        <w:pStyle w:val="BATOAEntry"/>
        <w:tabs>
          <w:tab w:val="right" w:leader="dot" w:pos="8280"/>
        </w:tabs>
        <w:ind w:left="1080" w:right="1080" w:firstLine="0"/>
        <w:sectPr w:rsidR="00166D53">
          <w:headerReference w:type="default" r:id="rId8"/>
          <w:pgSz w:w="12240" w:h="15840"/>
          <w:pgMar w:top="1440" w:right="1440" w:bottom="1440" w:left="1440" w:header="720" w:footer="0" w:gutter="0"/>
          <w:pgNumType w:fmt="lowerRoman" w:start="1"/>
          <w:cols w:space="720"/>
          <w:formProt w:val="0"/>
          <w:titlePg/>
          <w:docGrid w:linePitch="360"/>
        </w:sectPr>
      </w:pPr>
      <w:r w:rsidRPr="008E0A0C">
        <w:rPr>
          <w:rFonts w:ascii="Century" w:hAnsi="Century"/>
          <w:sz w:val="28"/>
          <w:szCs w:val="28"/>
        </w:rPr>
        <w:t>N.C. R. App. P. 10(</w:t>
      </w:r>
      <w:r w:rsidR="00FE6B27" w:rsidRPr="008E0A0C">
        <w:rPr>
          <w:rFonts w:ascii="Century" w:hAnsi="Century"/>
          <w:sz w:val="28"/>
          <w:szCs w:val="28"/>
        </w:rPr>
        <w:t>a</w:t>
      </w:r>
      <w:r w:rsidRPr="008E0A0C">
        <w:rPr>
          <w:rFonts w:ascii="Century" w:hAnsi="Century"/>
          <w:sz w:val="28"/>
          <w:szCs w:val="28"/>
        </w:rPr>
        <w:t>)(4)</w:t>
      </w:r>
      <w:r w:rsidRPr="008E0A0C">
        <w:rPr>
          <w:rFonts w:ascii="Century" w:hAnsi="Century"/>
          <w:sz w:val="28"/>
          <w:szCs w:val="28"/>
        </w:rPr>
        <w:tab/>
      </w:r>
      <w:hyperlink w:anchor="_BA_Cite_37" w:tgtFrame="Long: N.C. R. App. P. 10(c)(4)">
        <w:r w:rsidRPr="008E0A0C">
          <w:rPr>
            <w:rStyle w:val="ListLabel11"/>
          </w:rPr>
          <w:t>8</w:t>
        </w:r>
      </w:hyperlink>
      <w:bookmarkStart w:id="2" w:name="_BA95XTOA95OtherAuthorities"/>
      <w:bookmarkStart w:id="3" w:name="_BA_DraftTOALocation"/>
      <w:bookmarkStart w:id="4" w:name="_BA_TOAAll"/>
      <w:bookmarkEnd w:id="2"/>
      <w:bookmarkEnd w:id="3"/>
      <w:bookmarkEnd w:id="4"/>
    </w:p>
    <w:p w14:paraId="0DF87352" w14:textId="53768293" w:rsidR="00166D53" w:rsidRDefault="00F57135">
      <w:r>
        <w:rPr>
          <w:rFonts w:ascii="Century" w:hAnsi="Century"/>
          <w:sz w:val="28"/>
          <w:szCs w:val="28"/>
        </w:rPr>
        <w:lastRenderedPageBreak/>
        <w:t xml:space="preserve">No. </w:t>
      </w:r>
      <w:r w:rsidRPr="005E4B32">
        <w:rPr>
          <w:rFonts w:ascii="Century" w:hAnsi="Century"/>
          <w:sz w:val="28"/>
          <w:szCs w:val="28"/>
        </w:rPr>
        <w:t>COA 21-724</w:t>
      </w:r>
      <w:r w:rsidRPr="005E4B32">
        <w:rPr>
          <w:rFonts w:ascii="Century" w:hAnsi="Century"/>
          <w:sz w:val="28"/>
          <w:szCs w:val="28"/>
        </w:rPr>
        <w:tab/>
      </w:r>
      <w:r w:rsidRPr="005E4B32">
        <w:rPr>
          <w:rFonts w:ascii="Century" w:hAnsi="Century"/>
          <w:sz w:val="28"/>
          <w:szCs w:val="28"/>
        </w:rPr>
        <w:tab/>
      </w:r>
      <w:r w:rsidR="00067013">
        <w:rPr>
          <w:rFonts w:ascii="Century" w:hAnsi="Century"/>
          <w:sz w:val="28"/>
          <w:szCs w:val="28"/>
        </w:rPr>
        <w:tab/>
        <w:t xml:space="preserve"> </w:t>
      </w:r>
      <w:r w:rsidR="00067013">
        <w:rPr>
          <w:rFonts w:ascii="Century" w:hAnsi="Century"/>
          <w:sz w:val="28"/>
          <w:szCs w:val="28"/>
        </w:rPr>
        <w:tab/>
        <w:t xml:space="preserve">       </w:t>
      </w:r>
      <w:r w:rsidR="00067013">
        <w:rPr>
          <w:rFonts w:ascii="Century" w:hAnsi="Century"/>
          <w:sz w:val="28"/>
          <w:szCs w:val="28"/>
        </w:rPr>
        <w:tab/>
        <w:t xml:space="preserve">       </w:t>
      </w:r>
      <w:r>
        <w:rPr>
          <w:rFonts w:ascii="Century" w:hAnsi="Century"/>
          <w:sz w:val="28"/>
          <w:szCs w:val="28"/>
        </w:rPr>
        <w:tab/>
      </w:r>
      <w:r>
        <w:rPr>
          <w:rFonts w:ascii="Century" w:hAnsi="Century"/>
          <w:sz w:val="28"/>
          <w:szCs w:val="28"/>
        </w:rPr>
        <w:tab/>
      </w:r>
      <w:r w:rsidR="00067013">
        <w:rPr>
          <w:rFonts w:ascii="Century" w:hAnsi="Century"/>
          <w:sz w:val="28"/>
          <w:szCs w:val="28"/>
        </w:rPr>
        <w:t xml:space="preserve"> </w:t>
      </w:r>
      <w:r>
        <w:rPr>
          <w:rFonts w:ascii="Century" w:hAnsi="Century"/>
          <w:sz w:val="28"/>
          <w:szCs w:val="28"/>
        </w:rPr>
        <w:t xml:space="preserve">       </w:t>
      </w:r>
      <w:r w:rsidR="00067013">
        <w:rPr>
          <w:rFonts w:ascii="Century" w:hAnsi="Century"/>
          <w:sz w:val="28"/>
          <w:szCs w:val="28"/>
        </w:rPr>
        <w:t>DISTRICT FIVE</w:t>
      </w:r>
    </w:p>
    <w:p w14:paraId="0DF87353" w14:textId="77777777" w:rsidR="00166D53" w:rsidRDefault="00166D53">
      <w:pPr>
        <w:rPr>
          <w:rFonts w:ascii="Century" w:hAnsi="Century"/>
          <w:sz w:val="28"/>
          <w:szCs w:val="28"/>
        </w:rPr>
      </w:pPr>
    </w:p>
    <w:p w14:paraId="0DF87354" w14:textId="77777777" w:rsidR="00166D53" w:rsidRDefault="00166D53">
      <w:pPr>
        <w:rPr>
          <w:rFonts w:ascii="Century" w:hAnsi="Century"/>
          <w:sz w:val="28"/>
          <w:szCs w:val="28"/>
        </w:rPr>
      </w:pPr>
    </w:p>
    <w:p w14:paraId="0DF87355" w14:textId="77777777" w:rsidR="00166D53" w:rsidRDefault="00067013">
      <w:pPr>
        <w:jc w:val="center"/>
        <w:rPr>
          <w:rFonts w:ascii="Century" w:hAnsi="Century"/>
          <w:sz w:val="28"/>
          <w:szCs w:val="28"/>
        </w:rPr>
      </w:pPr>
      <w:r>
        <w:rPr>
          <w:rFonts w:ascii="Century" w:hAnsi="Century"/>
          <w:sz w:val="28"/>
          <w:szCs w:val="28"/>
        </w:rPr>
        <w:t>NORTH CAROLINA COURT OF APPEALS</w:t>
      </w:r>
    </w:p>
    <w:p w14:paraId="0DF87356" w14:textId="77777777" w:rsidR="00166D53" w:rsidRDefault="00166D53">
      <w:pPr>
        <w:jc w:val="center"/>
        <w:rPr>
          <w:rFonts w:ascii="Century" w:hAnsi="Century"/>
          <w:sz w:val="28"/>
          <w:szCs w:val="28"/>
        </w:rPr>
      </w:pPr>
    </w:p>
    <w:p w14:paraId="0DF87357" w14:textId="77777777" w:rsidR="00166D53" w:rsidRDefault="00067013">
      <w:pPr>
        <w:tabs>
          <w:tab w:val="left" w:pos="1260"/>
          <w:tab w:val="left" w:pos="9180"/>
        </w:tabs>
        <w:jc w:val="center"/>
        <w:rPr>
          <w:rFonts w:ascii="Century" w:hAnsi="Century"/>
          <w:sz w:val="28"/>
          <w:szCs w:val="28"/>
        </w:rPr>
      </w:pPr>
      <w:r>
        <w:rPr>
          <w:rFonts w:ascii="Century" w:hAnsi="Century"/>
          <w:sz w:val="28"/>
          <w:szCs w:val="28"/>
        </w:rPr>
        <w:t>****************************************************</w:t>
      </w:r>
    </w:p>
    <w:p w14:paraId="0DF87358" w14:textId="77777777" w:rsidR="00166D53" w:rsidRDefault="00166D53">
      <w:pPr>
        <w:tabs>
          <w:tab w:val="left" w:pos="1260"/>
          <w:tab w:val="left" w:pos="9180"/>
        </w:tabs>
        <w:rPr>
          <w:rFonts w:ascii="Century" w:hAnsi="Century"/>
          <w:sz w:val="28"/>
          <w:szCs w:val="28"/>
        </w:rPr>
      </w:pPr>
    </w:p>
    <w:p w14:paraId="0DF87359" w14:textId="77777777" w:rsidR="00166D53" w:rsidRDefault="00067013">
      <w:pPr>
        <w:tabs>
          <w:tab w:val="left" w:pos="4590"/>
        </w:tabs>
        <w:rPr>
          <w:rFonts w:ascii="Century" w:hAnsi="Century"/>
          <w:sz w:val="28"/>
          <w:szCs w:val="28"/>
        </w:rPr>
      </w:pPr>
      <w:r>
        <w:rPr>
          <w:rFonts w:ascii="Century" w:hAnsi="Century"/>
          <w:sz w:val="28"/>
          <w:szCs w:val="28"/>
        </w:rPr>
        <w:t>STATE OF NORTH CAROLINA</w:t>
      </w:r>
      <w:r>
        <w:rPr>
          <w:rFonts w:ascii="Century" w:hAnsi="Century"/>
          <w:sz w:val="28"/>
          <w:szCs w:val="28"/>
        </w:rPr>
        <w:tab/>
        <w:t>)</w:t>
      </w:r>
      <w:r>
        <w:rPr>
          <w:rFonts w:ascii="Century" w:hAnsi="Century"/>
          <w:sz w:val="28"/>
          <w:szCs w:val="28"/>
        </w:rPr>
        <w:tab/>
      </w:r>
      <w:r>
        <w:rPr>
          <w:rFonts w:ascii="Century" w:hAnsi="Century"/>
          <w:sz w:val="28"/>
          <w:szCs w:val="28"/>
        </w:rPr>
        <w:tab/>
      </w:r>
      <w:r>
        <w:rPr>
          <w:rFonts w:ascii="Century" w:hAnsi="Century"/>
          <w:sz w:val="28"/>
          <w:szCs w:val="28"/>
        </w:rPr>
        <w:tab/>
        <w:t xml:space="preserve">   </w:t>
      </w:r>
      <w:r>
        <w:rPr>
          <w:rFonts w:ascii="Century" w:hAnsi="Century"/>
          <w:sz w:val="28"/>
          <w:szCs w:val="28"/>
        </w:rPr>
        <w:tab/>
        <w:t xml:space="preserve">              </w:t>
      </w:r>
    </w:p>
    <w:p w14:paraId="0DF8735A" w14:textId="77777777" w:rsidR="00166D53" w:rsidRDefault="00067013">
      <w:pPr>
        <w:tabs>
          <w:tab w:val="left" w:pos="4590"/>
          <w:tab w:val="left" w:pos="5400"/>
        </w:tabs>
        <w:rPr>
          <w:rFonts w:ascii="Century" w:hAnsi="Century"/>
          <w:sz w:val="28"/>
          <w:szCs w:val="28"/>
        </w:rPr>
      </w:pPr>
      <w:r>
        <w:rPr>
          <w:rFonts w:ascii="Century" w:hAnsi="Century"/>
          <w:sz w:val="28"/>
          <w:szCs w:val="28"/>
        </w:rPr>
        <w:tab/>
        <w:t xml:space="preserve">)            </w:t>
      </w:r>
    </w:p>
    <w:p w14:paraId="0DF8735B" w14:textId="77777777" w:rsidR="00166D53" w:rsidRDefault="00067013">
      <w:pPr>
        <w:tabs>
          <w:tab w:val="left" w:pos="4590"/>
          <w:tab w:val="left" w:pos="5400"/>
        </w:tabs>
        <w:ind w:firstLine="1620"/>
      </w:pPr>
      <w:r>
        <w:rPr>
          <w:rFonts w:ascii="Century" w:hAnsi="Century"/>
          <w:sz w:val="28"/>
          <w:szCs w:val="28"/>
        </w:rPr>
        <w:t>v.</w:t>
      </w:r>
      <w:proofErr w:type="gramStart"/>
      <w:r>
        <w:rPr>
          <w:rFonts w:ascii="Century" w:hAnsi="Century"/>
          <w:sz w:val="28"/>
          <w:szCs w:val="28"/>
        </w:rPr>
        <w:tab/>
        <w:t xml:space="preserve">)   </w:t>
      </w:r>
      <w:proofErr w:type="gramEnd"/>
      <w:r>
        <w:rPr>
          <w:rFonts w:ascii="Century" w:hAnsi="Century"/>
          <w:sz w:val="28"/>
          <w:szCs w:val="28"/>
        </w:rPr>
        <w:t xml:space="preserve">     </w:t>
      </w:r>
      <w:r>
        <w:rPr>
          <w:rFonts w:ascii="Century" w:hAnsi="Century"/>
          <w:sz w:val="28"/>
          <w:szCs w:val="28"/>
          <w:u w:val="single"/>
        </w:rPr>
        <w:t>From Pender County</w:t>
      </w:r>
    </w:p>
    <w:p w14:paraId="0DF8735C" w14:textId="77777777" w:rsidR="00166D53" w:rsidRDefault="00067013">
      <w:pPr>
        <w:tabs>
          <w:tab w:val="left" w:pos="4590"/>
          <w:tab w:val="left" w:pos="5400"/>
        </w:tabs>
        <w:rPr>
          <w:rFonts w:ascii="Century" w:hAnsi="Century"/>
          <w:sz w:val="28"/>
          <w:szCs w:val="28"/>
        </w:rPr>
      </w:pPr>
      <w:r>
        <w:rPr>
          <w:rFonts w:ascii="Century" w:hAnsi="Century"/>
          <w:sz w:val="28"/>
          <w:szCs w:val="28"/>
        </w:rPr>
        <w:tab/>
        <w:t xml:space="preserve">)        </w:t>
      </w:r>
    </w:p>
    <w:p w14:paraId="0DF8735D" w14:textId="055E193F" w:rsidR="00166D53" w:rsidRDefault="009C63A1">
      <w:pPr>
        <w:tabs>
          <w:tab w:val="left" w:pos="4590"/>
          <w:tab w:val="left" w:pos="5400"/>
        </w:tabs>
      </w:pPr>
      <w:r>
        <w:rPr>
          <w:rFonts w:ascii="Century" w:hAnsi="Century"/>
          <w:sz w:val="28"/>
          <w:szCs w:val="28"/>
        </w:rPr>
        <w:t>ALBERTO</w:t>
      </w:r>
      <w:r w:rsidR="00067013">
        <w:rPr>
          <w:rFonts w:ascii="Century" w:hAnsi="Century"/>
          <w:sz w:val="28"/>
          <w:szCs w:val="28"/>
        </w:rPr>
        <w:t xml:space="preserve"> PEREZ</w:t>
      </w:r>
      <w:r w:rsidR="00067013">
        <w:rPr>
          <w:rFonts w:ascii="Century" w:hAnsi="Century"/>
          <w:sz w:val="28"/>
          <w:szCs w:val="28"/>
        </w:rPr>
        <w:tab/>
        <w:t xml:space="preserve">)         </w:t>
      </w:r>
    </w:p>
    <w:p w14:paraId="0DF8735E" w14:textId="77777777" w:rsidR="00166D53" w:rsidRDefault="00166D53">
      <w:pPr>
        <w:tabs>
          <w:tab w:val="left" w:pos="4590"/>
          <w:tab w:val="left" w:pos="5400"/>
        </w:tabs>
        <w:rPr>
          <w:rFonts w:ascii="Century" w:hAnsi="Century"/>
          <w:sz w:val="28"/>
          <w:szCs w:val="28"/>
        </w:rPr>
      </w:pPr>
    </w:p>
    <w:p w14:paraId="0DF8735F" w14:textId="77777777" w:rsidR="00166D53" w:rsidRDefault="00067013">
      <w:pPr>
        <w:jc w:val="center"/>
        <w:rPr>
          <w:rFonts w:ascii="Century" w:hAnsi="Century"/>
          <w:sz w:val="28"/>
          <w:szCs w:val="28"/>
        </w:rPr>
      </w:pPr>
      <w:r>
        <w:rPr>
          <w:rFonts w:ascii="Century" w:hAnsi="Century"/>
          <w:sz w:val="28"/>
          <w:szCs w:val="28"/>
        </w:rPr>
        <w:t>****************************************************</w:t>
      </w:r>
    </w:p>
    <w:p w14:paraId="0DF87360" w14:textId="77777777" w:rsidR="00166D53" w:rsidRDefault="00166D53">
      <w:pPr>
        <w:jc w:val="center"/>
        <w:rPr>
          <w:rFonts w:ascii="Century" w:hAnsi="Century"/>
          <w:sz w:val="28"/>
          <w:szCs w:val="28"/>
        </w:rPr>
      </w:pPr>
    </w:p>
    <w:p w14:paraId="0DF87361" w14:textId="77777777" w:rsidR="00166D53" w:rsidRDefault="00067013">
      <w:pPr>
        <w:pStyle w:val="Heading1"/>
        <w:rPr>
          <w:rFonts w:ascii="Century" w:hAnsi="Century"/>
          <w:sz w:val="28"/>
          <w:szCs w:val="28"/>
        </w:rPr>
      </w:pPr>
      <w:r>
        <w:rPr>
          <w:rFonts w:ascii="Century" w:hAnsi="Century"/>
          <w:sz w:val="28"/>
          <w:szCs w:val="28"/>
        </w:rPr>
        <w:t>DEFENDANT-APPELLANT’S BRIEF</w:t>
      </w:r>
    </w:p>
    <w:p w14:paraId="0DF87362" w14:textId="77777777" w:rsidR="00166D53" w:rsidRDefault="00166D53">
      <w:pPr>
        <w:rPr>
          <w:rFonts w:ascii="Century" w:hAnsi="Century"/>
          <w:sz w:val="28"/>
          <w:szCs w:val="28"/>
        </w:rPr>
      </w:pPr>
    </w:p>
    <w:p w14:paraId="0DF87363" w14:textId="77777777" w:rsidR="00166D53" w:rsidRDefault="00067013">
      <w:pPr>
        <w:jc w:val="center"/>
        <w:rPr>
          <w:rFonts w:ascii="Century" w:hAnsi="Century"/>
          <w:sz w:val="28"/>
          <w:szCs w:val="28"/>
        </w:rPr>
      </w:pPr>
      <w:r>
        <w:rPr>
          <w:rFonts w:ascii="Century" w:hAnsi="Century"/>
          <w:sz w:val="28"/>
          <w:szCs w:val="28"/>
        </w:rPr>
        <w:t>****************************************************</w:t>
      </w:r>
    </w:p>
    <w:p w14:paraId="0DF87364" w14:textId="693C0692" w:rsidR="00166D53" w:rsidRDefault="00067013">
      <w:pPr>
        <w:pStyle w:val="Heading2"/>
        <w:rPr>
          <w:rFonts w:ascii="Century" w:hAnsi="Century"/>
          <w:sz w:val="28"/>
          <w:szCs w:val="28"/>
        </w:rPr>
      </w:pPr>
      <w:r>
        <w:rPr>
          <w:rFonts w:ascii="Century" w:hAnsi="Century"/>
          <w:sz w:val="28"/>
          <w:szCs w:val="28"/>
        </w:rPr>
        <w:t>ISSUE PRESENTED</w:t>
      </w:r>
    </w:p>
    <w:p w14:paraId="0DF87365" w14:textId="77777777" w:rsidR="00166D53" w:rsidRDefault="00166D53">
      <w:pPr>
        <w:pStyle w:val="BodyTextIndent"/>
        <w:spacing w:line="240" w:lineRule="auto"/>
        <w:ind w:firstLine="0"/>
        <w:jc w:val="both"/>
        <w:rPr>
          <w:rFonts w:ascii="Century" w:hAnsi="Century"/>
          <w:sz w:val="28"/>
          <w:szCs w:val="28"/>
        </w:rPr>
      </w:pPr>
    </w:p>
    <w:p w14:paraId="0DF87366" w14:textId="1F7CF51F" w:rsidR="00166D53" w:rsidRPr="001E7218" w:rsidRDefault="00067013">
      <w:pPr>
        <w:pStyle w:val="BodyTextIndent"/>
        <w:numPr>
          <w:ilvl w:val="0"/>
          <w:numId w:val="4"/>
        </w:numPr>
        <w:spacing w:line="240" w:lineRule="auto"/>
        <w:jc w:val="both"/>
        <w:rPr>
          <w:rFonts w:ascii="Century" w:hAnsi="Century"/>
          <w:sz w:val="28"/>
          <w:szCs w:val="28"/>
        </w:rPr>
      </w:pPr>
      <w:r w:rsidRPr="001E7218">
        <w:rPr>
          <w:rFonts w:ascii="Century" w:hAnsi="Century"/>
          <w:sz w:val="28"/>
          <w:szCs w:val="28"/>
        </w:rPr>
        <w:t xml:space="preserve">DID THE TRIAL COURT </w:t>
      </w:r>
      <w:r w:rsidR="00A22688" w:rsidRPr="001E7218">
        <w:rPr>
          <w:rFonts w:ascii="Century" w:hAnsi="Century"/>
          <w:sz w:val="28"/>
          <w:szCs w:val="28"/>
        </w:rPr>
        <w:t xml:space="preserve">ERR OR </w:t>
      </w:r>
      <w:r w:rsidR="004648EE" w:rsidRPr="001E7218">
        <w:rPr>
          <w:rFonts w:ascii="Century" w:hAnsi="Century"/>
          <w:sz w:val="28"/>
          <w:szCs w:val="28"/>
        </w:rPr>
        <w:t xml:space="preserve">PLAINLY </w:t>
      </w:r>
      <w:r w:rsidRPr="001E7218">
        <w:rPr>
          <w:rFonts w:ascii="Century" w:hAnsi="Century"/>
          <w:sz w:val="28"/>
          <w:szCs w:val="28"/>
        </w:rPr>
        <w:t xml:space="preserve">ERR IN </w:t>
      </w:r>
      <w:r w:rsidR="001E7218" w:rsidRPr="001E7218">
        <w:rPr>
          <w:rFonts w:ascii="Century" w:hAnsi="Century"/>
          <w:sz w:val="28"/>
          <w:szCs w:val="28"/>
        </w:rPr>
        <w:t xml:space="preserve">ITS INSTRUCTIONS </w:t>
      </w:r>
      <w:r w:rsidR="00D41ABF">
        <w:rPr>
          <w:rFonts w:ascii="Century" w:hAnsi="Century"/>
          <w:sz w:val="28"/>
          <w:szCs w:val="28"/>
        </w:rPr>
        <w:t>TO THE JURY WHERE IT OMITTED THE DEFINITION OF</w:t>
      </w:r>
      <w:r w:rsidR="001E7218" w:rsidRPr="001E7218">
        <w:rPr>
          <w:rFonts w:ascii="Century" w:hAnsi="Century"/>
          <w:sz w:val="28"/>
          <w:szCs w:val="28"/>
        </w:rPr>
        <w:t xml:space="preserve"> DEFENSE OF A</w:t>
      </w:r>
      <w:r w:rsidR="00D41ABF">
        <w:rPr>
          <w:rFonts w:ascii="Century" w:hAnsi="Century"/>
          <w:sz w:val="28"/>
          <w:szCs w:val="28"/>
        </w:rPr>
        <w:t xml:space="preserve"> FAMILY MEMBER</w:t>
      </w:r>
      <w:r w:rsidR="001E7218" w:rsidRPr="001E7218">
        <w:rPr>
          <w:rFonts w:ascii="Century" w:hAnsi="Century"/>
          <w:sz w:val="28"/>
          <w:szCs w:val="28"/>
        </w:rPr>
        <w:t>?</w:t>
      </w:r>
    </w:p>
    <w:p w14:paraId="0DF87367" w14:textId="77777777" w:rsidR="00166D53" w:rsidRDefault="00166D53">
      <w:pPr>
        <w:pStyle w:val="BodyTextIndent"/>
        <w:spacing w:line="240" w:lineRule="auto"/>
        <w:ind w:left="1080" w:firstLine="0"/>
        <w:jc w:val="both"/>
        <w:rPr>
          <w:rFonts w:ascii="Century" w:hAnsi="Century"/>
          <w:sz w:val="28"/>
          <w:szCs w:val="28"/>
          <w:highlight w:val="yellow"/>
        </w:rPr>
      </w:pPr>
    </w:p>
    <w:p w14:paraId="0DF87369" w14:textId="77777777" w:rsidR="00166D53" w:rsidRDefault="00166D53">
      <w:pPr>
        <w:pStyle w:val="BodyTextIndent"/>
        <w:spacing w:line="240" w:lineRule="auto"/>
        <w:ind w:left="720" w:hanging="720"/>
        <w:jc w:val="both"/>
        <w:rPr>
          <w:rFonts w:ascii="Century" w:hAnsi="Century"/>
          <w:sz w:val="28"/>
          <w:szCs w:val="28"/>
        </w:rPr>
      </w:pPr>
    </w:p>
    <w:p w14:paraId="0DF8736A" w14:textId="77777777" w:rsidR="00166D53" w:rsidRDefault="00166D53">
      <w:pPr>
        <w:tabs>
          <w:tab w:val="right" w:leader="dot" w:pos="8820"/>
        </w:tabs>
        <w:ind w:right="900"/>
        <w:jc w:val="both"/>
        <w:rPr>
          <w:rFonts w:ascii="Century" w:hAnsi="Century"/>
          <w:sz w:val="28"/>
          <w:szCs w:val="28"/>
        </w:rPr>
      </w:pPr>
    </w:p>
    <w:p w14:paraId="0DF8736B" w14:textId="77777777" w:rsidR="00166D53" w:rsidRDefault="00166D53">
      <w:pPr>
        <w:pStyle w:val="BodyTextIndent"/>
        <w:spacing w:line="240" w:lineRule="auto"/>
        <w:ind w:left="720" w:hanging="720"/>
        <w:jc w:val="both"/>
        <w:rPr>
          <w:rFonts w:ascii="Century" w:hAnsi="Century"/>
          <w:sz w:val="28"/>
          <w:szCs w:val="28"/>
        </w:rPr>
      </w:pPr>
    </w:p>
    <w:p w14:paraId="0DF8736C" w14:textId="77777777" w:rsidR="00166D53" w:rsidRDefault="00166D53">
      <w:pPr>
        <w:pStyle w:val="BodyTextIndent"/>
        <w:spacing w:line="240" w:lineRule="auto"/>
        <w:ind w:left="720" w:hanging="720"/>
        <w:jc w:val="both"/>
        <w:rPr>
          <w:rFonts w:ascii="Century" w:hAnsi="Century"/>
          <w:sz w:val="28"/>
          <w:szCs w:val="28"/>
        </w:rPr>
      </w:pPr>
    </w:p>
    <w:p w14:paraId="0DF8736D" w14:textId="77777777" w:rsidR="00166D53" w:rsidRDefault="00166D53">
      <w:pPr>
        <w:pStyle w:val="BodyTextIndent"/>
        <w:spacing w:line="240" w:lineRule="auto"/>
        <w:ind w:left="720" w:hanging="720"/>
        <w:jc w:val="both"/>
        <w:rPr>
          <w:rFonts w:ascii="Century" w:hAnsi="Century"/>
          <w:sz w:val="28"/>
          <w:szCs w:val="28"/>
        </w:rPr>
      </w:pPr>
    </w:p>
    <w:p w14:paraId="0DF8736E" w14:textId="77777777" w:rsidR="00166D53" w:rsidRDefault="00166D53">
      <w:pPr>
        <w:pStyle w:val="BodyTextIndent"/>
        <w:spacing w:line="240" w:lineRule="auto"/>
        <w:ind w:left="720" w:hanging="720"/>
        <w:jc w:val="both"/>
        <w:rPr>
          <w:rFonts w:ascii="Century" w:hAnsi="Century"/>
          <w:sz w:val="28"/>
          <w:szCs w:val="28"/>
        </w:rPr>
      </w:pPr>
    </w:p>
    <w:p w14:paraId="0DF8736F" w14:textId="77777777" w:rsidR="00166D53" w:rsidRDefault="00166D53">
      <w:pPr>
        <w:pStyle w:val="BodyTextIndent"/>
        <w:spacing w:line="240" w:lineRule="auto"/>
        <w:ind w:left="720" w:hanging="720"/>
        <w:jc w:val="both"/>
        <w:rPr>
          <w:rFonts w:ascii="Century" w:hAnsi="Century"/>
          <w:sz w:val="28"/>
          <w:szCs w:val="28"/>
        </w:rPr>
      </w:pPr>
    </w:p>
    <w:p w14:paraId="0DF87370" w14:textId="77777777" w:rsidR="00166D53" w:rsidRDefault="00166D53">
      <w:pPr>
        <w:rPr>
          <w:rFonts w:ascii="Century" w:hAnsi="Century"/>
          <w:b/>
          <w:sz w:val="28"/>
          <w:szCs w:val="28"/>
          <w:u w:val="single"/>
        </w:rPr>
      </w:pPr>
    </w:p>
    <w:p w14:paraId="776ABC35" w14:textId="77777777" w:rsidR="004648EE" w:rsidRDefault="004648EE">
      <w:pPr>
        <w:spacing w:line="240" w:lineRule="auto"/>
        <w:rPr>
          <w:rFonts w:ascii="Century" w:hAnsi="Century"/>
          <w:b/>
          <w:sz w:val="28"/>
          <w:szCs w:val="28"/>
          <w:u w:val="single"/>
        </w:rPr>
      </w:pPr>
      <w:r>
        <w:rPr>
          <w:rFonts w:ascii="Century" w:hAnsi="Century"/>
          <w:b/>
          <w:sz w:val="28"/>
          <w:szCs w:val="28"/>
          <w:u w:val="single"/>
        </w:rPr>
        <w:br w:type="page"/>
      </w:r>
    </w:p>
    <w:p w14:paraId="0DF87371" w14:textId="440B0FD2" w:rsidR="00166D53" w:rsidRDefault="00067013">
      <w:pPr>
        <w:spacing w:line="480" w:lineRule="auto"/>
        <w:jc w:val="center"/>
        <w:rPr>
          <w:rFonts w:ascii="Century" w:hAnsi="Century"/>
          <w:b/>
          <w:sz w:val="28"/>
          <w:szCs w:val="28"/>
          <w:u w:val="single"/>
        </w:rPr>
      </w:pPr>
      <w:r>
        <w:rPr>
          <w:rFonts w:ascii="Century" w:hAnsi="Century"/>
          <w:b/>
          <w:sz w:val="28"/>
          <w:szCs w:val="28"/>
          <w:u w:val="single"/>
        </w:rPr>
        <w:lastRenderedPageBreak/>
        <w:t>STATEMENT OF THE CASE</w:t>
      </w:r>
    </w:p>
    <w:p w14:paraId="0DF87372" w14:textId="7C06F9BC" w:rsidR="00166D53" w:rsidRDefault="00067013">
      <w:pPr>
        <w:spacing w:line="480" w:lineRule="auto"/>
        <w:ind w:firstLine="720"/>
        <w:jc w:val="both"/>
      </w:pPr>
      <w:r>
        <w:rPr>
          <w:rFonts w:ascii="Century" w:hAnsi="Century"/>
          <w:sz w:val="28"/>
          <w:szCs w:val="28"/>
        </w:rPr>
        <w:t xml:space="preserve">This case came on for trial at the 26 April 2021 criminal session of Pender County Superior Court, before the Honorable R. Kent Harrell, on an indictment charging Mr. Perez with attempted first-degree murder, assault with a deadly weapon with </w:t>
      </w:r>
      <w:r w:rsidRPr="00297137">
        <w:rPr>
          <w:rFonts w:ascii="Century" w:hAnsi="Century"/>
          <w:sz w:val="28"/>
          <w:szCs w:val="28"/>
        </w:rPr>
        <w:t xml:space="preserve">intent to kill inflicting serious injury, and assault and battery.  (R pp 1, 4-5) On </w:t>
      </w:r>
      <w:r w:rsidR="00297137" w:rsidRPr="00297137">
        <w:rPr>
          <w:rFonts w:ascii="Century" w:hAnsi="Century"/>
          <w:sz w:val="28"/>
          <w:szCs w:val="28"/>
        </w:rPr>
        <w:t>29 April 2021</w:t>
      </w:r>
      <w:r w:rsidRPr="00297137">
        <w:rPr>
          <w:rFonts w:ascii="Century" w:hAnsi="Century"/>
          <w:sz w:val="28"/>
          <w:szCs w:val="28"/>
        </w:rPr>
        <w:t xml:space="preserve">, the jury found Mr. Perez not guilty of attempted first-degree murder but guilty of assault with a </w:t>
      </w:r>
      <w:r w:rsidRPr="009A6876">
        <w:rPr>
          <w:rFonts w:ascii="Century" w:hAnsi="Century"/>
          <w:sz w:val="28"/>
          <w:szCs w:val="28"/>
        </w:rPr>
        <w:t xml:space="preserve">deadly weapon inflicting serious injury. The assault and battery charge </w:t>
      </w:r>
      <w:proofErr w:type="gramStart"/>
      <w:r w:rsidRPr="009A6876">
        <w:rPr>
          <w:rFonts w:ascii="Century" w:hAnsi="Century"/>
          <w:sz w:val="28"/>
          <w:szCs w:val="28"/>
        </w:rPr>
        <w:t>was</w:t>
      </w:r>
      <w:proofErr w:type="gramEnd"/>
      <w:r w:rsidRPr="009A6876">
        <w:rPr>
          <w:rFonts w:ascii="Century" w:hAnsi="Century"/>
          <w:sz w:val="28"/>
          <w:szCs w:val="28"/>
        </w:rPr>
        <w:t xml:space="preserve"> dismissed.  (R pp 40, 45</w:t>
      </w:r>
      <w:r w:rsidR="00AA52E7">
        <w:rPr>
          <w:rFonts w:ascii="Century" w:hAnsi="Century"/>
          <w:sz w:val="28"/>
          <w:szCs w:val="28"/>
        </w:rPr>
        <w:t xml:space="preserve">; T p </w:t>
      </w:r>
      <w:r w:rsidR="00A04104">
        <w:rPr>
          <w:rFonts w:ascii="Century" w:hAnsi="Century"/>
          <w:sz w:val="28"/>
          <w:szCs w:val="28"/>
        </w:rPr>
        <w:t>394</w:t>
      </w:r>
      <w:r w:rsidRPr="009A6876">
        <w:rPr>
          <w:rFonts w:ascii="Century" w:hAnsi="Century"/>
          <w:sz w:val="28"/>
          <w:szCs w:val="28"/>
        </w:rPr>
        <w:t xml:space="preserve">) Mr. Perez was sentenced to 28 to 46 months’ imprisonment. (R pp 43-44; T p </w:t>
      </w:r>
      <w:r w:rsidR="009A6876" w:rsidRPr="009A6876">
        <w:rPr>
          <w:rFonts w:ascii="Century" w:hAnsi="Century"/>
          <w:sz w:val="28"/>
          <w:szCs w:val="28"/>
        </w:rPr>
        <w:t>448</w:t>
      </w:r>
      <w:r w:rsidRPr="009A6876">
        <w:rPr>
          <w:rFonts w:ascii="Century" w:hAnsi="Century"/>
          <w:sz w:val="28"/>
          <w:szCs w:val="28"/>
        </w:rPr>
        <w:t>) Mr. Perez gave oral notice of appeal. (R pp 47-48; T pp 448-49)</w:t>
      </w:r>
      <w:r>
        <w:rPr>
          <w:rFonts w:ascii="Century" w:hAnsi="Century"/>
          <w:sz w:val="28"/>
          <w:szCs w:val="28"/>
        </w:rPr>
        <w:t xml:space="preserve"> </w:t>
      </w:r>
    </w:p>
    <w:p w14:paraId="0DF87373" w14:textId="77777777" w:rsidR="00166D53" w:rsidRDefault="00067013">
      <w:pPr>
        <w:pStyle w:val="BodyTextIndent"/>
        <w:ind w:firstLine="0"/>
        <w:jc w:val="center"/>
        <w:rPr>
          <w:rFonts w:ascii="Century" w:hAnsi="Century"/>
          <w:b/>
          <w:bCs/>
          <w:sz w:val="28"/>
          <w:szCs w:val="28"/>
          <w:u w:val="single"/>
        </w:rPr>
      </w:pPr>
      <w:r>
        <w:rPr>
          <w:rFonts w:ascii="Century" w:hAnsi="Century"/>
          <w:b/>
          <w:bCs/>
          <w:sz w:val="28"/>
          <w:szCs w:val="28"/>
          <w:u w:val="single"/>
        </w:rPr>
        <w:t>STATEMENT OF GROUNDS FOR APPELLATE REVIEW</w:t>
      </w:r>
    </w:p>
    <w:p w14:paraId="0DF87374" w14:textId="77777777" w:rsidR="00166D53" w:rsidRDefault="00067013">
      <w:pPr>
        <w:pStyle w:val="BodyTextIndent2"/>
        <w:ind w:left="0" w:firstLine="720"/>
        <w:jc w:val="both"/>
      </w:pPr>
      <w:r>
        <w:rPr>
          <w:rFonts w:ascii="Century" w:hAnsi="Century"/>
          <w:sz w:val="28"/>
          <w:szCs w:val="28"/>
        </w:rPr>
        <w:t>Mr. Perez appeals pursuant to N.C. Gen. Stat. §§ 7A-27(b) and 15A-1444(a) from a final judgment entered in Pender County Superior Court.</w:t>
      </w:r>
    </w:p>
    <w:p w14:paraId="0DF87375" w14:textId="77777777" w:rsidR="00166D53" w:rsidRDefault="00067013">
      <w:pPr>
        <w:pStyle w:val="BodyTextIndent2"/>
        <w:ind w:left="0"/>
        <w:jc w:val="center"/>
        <w:rPr>
          <w:rFonts w:ascii="Century" w:hAnsi="Century"/>
          <w:b/>
          <w:sz w:val="28"/>
          <w:szCs w:val="28"/>
        </w:rPr>
      </w:pPr>
      <w:r>
        <w:rPr>
          <w:rFonts w:ascii="Century" w:hAnsi="Century"/>
          <w:b/>
          <w:sz w:val="28"/>
          <w:szCs w:val="28"/>
          <w:u w:val="single"/>
        </w:rPr>
        <w:t>STATEMENT OF FACTS</w:t>
      </w:r>
    </w:p>
    <w:p w14:paraId="1F6E766E" w14:textId="41E361DA" w:rsidR="000D73B4" w:rsidRPr="000D73B4" w:rsidRDefault="000D73B4" w:rsidP="000D73B4">
      <w:pPr>
        <w:spacing w:line="480" w:lineRule="auto"/>
        <w:jc w:val="both"/>
        <w:rPr>
          <w:rFonts w:ascii="Century" w:hAnsi="Century"/>
          <w:sz w:val="28"/>
          <w:szCs w:val="28"/>
          <w:u w:val="single"/>
        </w:rPr>
      </w:pPr>
      <w:r>
        <w:rPr>
          <w:rFonts w:ascii="Century" w:hAnsi="Century"/>
          <w:sz w:val="28"/>
          <w:szCs w:val="28"/>
          <w:u w:val="single"/>
        </w:rPr>
        <w:t>The Evidence at Trial</w:t>
      </w:r>
    </w:p>
    <w:p w14:paraId="0DF87376" w14:textId="38A615F8" w:rsidR="00166D53" w:rsidRDefault="00C21E8D" w:rsidP="00DD0E4B">
      <w:pPr>
        <w:spacing w:line="480" w:lineRule="auto"/>
        <w:ind w:firstLine="720"/>
        <w:jc w:val="both"/>
        <w:rPr>
          <w:rFonts w:ascii="Century" w:hAnsi="Century"/>
          <w:sz w:val="28"/>
          <w:szCs w:val="28"/>
        </w:rPr>
      </w:pPr>
      <w:r w:rsidRPr="00217051">
        <w:rPr>
          <w:rFonts w:ascii="Century" w:hAnsi="Century"/>
          <w:sz w:val="28"/>
          <w:szCs w:val="28"/>
        </w:rPr>
        <w:t xml:space="preserve">On </w:t>
      </w:r>
      <w:r w:rsidR="00760C3B" w:rsidRPr="00217051">
        <w:rPr>
          <w:rFonts w:ascii="Century" w:hAnsi="Century"/>
          <w:sz w:val="28"/>
          <w:szCs w:val="28"/>
        </w:rPr>
        <w:t>J</w:t>
      </w:r>
      <w:r w:rsidR="00217051" w:rsidRPr="00217051">
        <w:rPr>
          <w:rFonts w:ascii="Century" w:hAnsi="Century"/>
          <w:sz w:val="28"/>
          <w:szCs w:val="28"/>
        </w:rPr>
        <w:t>uly 3, 2017</w:t>
      </w:r>
      <w:r w:rsidRPr="00217051">
        <w:rPr>
          <w:rFonts w:ascii="Century" w:hAnsi="Century"/>
          <w:sz w:val="28"/>
          <w:szCs w:val="28"/>
        </w:rPr>
        <w:t>, Alberto</w:t>
      </w:r>
      <w:r w:rsidR="00E77517">
        <w:rPr>
          <w:rFonts w:ascii="Century" w:hAnsi="Century"/>
          <w:sz w:val="28"/>
          <w:szCs w:val="28"/>
        </w:rPr>
        <w:t xml:space="preserve"> </w:t>
      </w:r>
      <w:r w:rsidRPr="00217051">
        <w:rPr>
          <w:rFonts w:ascii="Century" w:hAnsi="Century"/>
          <w:sz w:val="28"/>
          <w:szCs w:val="28"/>
        </w:rPr>
        <w:t xml:space="preserve">Perez and his </w:t>
      </w:r>
      <w:r w:rsidR="00180FF1">
        <w:rPr>
          <w:rFonts w:ascii="Century" w:hAnsi="Century"/>
          <w:sz w:val="28"/>
          <w:szCs w:val="28"/>
        </w:rPr>
        <w:t>younger</w:t>
      </w:r>
      <w:r w:rsidR="000550B7">
        <w:rPr>
          <w:rFonts w:ascii="Century" w:hAnsi="Century"/>
          <w:sz w:val="28"/>
          <w:szCs w:val="28"/>
        </w:rPr>
        <w:t xml:space="preserve"> </w:t>
      </w:r>
      <w:r w:rsidRPr="00217051">
        <w:rPr>
          <w:rFonts w:ascii="Century" w:hAnsi="Century"/>
          <w:sz w:val="28"/>
          <w:szCs w:val="28"/>
        </w:rPr>
        <w:t xml:space="preserve">brother </w:t>
      </w:r>
      <w:r w:rsidR="000351C9" w:rsidRPr="00217051">
        <w:rPr>
          <w:rFonts w:ascii="Century" w:hAnsi="Century"/>
          <w:sz w:val="28"/>
          <w:szCs w:val="28"/>
        </w:rPr>
        <w:t>Bobby</w:t>
      </w:r>
      <w:r w:rsidRPr="00217051">
        <w:rPr>
          <w:rFonts w:ascii="Century" w:hAnsi="Century"/>
          <w:sz w:val="28"/>
          <w:szCs w:val="28"/>
        </w:rPr>
        <w:t xml:space="preserve"> went to </w:t>
      </w:r>
      <w:r w:rsidR="00A847C2" w:rsidRPr="00217051">
        <w:rPr>
          <w:rFonts w:ascii="Century" w:hAnsi="Century"/>
          <w:sz w:val="28"/>
          <w:szCs w:val="28"/>
        </w:rPr>
        <w:t>Johnson’s Corner</w:t>
      </w:r>
      <w:r w:rsidR="00A847C2">
        <w:rPr>
          <w:rFonts w:ascii="Century" w:hAnsi="Century"/>
          <w:sz w:val="28"/>
          <w:szCs w:val="28"/>
        </w:rPr>
        <w:t xml:space="preserve"> </w:t>
      </w:r>
      <w:r w:rsidR="00E47CD4">
        <w:rPr>
          <w:rFonts w:ascii="Century" w:hAnsi="Century"/>
          <w:sz w:val="28"/>
          <w:szCs w:val="28"/>
        </w:rPr>
        <w:t xml:space="preserve">Grill </w:t>
      </w:r>
      <w:r w:rsidR="00BF7D72">
        <w:rPr>
          <w:rFonts w:ascii="Century" w:hAnsi="Century"/>
          <w:sz w:val="28"/>
          <w:szCs w:val="28"/>
        </w:rPr>
        <w:t>with some friends</w:t>
      </w:r>
      <w:r w:rsidR="002B7FD0" w:rsidRPr="00443435">
        <w:rPr>
          <w:rFonts w:ascii="Century" w:hAnsi="Century"/>
          <w:sz w:val="28"/>
          <w:szCs w:val="28"/>
        </w:rPr>
        <w:t xml:space="preserve">. </w:t>
      </w:r>
      <w:r w:rsidR="004365C6">
        <w:rPr>
          <w:rFonts w:ascii="Century" w:hAnsi="Century"/>
          <w:sz w:val="28"/>
          <w:szCs w:val="28"/>
        </w:rPr>
        <w:t>(</w:t>
      </w:r>
      <w:r w:rsidR="004365C6" w:rsidRPr="00CD6182">
        <w:rPr>
          <w:rFonts w:ascii="Century" w:hAnsi="Century"/>
          <w:sz w:val="28"/>
          <w:szCs w:val="28"/>
        </w:rPr>
        <w:t xml:space="preserve">T pp 250, </w:t>
      </w:r>
      <w:r w:rsidR="0042707B" w:rsidRPr="00CD6182">
        <w:rPr>
          <w:rFonts w:ascii="Century" w:hAnsi="Century"/>
          <w:sz w:val="28"/>
          <w:szCs w:val="28"/>
        </w:rPr>
        <w:t>253-5</w:t>
      </w:r>
      <w:r w:rsidR="00CD6182" w:rsidRPr="00CD6182">
        <w:rPr>
          <w:rFonts w:ascii="Century" w:hAnsi="Century"/>
          <w:sz w:val="28"/>
          <w:szCs w:val="28"/>
        </w:rPr>
        <w:t>5</w:t>
      </w:r>
      <w:r w:rsidR="004365C6" w:rsidRPr="00CD6182">
        <w:rPr>
          <w:rFonts w:ascii="Century" w:hAnsi="Century"/>
          <w:sz w:val="28"/>
          <w:szCs w:val="28"/>
        </w:rPr>
        <w:t xml:space="preserve">) </w:t>
      </w:r>
      <w:r w:rsidR="00B42A41" w:rsidRPr="00CD6182">
        <w:rPr>
          <w:rFonts w:ascii="Century" w:hAnsi="Century"/>
          <w:sz w:val="28"/>
          <w:szCs w:val="28"/>
        </w:rPr>
        <w:t xml:space="preserve">After they arrived in the parking lot, </w:t>
      </w:r>
      <w:proofErr w:type="spellStart"/>
      <w:r w:rsidR="00272E5F" w:rsidRPr="00CD6182">
        <w:rPr>
          <w:rFonts w:ascii="Century" w:hAnsi="Century"/>
          <w:sz w:val="28"/>
          <w:szCs w:val="28"/>
        </w:rPr>
        <w:t>Artez</w:t>
      </w:r>
      <w:proofErr w:type="spellEnd"/>
      <w:r w:rsidR="00272E5F" w:rsidRPr="00CD6182">
        <w:rPr>
          <w:rFonts w:ascii="Century" w:hAnsi="Century"/>
          <w:sz w:val="28"/>
          <w:szCs w:val="28"/>
        </w:rPr>
        <w:t xml:space="preserve"> Robinson</w:t>
      </w:r>
      <w:r w:rsidR="00272E5F">
        <w:rPr>
          <w:rFonts w:ascii="Century" w:hAnsi="Century"/>
          <w:sz w:val="28"/>
          <w:szCs w:val="28"/>
        </w:rPr>
        <w:t xml:space="preserve"> </w:t>
      </w:r>
      <w:r w:rsidR="00B42A41" w:rsidRPr="00443435">
        <w:rPr>
          <w:rFonts w:ascii="Century" w:hAnsi="Century"/>
          <w:sz w:val="28"/>
          <w:szCs w:val="28"/>
        </w:rPr>
        <w:t xml:space="preserve">approached their truck </w:t>
      </w:r>
      <w:r w:rsidR="00B0645C" w:rsidRPr="00443435">
        <w:rPr>
          <w:rFonts w:ascii="Century" w:hAnsi="Century"/>
          <w:sz w:val="28"/>
          <w:szCs w:val="28"/>
        </w:rPr>
        <w:t xml:space="preserve">to greet </w:t>
      </w:r>
      <w:r w:rsidR="00B0645C" w:rsidRPr="00443435">
        <w:rPr>
          <w:rFonts w:ascii="Century" w:hAnsi="Century"/>
          <w:sz w:val="28"/>
          <w:szCs w:val="28"/>
        </w:rPr>
        <w:lastRenderedPageBreak/>
        <w:t xml:space="preserve">the other occupants. </w:t>
      </w:r>
      <w:r w:rsidR="000351C9">
        <w:rPr>
          <w:rFonts w:ascii="Century" w:hAnsi="Century"/>
          <w:sz w:val="28"/>
          <w:szCs w:val="28"/>
        </w:rPr>
        <w:t xml:space="preserve">As he walked away, </w:t>
      </w:r>
      <w:r w:rsidR="00272E5F">
        <w:rPr>
          <w:rFonts w:ascii="Century" w:hAnsi="Century"/>
          <w:sz w:val="28"/>
          <w:szCs w:val="28"/>
        </w:rPr>
        <w:t>Mr. Robinson</w:t>
      </w:r>
      <w:r w:rsidR="000351C9">
        <w:rPr>
          <w:rFonts w:ascii="Century" w:hAnsi="Century"/>
          <w:sz w:val="28"/>
          <w:szCs w:val="28"/>
        </w:rPr>
        <w:t xml:space="preserve"> made </w:t>
      </w:r>
      <w:r w:rsidR="00E7774D">
        <w:rPr>
          <w:rFonts w:ascii="Century" w:hAnsi="Century"/>
          <w:sz w:val="28"/>
          <w:szCs w:val="28"/>
        </w:rPr>
        <w:t xml:space="preserve">a </w:t>
      </w:r>
      <w:r w:rsidR="00454A91">
        <w:rPr>
          <w:rFonts w:ascii="Century" w:hAnsi="Century"/>
          <w:sz w:val="28"/>
          <w:szCs w:val="28"/>
        </w:rPr>
        <w:t xml:space="preserve">comment Bobby believed was intended to disparage </w:t>
      </w:r>
      <w:r w:rsidR="00454A91" w:rsidRPr="00DA03D2">
        <w:rPr>
          <w:rFonts w:ascii="Century" w:hAnsi="Century"/>
          <w:sz w:val="28"/>
          <w:szCs w:val="28"/>
        </w:rPr>
        <w:t>him</w:t>
      </w:r>
      <w:r w:rsidR="001B709F" w:rsidRPr="00DA03D2">
        <w:rPr>
          <w:rFonts w:ascii="Century" w:hAnsi="Century"/>
          <w:sz w:val="28"/>
          <w:szCs w:val="28"/>
        </w:rPr>
        <w:t>self</w:t>
      </w:r>
      <w:r w:rsidR="00454A91" w:rsidRPr="00DA03D2">
        <w:rPr>
          <w:rFonts w:ascii="Century" w:hAnsi="Century"/>
          <w:sz w:val="28"/>
          <w:szCs w:val="28"/>
        </w:rPr>
        <w:t xml:space="preserve"> or his brother.</w:t>
      </w:r>
      <w:r w:rsidR="001B709F" w:rsidRPr="00DA03D2">
        <w:rPr>
          <w:rFonts w:ascii="Century" w:hAnsi="Century"/>
          <w:sz w:val="28"/>
          <w:szCs w:val="28"/>
        </w:rPr>
        <w:t xml:space="preserve"> </w:t>
      </w:r>
      <w:r w:rsidR="00B33A0C">
        <w:rPr>
          <w:rFonts w:ascii="Century" w:hAnsi="Century"/>
          <w:sz w:val="28"/>
          <w:szCs w:val="28"/>
        </w:rPr>
        <w:t xml:space="preserve">(T pp 256-57) </w:t>
      </w:r>
      <w:r w:rsidR="001B709F" w:rsidRPr="00DA03D2">
        <w:rPr>
          <w:rFonts w:ascii="Century" w:hAnsi="Century"/>
          <w:sz w:val="28"/>
          <w:szCs w:val="28"/>
        </w:rPr>
        <w:t xml:space="preserve">Bobby got out of the truck and followed </w:t>
      </w:r>
      <w:r w:rsidR="00DD0E4B" w:rsidRPr="00DA03D2">
        <w:rPr>
          <w:rFonts w:ascii="Century" w:hAnsi="Century"/>
          <w:sz w:val="28"/>
          <w:szCs w:val="28"/>
        </w:rPr>
        <w:t>Mr. Robinson</w:t>
      </w:r>
      <w:r w:rsidR="001B709F" w:rsidRPr="00DA03D2">
        <w:rPr>
          <w:rFonts w:ascii="Century" w:hAnsi="Century"/>
          <w:sz w:val="28"/>
          <w:szCs w:val="28"/>
        </w:rPr>
        <w:t xml:space="preserve"> into </w:t>
      </w:r>
      <w:r w:rsidR="00ED7BD3" w:rsidRPr="00DA03D2">
        <w:rPr>
          <w:rFonts w:ascii="Century" w:hAnsi="Century"/>
          <w:sz w:val="28"/>
          <w:szCs w:val="28"/>
        </w:rPr>
        <w:t>Johnson’s</w:t>
      </w:r>
      <w:r w:rsidR="00ED7BD3">
        <w:rPr>
          <w:rFonts w:ascii="Century" w:hAnsi="Century"/>
          <w:sz w:val="28"/>
          <w:szCs w:val="28"/>
        </w:rPr>
        <w:t xml:space="preserve"> Corner</w:t>
      </w:r>
      <w:r w:rsidR="001B709F">
        <w:rPr>
          <w:rFonts w:ascii="Century" w:hAnsi="Century"/>
          <w:sz w:val="28"/>
          <w:szCs w:val="28"/>
        </w:rPr>
        <w:t xml:space="preserve"> to confront him.</w:t>
      </w:r>
      <w:r w:rsidR="00016B93">
        <w:rPr>
          <w:rFonts w:ascii="Century" w:hAnsi="Century"/>
          <w:sz w:val="28"/>
          <w:szCs w:val="28"/>
        </w:rPr>
        <w:t xml:space="preserve"> (T pp 258-59)</w:t>
      </w:r>
    </w:p>
    <w:p w14:paraId="23AE26D1" w14:textId="6E034C71" w:rsidR="000127EE" w:rsidRDefault="008853B5" w:rsidP="00DD0E4B">
      <w:pPr>
        <w:spacing w:line="480" w:lineRule="auto"/>
        <w:ind w:firstLine="720"/>
        <w:jc w:val="both"/>
        <w:rPr>
          <w:rFonts w:ascii="Century" w:hAnsi="Century"/>
          <w:sz w:val="28"/>
          <w:szCs w:val="28"/>
        </w:rPr>
      </w:pPr>
      <w:r>
        <w:rPr>
          <w:rFonts w:ascii="Century" w:hAnsi="Century"/>
          <w:sz w:val="28"/>
          <w:szCs w:val="28"/>
        </w:rPr>
        <w:t xml:space="preserve">Once inside, Bobby </w:t>
      </w:r>
      <w:r w:rsidR="00FC7A39">
        <w:rPr>
          <w:rFonts w:ascii="Century" w:hAnsi="Century"/>
          <w:sz w:val="28"/>
          <w:szCs w:val="28"/>
        </w:rPr>
        <w:t>ran towards</w:t>
      </w:r>
      <w:r w:rsidR="00194E16">
        <w:rPr>
          <w:rFonts w:ascii="Century" w:hAnsi="Century"/>
          <w:sz w:val="28"/>
          <w:szCs w:val="28"/>
        </w:rPr>
        <w:t xml:space="preserve"> Mr. Robinson. Mr. Robinson responded, “F</w:t>
      </w:r>
      <w:r w:rsidR="00194E16" w:rsidRPr="00CF3FD1">
        <w:rPr>
          <w:rFonts w:ascii="Century" w:hAnsi="Century"/>
          <w:sz w:val="28"/>
          <w:szCs w:val="28"/>
        </w:rPr>
        <w:t xml:space="preserve">*ck you.” </w:t>
      </w:r>
      <w:r w:rsidR="00FC7A39" w:rsidRPr="00CF3FD1">
        <w:rPr>
          <w:rFonts w:ascii="Century" w:hAnsi="Century"/>
          <w:sz w:val="28"/>
          <w:szCs w:val="28"/>
        </w:rPr>
        <w:t xml:space="preserve">Bobby </w:t>
      </w:r>
      <w:r w:rsidR="00A3303D" w:rsidRPr="00CF3FD1">
        <w:rPr>
          <w:rFonts w:ascii="Century" w:hAnsi="Century"/>
          <w:sz w:val="28"/>
          <w:szCs w:val="28"/>
        </w:rPr>
        <w:t xml:space="preserve">hit Mr. Robinson and the fight began. (T pp </w:t>
      </w:r>
      <w:r w:rsidR="00E07977" w:rsidRPr="00CF3FD1">
        <w:rPr>
          <w:rFonts w:ascii="Century" w:hAnsi="Century"/>
          <w:sz w:val="28"/>
          <w:szCs w:val="28"/>
        </w:rPr>
        <w:t>258-</w:t>
      </w:r>
      <w:r w:rsidR="00916DDC" w:rsidRPr="00CF3FD1">
        <w:rPr>
          <w:rFonts w:ascii="Century" w:hAnsi="Century"/>
          <w:sz w:val="28"/>
          <w:szCs w:val="28"/>
        </w:rPr>
        <w:t>59</w:t>
      </w:r>
      <w:r w:rsidR="00E07977" w:rsidRPr="00CF3FD1">
        <w:rPr>
          <w:rFonts w:ascii="Century" w:hAnsi="Century"/>
          <w:sz w:val="28"/>
          <w:szCs w:val="28"/>
        </w:rPr>
        <w:t>)</w:t>
      </w:r>
      <w:r w:rsidR="00F147C3" w:rsidRPr="00CF3FD1">
        <w:rPr>
          <w:rFonts w:ascii="Century" w:hAnsi="Century"/>
          <w:sz w:val="28"/>
          <w:szCs w:val="28"/>
        </w:rPr>
        <w:t xml:space="preserve"> Mr. Robinson, who was 6’5” tall, quickly gained the advantage over Bobby, who was 5’5” tall</w:t>
      </w:r>
      <w:r w:rsidR="00711040">
        <w:rPr>
          <w:rStyle w:val="FootnoteReference"/>
          <w:rFonts w:ascii="Century" w:hAnsi="Century"/>
          <w:sz w:val="28"/>
          <w:szCs w:val="28"/>
        </w:rPr>
        <w:footnoteReference w:id="1"/>
      </w:r>
      <w:r w:rsidR="00F147C3" w:rsidRPr="00CF3FD1">
        <w:rPr>
          <w:rFonts w:ascii="Century" w:hAnsi="Century"/>
          <w:sz w:val="28"/>
          <w:szCs w:val="28"/>
        </w:rPr>
        <w:t xml:space="preserve">. </w:t>
      </w:r>
      <w:r w:rsidR="00CF3FD1" w:rsidRPr="00CF3FD1">
        <w:rPr>
          <w:rFonts w:ascii="Century" w:hAnsi="Century"/>
          <w:sz w:val="28"/>
          <w:szCs w:val="28"/>
        </w:rPr>
        <w:t xml:space="preserve">By this point, Mr. Perez had </w:t>
      </w:r>
      <w:r w:rsidR="00CF3FD1" w:rsidRPr="0096599D">
        <w:rPr>
          <w:rFonts w:ascii="Century" w:hAnsi="Century"/>
          <w:sz w:val="28"/>
          <w:szCs w:val="28"/>
        </w:rPr>
        <w:t xml:space="preserve">entered the store. </w:t>
      </w:r>
      <w:r w:rsidR="00F147C3" w:rsidRPr="0096599D">
        <w:rPr>
          <w:rFonts w:ascii="Century" w:hAnsi="Century"/>
          <w:sz w:val="28"/>
          <w:szCs w:val="28"/>
        </w:rPr>
        <w:t xml:space="preserve">(T pp </w:t>
      </w:r>
      <w:r w:rsidR="00AA64DE" w:rsidRPr="0096599D">
        <w:rPr>
          <w:rFonts w:ascii="Century" w:hAnsi="Century"/>
          <w:sz w:val="28"/>
          <w:szCs w:val="28"/>
        </w:rPr>
        <w:t>259-6</w:t>
      </w:r>
      <w:r w:rsidR="003D7026" w:rsidRPr="0096599D">
        <w:rPr>
          <w:rFonts w:ascii="Century" w:hAnsi="Century"/>
          <w:sz w:val="28"/>
          <w:szCs w:val="28"/>
        </w:rPr>
        <w:t>0</w:t>
      </w:r>
      <w:r w:rsidR="00F147C3" w:rsidRPr="0096599D">
        <w:rPr>
          <w:rFonts w:ascii="Century" w:hAnsi="Century"/>
          <w:sz w:val="28"/>
          <w:szCs w:val="28"/>
        </w:rPr>
        <w:t>)</w:t>
      </w:r>
      <w:r w:rsidR="00F40BAF" w:rsidRPr="0096599D">
        <w:rPr>
          <w:rFonts w:ascii="Century" w:hAnsi="Century"/>
          <w:sz w:val="28"/>
          <w:szCs w:val="28"/>
        </w:rPr>
        <w:t xml:space="preserve"> </w:t>
      </w:r>
      <w:r w:rsidR="00C948AD" w:rsidRPr="0096599D">
        <w:rPr>
          <w:rFonts w:ascii="Century" w:hAnsi="Century"/>
          <w:sz w:val="28"/>
          <w:szCs w:val="28"/>
        </w:rPr>
        <w:t xml:space="preserve">Mr. Perez originally intended to stop his brother from confronting Mr. Robinson, but by the time he arrived, </w:t>
      </w:r>
      <w:r w:rsidR="00826D69" w:rsidRPr="0096599D">
        <w:rPr>
          <w:rFonts w:ascii="Century" w:hAnsi="Century"/>
          <w:sz w:val="28"/>
          <w:szCs w:val="28"/>
        </w:rPr>
        <w:t>it was too late</w:t>
      </w:r>
      <w:r w:rsidR="00C948AD" w:rsidRPr="0096599D">
        <w:rPr>
          <w:rFonts w:ascii="Century" w:hAnsi="Century"/>
          <w:sz w:val="28"/>
          <w:szCs w:val="28"/>
        </w:rPr>
        <w:t>. (</w:t>
      </w:r>
      <w:r w:rsidR="005431FA" w:rsidRPr="0096599D">
        <w:rPr>
          <w:rFonts w:ascii="Century" w:hAnsi="Century"/>
          <w:sz w:val="28"/>
          <w:szCs w:val="28"/>
        </w:rPr>
        <w:t>T pp 326-</w:t>
      </w:r>
      <w:r w:rsidR="00826D69" w:rsidRPr="0096599D">
        <w:rPr>
          <w:rFonts w:ascii="Century" w:hAnsi="Century"/>
          <w:sz w:val="28"/>
          <w:szCs w:val="28"/>
        </w:rPr>
        <w:t>29</w:t>
      </w:r>
      <w:r w:rsidR="00C948AD" w:rsidRPr="0096599D">
        <w:rPr>
          <w:rFonts w:ascii="Century" w:hAnsi="Century"/>
          <w:sz w:val="28"/>
          <w:szCs w:val="28"/>
        </w:rPr>
        <w:t xml:space="preserve">) </w:t>
      </w:r>
      <w:r w:rsidR="00826D69" w:rsidRPr="0096599D">
        <w:rPr>
          <w:rFonts w:ascii="Century" w:hAnsi="Century"/>
          <w:sz w:val="28"/>
          <w:szCs w:val="28"/>
        </w:rPr>
        <w:t>Mr. Perez</w:t>
      </w:r>
      <w:r w:rsidR="00AF538E" w:rsidRPr="0096599D">
        <w:rPr>
          <w:rFonts w:ascii="Century" w:hAnsi="Century"/>
          <w:sz w:val="28"/>
          <w:szCs w:val="28"/>
        </w:rPr>
        <w:t xml:space="preserve"> saw Mr. Robinson </w:t>
      </w:r>
      <w:r w:rsidR="00CF25F1" w:rsidRPr="0096599D">
        <w:rPr>
          <w:rFonts w:ascii="Century" w:hAnsi="Century"/>
          <w:sz w:val="28"/>
          <w:szCs w:val="28"/>
        </w:rPr>
        <w:t>holding his brother in a headlock</w:t>
      </w:r>
      <w:r w:rsidR="00CF25F1">
        <w:rPr>
          <w:rFonts w:ascii="Century" w:hAnsi="Century"/>
          <w:sz w:val="28"/>
          <w:szCs w:val="28"/>
        </w:rPr>
        <w:t xml:space="preserve"> and punching him repeatedly. </w:t>
      </w:r>
      <w:r w:rsidR="000A1C2F">
        <w:rPr>
          <w:rFonts w:ascii="Century" w:hAnsi="Century"/>
          <w:sz w:val="28"/>
          <w:szCs w:val="28"/>
        </w:rPr>
        <w:t>Believing that his brother was in trouble, Mr. Perez intervened</w:t>
      </w:r>
      <w:r w:rsidR="005150C1">
        <w:rPr>
          <w:rFonts w:ascii="Century" w:hAnsi="Century"/>
          <w:sz w:val="28"/>
          <w:szCs w:val="28"/>
        </w:rPr>
        <w:t xml:space="preserve"> “to help him, to stop it</w:t>
      </w:r>
      <w:r w:rsidR="000A1C2F">
        <w:rPr>
          <w:rFonts w:ascii="Century" w:hAnsi="Century"/>
          <w:sz w:val="28"/>
          <w:szCs w:val="28"/>
        </w:rPr>
        <w:t>.</w:t>
      </w:r>
      <w:r w:rsidR="005150C1">
        <w:rPr>
          <w:rFonts w:ascii="Century" w:hAnsi="Century"/>
          <w:sz w:val="28"/>
          <w:szCs w:val="28"/>
        </w:rPr>
        <w:t>”</w:t>
      </w:r>
      <w:r w:rsidR="000A1C2F">
        <w:rPr>
          <w:rFonts w:ascii="Century" w:hAnsi="Century"/>
          <w:sz w:val="28"/>
          <w:szCs w:val="28"/>
        </w:rPr>
        <w:t xml:space="preserve"> </w:t>
      </w:r>
      <w:r w:rsidR="005150C1">
        <w:rPr>
          <w:rFonts w:ascii="Century" w:hAnsi="Century"/>
          <w:sz w:val="28"/>
          <w:szCs w:val="28"/>
        </w:rPr>
        <w:t>(T pp 329-30)</w:t>
      </w:r>
    </w:p>
    <w:p w14:paraId="67866CA3" w14:textId="5C46C302" w:rsidR="008853B5" w:rsidRDefault="00F6791F" w:rsidP="00DD0E4B">
      <w:pPr>
        <w:spacing w:line="480" w:lineRule="auto"/>
        <w:ind w:firstLine="720"/>
        <w:jc w:val="both"/>
        <w:rPr>
          <w:rFonts w:ascii="Century" w:hAnsi="Century"/>
          <w:sz w:val="28"/>
          <w:szCs w:val="28"/>
        </w:rPr>
      </w:pPr>
      <w:r>
        <w:rPr>
          <w:rFonts w:ascii="Century" w:hAnsi="Century"/>
          <w:sz w:val="28"/>
          <w:szCs w:val="28"/>
        </w:rPr>
        <w:t xml:space="preserve">At this point. </w:t>
      </w:r>
      <w:r w:rsidR="000127EE">
        <w:rPr>
          <w:rFonts w:ascii="Century" w:hAnsi="Century"/>
          <w:sz w:val="28"/>
          <w:szCs w:val="28"/>
        </w:rPr>
        <w:t>Mr. Perez saw a box cutter in Mr. Robinson’s hand</w:t>
      </w:r>
      <w:r w:rsidR="00D15A3F">
        <w:rPr>
          <w:rStyle w:val="FootnoteReference"/>
          <w:rFonts w:ascii="Century" w:hAnsi="Century"/>
          <w:sz w:val="28"/>
          <w:szCs w:val="28"/>
        </w:rPr>
        <w:footnoteReference w:id="2"/>
      </w:r>
      <w:r w:rsidR="000127EE">
        <w:rPr>
          <w:rFonts w:ascii="Century" w:hAnsi="Century"/>
          <w:sz w:val="28"/>
          <w:szCs w:val="28"/>
        </w:rPr>
        <w:t>. (</w:t>
      </w:r>
      <w:r>
        <w:rPr>
          <w:rFonts w:ascii="Century" w:hAnsi="Century"/>
          <w:sz w:val="28"/>
          <w:szCs w:val="28"/>
        </w:rPr>
        <w:t>T pp 330-31</w:t>
      </w:r>
      <w:r w:rsidR="000127EE">
        <w:rPr>
          <w:rFonts w:ascii="Century" w:hAnsi="Century"/>
          <w:sz w:val="28"/>
          <w:szCs w:val="28"/>
        </w:rPr>
        <w:t xml:space="preserve">) Knowing that his brother was unarmed </w:t>
      </w:r>
      <w:r w:rsidR="00BD1EF7">
        <w:rPr>
          <w:rFonts w:ascii="Century" w:hAnsi="Century"/>
          <w:sz w:val="28"/>
          <w:szCs w:val="28"/>
        </w:rPr>
        <w:t>(T p 328</w:t>
      </w:r>
      <w:r w:rsidR="000127EE">
        <w:rPr>
          <w:rFonts w:ascii="Century" w:hAnsi="Century"/>
          <w:sz w:val="28"/>
          <w:szCs w:val="28"/>
        </w:rPr>
        <w:t xml:space="preserve">) and believing </w:t>
      </w:r>
      <w:r w:rsidR="004D0329">
        <w:rPr>
          <w:rFonts w:ascii="Century" w:hAnsi="Century"/>
          <w:sz w:val="28"/>
          <w:szCs w:val="28"/>
        </w:rPr>
        <w:t>that he was in danger, Mr. Perez pulled his own pocketknife</w:t>
      </w:r>
      <w:r w:rsidR="007750B9">
        <w:rPr>
          <w:rFonts w:ascii="Century" w:hAnsi="Century"/>
          <w:sz w:val="28"/>
          <w:szCs w:val="28"/>
        </w:rPr>
        <w:t xml:space="preserve"> </w:t>
      </w:r>
      <w:r w:rsidR="007750B9">
        <w:rPr>
          <w:rFonts w:ascii="Century" w:hAnsi="Century"/>
          <w:sz w:val="28"/>
          <w:szCs w:val="28"/>
        </w:rPr>
        <w:lastRenderedPageBreak/>
        <w:t>and stabbed Mr. Robinson. (</w:t>
      </w:r>
      <w:r w:rsidR="00B26B2A">
        <w:rPr>
          <w:rFonts w:ascii="Century" w:hAnsi="Century"/>
          <w:sz w:val="28"/>
          <w:szCs w:val="28"/>
        </w:rPr>
        <w:t xml:space="preserve">T pp </w:t>
      </w:r>
      <w:r w:rsidR="00FC2CD0">
        <w:rPr>
          <w:rFonts w:ascii="Century" w:hAnsi="Century"/>
          <w:sz w:val="28"/>
          <w:szCs w:val="28"/>
        </w:rPr>
        <w:t xml:space="preserve">331, </w:t>
      </w:r>
      <w:r w:rsidR="006F2AAB">
        <w:rPr>
          <w:rFonts w:ascii="Century" w:hAnsi="Century"/>
          <w:sz w:val="28"/>
          <w:szCs w:val="28"/>
        </w:rPr>
        <w:t>333-</w:t>
      </w:r>
      <w:r w:rsidR="00C34BF1">
        <w:rPr>
          <w:rFonts w:ascii="Century" w:hAnsi="Century"/>
          <w:sz w:val="28"/>
          <w:szCs w:val="28"/>
        </w:rPr>
        <w:t>35</w:t>
      </w:r>
      <w:r w:rsidR="007750B9">
        <w:rPr>
          <w:rFonts w:ascii="Century" w:hAnsi="Century"/>
          <w:sz w:val="28"/>
          <w:szCs w:val="28"/>
        </w:rPr>
        <w:t xml:space="preserve">) </w:t>
      </w:r>
      <w:r w:rsidR="00702855">
        <w:rPr>
          <w:rFonts w:ascii="Century" w:hAnsi="Century"/>
          <w:sz w:val="28"/>
          <w:szCs w:val="28"/>
        </w:rPr>
        <w:t>Mr. Perez did not intend to kill Mr. Robinson, only to prevent him from harming either of the Perez brothers.</w:t>
      </w:r>
      <w:r w:rsidR="00640339">
        <w:rPr>
          <w:rFonts w:ascii="Century" w:hAnsi="Century"/>
          <w:sz w:val="28"/>
          <w:szCs w:val="28"/>
        </w:rPr>
        <w:t xml:space="preserve"> (</w:t>
      </w:r>
      <w:r w:rsidR="0008629F">
        <w:rPr>
          <w:rFonts w:ascii="Century" w:hAnsi="Century"/>
          <w:sz w:val="28"/>
          <w:szCs w:val="28"/>
        </w:rPr>
        <w:t>T p 338</w:t>
      </w:r>
      <w:r w:rsidR="00640339">
        <w:rPr>
          <w:rFonts w:ascii="Century" w:hAnsi="Century"/>
          <w:sz w:val="28"/>
          <w:szCs w:val="28"/>
        </w:rPr>
        <w:t xml:space="preserve">) At this point, a third party </w:t>
      </w:r>
      <w:r w:rsidR="0096599D">
        <w:rPr>
          <w:rFonts w:ascii="Century" w:hAnsi="Century"/>
          <w:sz w:val="28"/>
          <w:szCs w:val="28"/>
        </w:rPr>
        <w:t>intervened, and all parties</w:t>
      </w:r>
      <w:r w:rsidR="00C32685">
        <w:rPr>
          <w:rFonts w:ascii="Century" w:hAnsi="Century"/>
          <w:sz w:val="28"/>
          <w:szCs w:val="28"/>
        </w:rPr>
        <w:t xml:space="preserve"> disengaged. </w:t>
      </w:r>
      <w:r w:rsidR="00287B71">
        <w:rPr>
          <w:rFonts w:ascii="Century" w:hAnsi="Century"/>
          <w:sz w:val="28"/>
          <w:szCs w:val="28"/>
        </w:rPr>
        <w:t>(</w:t>
      </w:r>
      <w:r w:rsidR="00C32685">
        <w:rPr>
          <w:rFonts w:ascii="Century" w:hAnsi="Century"/>
          <w:sz w:val="28"/>
          <w:szCs w:val="28"/>
        </w:rPr>
        <w:t>T pp 339-40</w:t>
      </w:r>
      <w:r w:rsidR="00287B71">
        <w:rPr>
          <w:rFonts w:ascii="Century" w:hAnsi="Century"/>
          <w:sz w:val="28"/>
          <w:szCs w:val="28"/>
        </w:rPr>
        <w:t xml:space="preserve">) </w:t>
      </w:r>
    </w:p>
    <w:p w14:paraId="5377D799" w14:textId="760ADDF5" w:rsidR="007C4E4A" w:rsidRDefault="004301E6" w:rsidP="00DD0E4B">
      <w:pPr>
        <w:spacing w:line="480" w:lineRule="auto"/>
        <w:ind w:firstLine="720"/>
        <w:jc w:val="both"/>
        <w:rPr>
          <w:rFonts w:ascii="Century" w:hAnsi="Century"/>
          <w:sz w:val="28"/>
          <w:szCs w:val="28"/>
        </w:rPr>
      </w:pPr>
      <w:proofErr w:type="spellStart"/>
      <w:r>
        <w:rPr>
          <w:rFonts w:ascii="Century" w:hAnsi="Century"/>
          <w:sz w:val="28"/>
          <w:szCs w:val="28"/>
        </w:rPr>
        <w:t>Artez</w:t>
      </w:r>
      <w:proofErr w:type="spellEnd"/>
      <w:r>
        <w:rPr>
          <w:rFonts w:ascii="Century" w:hAnsi="Century"/>
          <w:sz w:val="28"/>
          <w:szCs w:val="28"/>
        </w:rPr>
        <w:t xml:space="preserve"> Robinson testified that he </w:t>
      </w:r>
      <w:r w:rsidR="009B44D0">
        <w:rPr>
          <w:rFonts w:ascii="Century" w:hAnsi="Century"/>
          <w:sz w:val="28"/>
          <w:szCs w:val="28"/>
        </w:rPr>
        <w:t>had a previous disagreement with the Perez brothers</w:t>
      </w:r>
      <w:r w:rsidR="00865973">
        <w:rPr>
          <w:rFonts w:ascii="Century" w:hAnsi="Century"/>
          <w:sz w:val="28"/>
          <w:szCs w:val="28"/>
        </w:rPr>
        <w:t>. (T pp 25-26)</w:t>
      </w:r>
      <w:r w:rsidR="005253FA">
        <w:rPr>
          <w:rFonts w:ascii="Century" w:hAnsi="Century"/>
          <w:sz w:val="28"/>
          <w:szCs w:val="28"/>
        </w:rPr>
        <w:t xml:space="preserve"> He denied</w:t>
      </w:r>
      <w:r w:rsidR="00B244CE">
        <w:rPr>
          <w:rFonts w:ascii="Century" w:hAnsi="Century"/>
          <w:sz w:val="28"/>
          <w:szCs w:val="28"/>
        </w:rPr>
        <w:t xml:space="preserve"> insulting either Bobby or Mr. Perez when he saw them outside Johnson’s Corner Grill. (T pp</w:t>
      </w:r>
      <w:r w:rsidR="00AE5E18">
        <w:rPr>
          <w:rFonts w:ascii="Century" w:hAnsi="Century"/>
          <w:sz w:val="28"/>
          <w:szCs w:val="28"/>
        </w:rPr>
        <w:t xml:space="preserve"> 2</w:t>
      </w:r>
      <w:r w:rsidR="00D177C3">
        <w:rPr>
          <w:rFonts w:ascii="Century" w:hAnsi="Century"/>
          <w:sz w:val="28"/>
          <w:szCs w:val="28"/>
        </w:rPr>
        <w:t>8</w:t>
      </w:r>
      <w:r w:rsidR="00AE5E18">
        <w:rPr>
          <w:rFonts w:ascii="Century" w:hAnsi="Century"/>
          <w:sz w:val="28"/>
          <w:szCs w:val="28"/>
        </w:rPr>
        <w:t xml:space="preserve">-31) Mr. Robinson </w:t>
      </w:r>
      <w:r w:rsidR="005556C1">
        <w:rPr>
          <w:rFonts w:ascii="Century" w:hAnsi="Century"/>
          <w:sz w:val="28"/>
          <w:szCs w:val="28"/>
        </w:rPr>
        <w:t>stated</w:t>
      </w:r>
      <w:r w:rsidR="00AE5E18">
        <w:rPr>
          <w:rFonts w:ascii="Century" w:hAnsi="Century"/>
          <w:sz w:val="28"/>
          <w:szCs w:val="28"/>
        </w:rPr>
        <w:t xml:space="preserve"> </w:t>
      </w:r>
      <w:r w:rsidR="00225007">
        <w:rPr>
          <w:rFonts w:ascii="Century" w:hAnsi="Century"/>
          <w:sz w:val="28"/>
          <w:szCs w:val="28"/>
        </w:rPr>
        <w:t xml:space="preserve">that when Bobby came into the </w:t>
      </w:r>
      <w:r w:rsidR="008C22BE">
        <w:rPr>
          <w:rFonts w:ascii="Century" w:hAnsi="Century"/>
          <w:sz w:val="28"/>
          <w:szCs w:val="28"/>
        </w:rPr>
        <w:t>restaurant</w:t>
      </w:r>
      <w:r w:rsidR="00225007">
        <w:rPr>
          <w:rFonts w:ascii="Century" w:hAnsi="Century"/>
          <w:sz w:val="28"/>
          <w:szCs w:val="28"/>
        </w:rPr>
        <w:t xml:space="preserve"> to confront him, he </w:t>
      </w:r>
      <w:r w:rsidR="005556C1">
        <w:rPr>
          <w:rFonts w:ascii="Century" w:hAnsi="Century"/>
          <w:sz w:val="28"/>
          <w:szCs w:val="28"/>
        </w:rPr>
        <w:t>replied</w:t>
      </w:r>
      <w:r w:rsidR="00225007">
        <w:rPr>
          <w:rFonts w:ascii="Century" w:hAnsi="Century"/>
          <w:sz w:val="28"/>
          <w:szCs w:val="28"/>
        </w:rPr>
        <w:t>, “F*ck you and your brother</w:t>
      </w:r>
      <w:r w:rsidR="005556C1">
        <w:rPr>
          <w:rFonts w:ascii="Century" w:hAnsi="Century"/>
          <w:sz w:val="28"/>
          <w:szCs w:val="28"/>
        </w:rPr>
        <w:t xml:space="preserve">,” and they “started fighting.” </w:t>
      </w:r>
      <w:r w:rsidR="004D44F8">
        <w:rPr>
          <w:rFonts w:ascii="Century" w:hAnsi="Century"/>
          <w:sz w:val="28"/>
          <w:szCs w:val="28"/>
        </w:rPr>
        <w:t>(T pp 32-3</w:t>
      </w:r>
      <w:r w:rsidR="008B6AC4">
        <w:rPr>
          <w:rFonts w:ascii="Century" w:hAnsi="Century"/>
          <w:sz w:val="28"/>
          <w:szCs w:val="28"/>
        </w:rPr>
        <w:t>3</w:t>
      </w:r>
      <w:r w:rsidR="004D44F8">
        <w:rPr>
          <w:rFonts w:ascii="Century" w:hAnsi="Century"/>
          <w:sz w:val="28"/>
          <w:szCs w:val="28"/>
        </w:rPr>
        <w:t xml:space="preserve">) Mr. Robinson admitted that he was carrying a box cutter but denied </w:t>
      </w:r>
      <w:r w:rsidR="00DC50A6">
        <w:rPr>
          <w:rFonts w:ascii="Century" w:hAnsi="Century"/>
          <w:sz w:val="28"/>
          <w:szCs w:val="28"/>
        </w:rPr>
        <w:t xml:space="preserve">taking it out of his pocket </w:t>
      </w:r>
      <w:r w:rsidR="005F16FB">
        <w:rPr>
          <w:rFonts w:ascii="Century" w:hAnsi="Century"/>
          <w:sz w:val="28"/>
          <w:szCs w:val="28"/>
        </w:rPr>
        <w:t xml:space="preserve">at any time. (T pp </w:t>
      </w:r>
      <w:r w:rsidR="006D2B35">
        <w:rPr>
          <w:rFonts w:ascii="Century" w:hAnsi="Century"/>
          <w:sz w:val="28"/>
          <w:szCs w:val="28"/>
        </w:rPr>
        <w:t xml:space="preserve">28, </w:t>
      </w:r>
      <w:r w:rsidR="005F16FB">
        <w:rPr>
          <w:rFonts w:ascii="Century" w:hAnsi="Century"/>
          <w:sz w:val="28"/>
          <w:szCs w:val="28"/>
        </w:rPr>
        <w:t>3</w:t>
      </w:r>
      <w:r w:rsidR="00652EDF">
        <w:rPr>
          <w:rFonts w:ascii="Century" w:hAnsi="Century"/>
          <w:sz w:val="28"/>
          <w:szCs w:val="28"/>
        </w:rPr>
        <w:t>3</w:t>
      </w:r>
      <w:r w:rsidR="005F16FB">
        <w:rPr>
          <w:rFonts w:ascii="Century" w:hAnsi="Century"/>
          <w:sz w:val="28"/>
          <w:szCs w:val="28"/>
        </w:rPr>
        <w:t>-34)</w:t>
      </w:r>
      <w:r w:rsidR="00DC50A6">
        <w:rPr>
          <w:rFonts w:ascii="Century" w:hAnsi="Century"/>
          <w:sz w:val="28"/>
          <w:szCs w:val="28"/>
        </w:rPr>
        <w:t xml:space="preserve"> Mr. Robinson later admitted that he did pull his weapon but said he did so only after the fight was over.</w:t>
      </w:r>
      <w:r w:rsidR="007A6B69">
        <w:rPr>
          <w:rFonts w:ascii="Century" w:hAnsi="Century"/>
          <w:sz w:val="28"/>
          <w:szCs w:val="28"/>
        </w:rPr>
        <w:t xml:space="preserve"> (T pp 36-37)</w:t>
      </w:r>
      <w:r w:rsidR="008C22BE">
        <w:rPr>
          <w:rFonts w:ascii="Century" w:hAnsi="Century"/>
          <w:sz w:val="28"/>
          <w:szCs w:val="28"/>
        </w:rPr>
        <w:t xml:space="preserve"> Mr. Robinson testified that the item seen in his hand </w:t>
      </w:r>
      <w:r w:rsidR="00FB463D">
        <w:rPr>
          <w:rFonts w:ascii="Century" w:hAnsi="Century"/>
          <w:sz w:val="28"/>
          <w:szCs w:val="28"/>
        </w:rPr>
        <w:t>on the store surveillance video was not a box cutter, but instead the receipt he received after placing his order at the grill. (T p</w:t>
      </w:r>
      <w:r w:rsidR="009655ED">
        <w:rPr>
          <w:rFonts w:ascii="Century" w:hAnsi="Century"/>
          <w:sz w:val="28"/>
          <w:szCs w:val="28"/>
        </w:rPr>
        <w:t>p 4</w:t>
      </w:r>
      <w:r w:rsidR="00B13652">
        <w:rPr>
          <w:rFonts w:ascii="Century" w:hAnsi="Century"/>
          <w:sz w:val="28"/>
          <w:szCs w:val="28"/>
        </w:rPr>
        <w:t>9</w:t>
      </w:r>
      <w:r w:rsidR="009655ED">
        <w:rPr>
          <w:rFonts w:ascii="Century" w:hAnsi="Century"/>
          <w:sz w:val="28"/>
          <w:szCs w:val="28"/>
        </w:rPr>
        <w:t>-52)</w:t>
      </w:r>
      <w:r w:rsidR="00BB1D72">
        <w:rPr>
          <w:rFonts w:ascii="Century" w:hAnsi="Century"/>
          <w:sz w:val="28"/>
          <w:szCs w:val="28"/>
        </w:rPr>
        <w:t xml:space="preserve"> </w:t>
      </w:r>
    </w:p>
    <w:p w14:paraId="1F39BB82" w14:textId="2F81B594" w:rsidR="004301E6" w:rsidRDefault="00BB1D72" w:rsidP="00DD0E4B">
      <w:pPr>
        <w:spacing w:line="480" w:lineRule="auto"/>
        <w:ind w:firstLine="720"/>
        <w:jc w:val="both"/>
        <w:rPr>
          <w:rFonts w:ascii="Century" w:hAnsi="Century"/>
          <w:sz w:val="28"/>
          <w:szCs w:val="28"/>
        </w:rPr>
      </w:pPr>
      <w:r>
        <w:rPr>
          <w:rFonts w:ascii="Century" w:hAnsi="Century"/>
          <w:sz w:val="28"/>
          <w:szCs w:val="28"/>
        </w:rPr>
        <w:t xml:space="preserve">Based on the surveillance video, </w:t>
      </w:r>
      <w:r w:rsidR="006029DE">
        <w:rPr>
          <w:rFonts w:ascii="Century" w:hAnsi="Century"/>
          <w:sz w:val="28"/>
          <w:szCs w:val="28"/>
        </w:rPr>
        <w:t>the fight lasted approximately 20 seconds. (</w:t>
      </w:r>
      <w:r w:rsidR="007C4E4A">
        <w:rPr>
          <w:rFonts w:ascii="Century" w:hAnsi="Century"/>
          <w:i/>
          <w:iCs/>
          <w:sz w:val="28"/>
          <w:szCs w:val="28"/>
        </w:rPr>
        <w:t xml:space="preserve">See </w:t>
      </w:r>
      <w:r w:rsidR="006029DE">
        <w:rPr>
          <w:rFonts w:ascii="Century" w:hAnsi="Century"/>
          <w:sz w:val="28"/>
          <w:szCs w:val="28"/>
        </w:rPr>
        <w:t>T pp 9</w:t>
      </w:r>
      <w:r w:rsidR="00162A94">
        <w:rPr>
          <w:rFonts w:ascii="Century" w:hAnsi="Century"/>
          <w:sz w:val="28"/>
          <w:szCs w:val="28"/>
        </w:rPr>
        <w:t>7</w:t>
      </w:r>
      <w:r w:rsidR="006029DE">
        <w:rPr>
          <w:rFonts w:ascii="Century" w:hAnsi="Century"/>
          <w:sz w:val="28"/>
          <w:szCs w:val="28"/>
        </w:rPr>
        <w:t>-98)</w:t>
      </w:r>
      <w:r w:rsidR="007C4E4A">
        <w:rPr>
          <w:rFonts w:ascii="Century" w:hAnsi="Century"/>
          <w:sz w:val="28"/>
          <w:szCs w:val="28"/>
        </w:rPr>
        <w:t xml:space="preserve"> </w:t>
      </w:r>
      <w:r w:rsidR="00726D30">
        <w:rPr>
          <w:rFonts w:ascii="Century" w:hAnsi="Century"/>
          <w:sz w:val="28"/>
          <w:szCs w:val="28"/>
        </w:rPr>
        <w:t>As he left the store, Bobby</w:t>
      </w:r>
      <w:r w:rsidR="0000707C">
        <w:rPr>
          <w:rFonts w:ascii="Century" w:hAnsi="Century"/>
          <w:sz w:val="28"/>
          <w:szCs w:val="28"/>
        </w:rPr>
        <w:t xml:space="preserve"> told onlookers to “be quiet” about what they had seen. (T p 110) </w:t>
      </w:r>
      <w:r w:rsidR="007C4E4A">
        <w:rPr>
          <w:rFonts w:ascii="Century" w:hAnsi="Century"/>
          <w:sz w:val="28"/>
          <w:szCs w:val="28"/>
        </w:rPr>
        <w:t xml:space="preserve">A store employee rendered </w:t>
      </w:r>
      <w:r w:rsidR="007C4E4A">
        <w:rPr>
          <w:rFonts w:ascii="Century" w:hAnsi="Century"/>
          <w:sz w:val="28"/>
          <w:szCs w:val="28"/>
        </w:rPr>
        <w:lastRenderedPageBreak/>
        <w:t xml:space="preserve">first aid </w:t>
      </w:r>
      <w:r w:rsidR="0000707C">
        <w:rPr>
          <w:rFonts w:ascii="Century" w:hAnsi="Century"/>
          <w:sz w:val="28"/>
          <w:szCs w:val="28"/>
        </w:rPr>
        <w:t xml:space="preserve">To Mr. Robinson </w:t>
      </w:r>
      <w:r w:rsidR="007C4E4A">
        <w:rPr>
          <w:rFonts w:ascii="Century" w:hAnsi="Century"/>
          <w:sz w:val="28"/>
          <w:szCs w:val="28"/>
        </w:rPr>
        <w:t xml:space="preserve">until authorities arrived. (T </w:t>
      </w:r>
      <w:r w:rsidR="00955E7E">
        <w:rPr>
          <w:rFonts w:ascii="Century" w:hAnsi="Century"/>
          <w:sz w:val="28"/>
          <w:szCs w:val="28"/>
        </w:rPr>
        <w:t>p 109</w:t>
      </w:r>
      <w:r w:rsidR="00726D30">
        <w:rPr>
          <w:rFonts w:ascii="Century" w:hAnsi="Century"/>
          <w:sz w:val="28"/>
          <w:szCs w:val="28"/>
        </w:rPr>
        <w:t>)</w:t>
      </w:r>
      <w:r w:rsidR="008C44FB">
        <w:rPr>
          <w:rFonts w:ascii="Century" w:hAnsi="Century"/>
          <w:sz w:val="28"/>
          <w:szCs w:val="28"/>
        </w:rPr>
        <w:t xml:space="preserve"> Dr. Sarah Fox later determined that Mr. Robinson had </w:t>
      </w:r>
      <w:r w:rsidR="00B319EB">
        <w:rPr>
          <w:rFonts w:ascii="Century" w:hAnsi="Century"/>
          <w:sz w:val="28"/>
          <w:szCs w:val="28"/>
        </w:rPr>
        <w:t>five abdominal stab wounds</w:t>
      </w:r>
      <w:r w:rsidR="00367B1F">
        <w:rPr>
          <w:rFonts w:ascii="Century" w:hAnsi="Century"/>
          <w:sz w:val="28"/>
          <w:szCs w:val="28"/>
        </w:rPr>
        <w:t>, three of which were superficial</w:t>
      </w:r>
      <w:r w:rsidR="00B11669">
        <w:rPr>
          <w:rFonts w:ascii="Century" w:hAnsi="Century"/>
          <w:sz w:val="28"/>
          <w:szCs w:val="28"/>
        </w:rPr>
        <w:t xml:space="preserve">. A portion of his small intestine was protruding from one of the wounds. </w:t>
      </w:r>
      <w:r w:rsidR="0095619D">
        <w:rPr>
          <w:rFonts w:ascii="Century" w:hAnsi="Century"/>
          <w:sz w:val="28"/>
          <w:szCs w:val="28"/>
        </w:rPr>
        <w:t>Such an injury can be fatal if untreated, so Mr. Robinson was taken into surgery.</w:t>
      </w:r>
      <w:r w:rsidR="00FA59E0">
        <w:rPr>
          <w:rFonts w:ascii="Century" w:hAnsi="Century"/>
          <w:sz w:val="28"/>
          <w:szCs w:val="28"/>
        </w:rPr>
        <w:t xml:space="preserve"> He was in the hospital for five days but ultimately recovered well. (T pp 16</w:t>
      </w:r>
      <w:r w:rsidR="00367B1F">
        <w:rPr>
          <w:rFonts w:ascii="Century" w:hAnsi="Century"/>
          <w:sz w:val="28"/>
          <w:szCs w:val="28"/>
        </w:rPr>
        <w:t>5</w:t>
      </w:r>
      <w:r w:rsidR="00FA59E0">
        <w:rPr>
          <w:rFonts w:ascii="Century" w:hAnsi="Century"/>
          <w:sz w:val="28"/>
          <w:szCs w:val="28"/>
        </w:rPr>
        <w:t>-7</w:t>
      </w:r>
      <w:r w:rsidR="00367B1F">
        <w:rPr>
          <w:rFonts w:ascii="Century" w:hAnsi="Century"/>
          <w:sz w:val="28"/>
          <w:szCs w:val="28"/>
        </w:rPr>
        <w:t>1</w:t>
      </w:r>
      <w:r w:rsidR="00FA59E0">
        <w:rPr>
          <w:rFonts w:ascii="Century" w:hAnsi="Century"/>
          <w:sz w:val="28"/>
          <w:szCs w:val="28"/>
        </w:rPr>
        <w:t>)</w:t>
      </w:r>
    </w:p>
    <w:p w14:paraId="18EEBA12" w14:textId="1FC26B77" w:rsidR="00534B1D" w:rsidRDefault="00770DDB" w:rsidP="00DD0E4B">
      <w:pPr>
        <w:spacing w:line="480" w:lineRule="auto"/>
        <w:ind w:firstLine="720"/>
        <w:jc w:val="both"/>
        <w:rPr>
          <w:rFonts w:ascii="Century" w:hAnsi="Century"/>
          <w:sz w:val="28"/>
          <w:szCs w:val="28"/>
        </w:rPr>
      </w:pPr>
      <w:r>
        <w:rPr>
          <w:rFonts w:ascii="Century" w:hAnsi="Century"/>
          <w:sz w:val="28"/>
          <w:szCs w:val="28"/>
        </w:rPr>
        <w:t xml:space="preserve">Witnesses identified </w:t>
      </w:r>
      <w:r w:rsidR="002E3C20">
        <w:rPr>
          <w:rFonts w:ascii="Century" w:hAnsi="Century"/>
          <w:sz w:val="28"/>
          <w:szCs w:val="28"/>
        </w:rPr>
        <w:t>the Perez brothers to police. (T p 133)</w:t>
      </w:r>
      <w:r w:rsidR="00C574AF">
        <w:rPr>
          <w:rFonts w:ascii="Century" w:hAnsi="Century"/>
          <w:sz w:val="28"/>
          <w:szCs w:val="28"/>
        </w:rPr>
        <w:t xml:space="preserve"> Police also </w:t>
      </w:r>
      <w:r w:rsidR="000D468A">
        <w:rPr>
          <w:rFonts w:ascii="Century" w:hAnsi="Century"/>
          <w:sz w:val="28"/>
          <w:szCs w:val="28"/>
        </w:rPr>
        <w:t xml:space="preserve">reviewed </w:t>
      </w:r>
      <w:r w:rsidR="00C574AF">
        <w:rPr>
          <w:rFonts w:ascii="Century" w:hAnsi="Century"/>
          <w:sz w:val="28"/>
          <w:szCs w:val="28"/>
        </w:rPr>
        <w:t>the surveillance video from the store.</w:t>
      </w:r>
      <w:r w:rsidR="00555249">
        <w:rPr>
          <w:rFonts w:ascii="Century" w:hAnsi="Century"/>
          <w:sz w:val="28"/>
          <w:szCs w:val="28"/>
        </w:rPr>
        <w:t xml:space="preserve"> (T </w:t>
      </w:r>
      <w:r w:rsidR="008C44FB">
        <w:rPr>
          <w:rFonts w:ascii="Century" w:hAnsi="Century"/>
          <w:sz w:val="28"/>
          <w:szCs w:val="28"/>
        </w:rPr>
        <w:t>p</w:t>
      </w:r>
      <w:r w:rsidR="00555249">
        <w:rPr>
          <w:rFonts w:ascii="Century" w:hAnsi="Century"/>
          <w:sz w:val="28"/>
          <w:szCs w:val="28"/>
        </w:rPr>
        <w:t xml:space="preserve">p </w:t>
      </w:r>
      <w:r w:rsidR="00864A4A">
        <w:rPr>
          <w:rFonts w:ascii="Century" w:hAnsi="Century"/>
          <w:sz w:val="28"/>
          <w:szCs w:val="28"/>
        </w:rPr>
        <w:t>145-46</w:t>
      </w:r>
      <w:r w:rsidR="00555249">
        <w:rPr>
          <w:rFonts w:ascii="Century" w:hAnsi="Century"/>
          <w:sz w:val="28"/>
          <w:szCs w:val="28"/>
        </w:rPr>
        <w:t>)</w:t>
      </w:r>
      <w:r w:rsidR="00C574AF">
        <w:rPr>
          <w:rFonts w:ascii="Century" w:hAnsi="Century"/>
          <w:sz w:val="28"/>
          <w:szCs w:val="28"/>
        </w:rPr>
        <w:t xml:space="preserve"> </w:t>
      </w:r>
      <w:r w:rsidR="00563C00">
        <w:rPr>
          <w:rFonts w:ascii="Century" w:hAnsi="Century"/>
          <w:sz w:val="28"/>
          <w:szCs w:val="28"/>
        </w:rPr>
        <w:t>Warrants were obtained for the Perez brothers</w:t>
      </w:r>
      <w:r w:rsidR="00893775">
        <w:rPr>
          <w:rFonts w:ascii="Century" w:hAnsi="Century"/>
          <w:sz w:val="28"/>
          <w:szCs w:val="28"/>
        </w:rPr>
        <w:t xml:space="preserve">, who </w:t>
      </w:r>
      <w:r w:rsidR="00FD3958">
        <w:rPr>
          <w:rFonts w:ascii="Century" w:hAnsi="Century"/>
          <w:sz w:val="28"/>
          <w:szCs w:val="28"/>
        </w:rPr>
        <w:t xml:space="preserve">then </w:t>
      </w:r>
      <w:r w:rsidR="00893775">
        <w:rPr>
          <w:rFonts w:ascii="Century" w:hAnsi="Century"/>
          <w:sz w:val="28"/>
          <w:szCs w:val="28"/>
        </w:rPr>
        <w:t>made arrangements through counsel to turn themselves in</w:t>
      </w:r>
      <w:r w:rsidR="00563C00">
        <w:rPr>
          <w:rFonts w:ascii="Century" w:hAnsi="Century"/>
          <w:sz w:val="28"/>
          <w:szCs w:val="28"/>
        </w:rPr>
        <w:t>.</w:t>
      </w:r>
      <w:r w:rsidR="00893775">
        <w:rPr>
          <w:rFonts w:ascii="Century" w:hAnsi="Century"/>
          <w:sz w:val="28"/>
          <w:szCs w:val="28"/>
        </w:rPr>
        <w:t xml:space="preserve"> (T p</w:t>
      </w:r>
      <w:r w:rsidR="00D36E08">
        <w:rPr>
          <w:rFonts w:ascii="Century" w:hAnsi="Century"/>
          <w:sz w:val="28"/>
          <w:szCs w:val="28"/>
        </w:rPr>
        <w:t xml:space="preserve"> 186)</w:t>
      </w:r>
      <w:r w:rsidR="00563C00">
        <w:rPr>
          <w:rFonts w:ascii="Century" w:hAnsi="Century"/>
          <w:sz w:val="28"/>
          <w:szCs w:val="28"/>
        </w:rPr>
        <w:t xml:space="preserve"> </w:t>
      </w:r>
    </w:p>
    <w:p w14:paraId="3434D38E" w14:textId="741FB524" w:rsidR="000D73B4" w:rsidRDefault="000D73B4" w:rsidP="000D73B4">
      <w:pPr>
        <w:spacing w:line="480" w:lineRule="auto"/>
        <w:jc w:val="both"/>
        <w:rPr>
          <w:rFonts w:ascii="Century" w:hAnsi="Century"/>
          <w:sz w:val="28"/>
          <w:szCs w:val="28"/>
          <w:u w:val="single"/>
        </w:rPr>
      </w:pPr>
      <w:r>
        <w:rPr>
          <w:rFonts w:ascii="Century" w:hAnsi="Century"/>
          <w:sz w:val="28"/>
          <w:szCs w:val="28"/>
          <w:u w:val="single"/>
        </w:rPr>
        <w:t>The Jury Instructions</w:t>
      </w:r>
    </w:p>
    <w:p w14:paraId="15C25769" w14:textId="77777777" w:rsidR="004B740A" w:rsidRPr="00E658D7" w:rsidRDefault="004B740A" w:rsidP="004B740A">
      <w:pPr>
        <w:pStyle w:val="BodyTextIndent"/>
        <w:jc w:val="both"/>
        <w:rPr>
          <w:rFonts w:ascii="Century" w:hAnsi="Century"/>
          <w:sz w:val="28"/>
          <w:szCs w:val="28"/>
        </w:rPr>
      </w:pPr>
      <w:r>
        <w:rPr>
          <w:rFonts w:ascii="Century" w:hAnsi="Century"/>
          <w:sz w:val="28"/>
          <w:szCs w:val="28"/>
        </w:rPr>
        <w:t>T</w:t>
      </w:r>
      <w:r w:rsidRPr="00670F1B">
        <w:rPr>
          <w:rFonts w:ascii="Century" w:hAnsi="Century"/>
          <w:sz w:val="28"/>
          <w:szCs w:val="28"/>
        </w:rPr>
        <w:t xml:space="preserve">he jury was instructed on attempted first-degree murder, </w:t>
      </w:r>
      <w:r>
        <w:rPr>
          <w:rFonts w:ascii="Century" w:hAnsi="Century"/>
          <w:sz w:val="28"/>
          <w:szCs w:val="28"/>
        </w:rPr>
        <w:t>as well as</w:t>
      </w:r>
      <w:r w:rsidRPr="00670F1B">
        <w:rPr>
          <w:rFonts w:ascii="Century" w:hAnsi="Century"/>
          <w:sz w:val="28"/>
          <w:szCs w:val="28"/>
        </w:rPr>
        <w:t xml:space="preserve"> assault with a deadly weapon with intent to kill inflicting serious injury </w:t>
      </w:r>
      <w:r>
        <w:rPr>
          <w:rFonts w:ascii="Century" w:hAnsi="Century"/>
          <w:sz w:val="28"/>
          <w:szCs w:val="28"/>
        </w:rPr>
        <w:t xml:space="preserve">(“alphabet assault”) </w:t>
      </w:r>
      <w:r w:rsidRPr="00670F1B">
        <w:rPr>
          <w:rFonts w:ascii="Century" w:hAnsi="Century"/>
          <w:sz w:val="28"/>
          <w:szCs w:val="28"/>
        </w:rPr>
        <w:t xml:space="preserve">and assault with a deadly weapon inflicting serious injury. </w:t>
      </w:r>
      <w:r>
        <w:rPr>
          <w:rFonts w:ascii="Century" w:hAnsi="Century"/>
          <w:sz w:val="28"/>
          <w:szCs w:val="28"/>
        </w:rPr>
        <w:t xml:space="preserve">(T pp 414-23) </w:t>
      </w:r>
      <w:r w:rsidRPr="00670F1B">
        <w:rPr>
          <w:rFonts w:ascii="Century" w:hAnsi="Century"/>
          <w:sz w:val="28"/>
          <w:szCs w:val="28"/>
        </w:rPr>
        <w:t>Mr. Perez was convicted of only the third offense</w:t>
      </w:r>
      <w:r>
        <w:rPr>
          <w:rFonts w:ascii="Century" w:hAnsi="Century"/>
          <w:sz w:val="28"/>
          <w:szCs w:val="28"/>
        </w:rPr>
        <w:t>. (R p 40)</w:t>
      </w:r>
    </w:p>
    <w:p w14:paraId="7F750AC7" w14:textId="510E57B9" w:rsidR="000D73B4" w:rsidRDefault="000D73B4" w:rsidP="000D73B4">
      <w:pPr>
        <w:spacing w:line="480" w:lineRule="auto"/>
        <w:jc w:val="both"/>
        <w:rPr>
          <w:rFonts w:ascii="Century" w:hAnsi="Century"/>
          <w:sz w:val="28"/>
          <w:szCs w:val="28"/>
        </w:rPr>
      </w:pPr>
      <w:r>
        <w:rPr>
          <w:rFonts w:ascii="Century" w:hAnsi="Century"/>
          <w:sz w:val="28"/>
          <w:szCs w:val="28"/>
        </w:rPr>
        <w:tab/>
      </w:r>
      <w:r w:rsidR="00A30D47">
        <w:rPr>
          <w:rFonts w:ascii="Century" w:hAnsi="Century"/>
          <w:sz w:val="28"/>
          <w:szCs w:val="28"/>
        </w:rPr>
        <w:t>In relevant part, the jury was instructed</w:t>
      </w:r>
      <w:r w:rsidR="007210CB">
        <w:rPr>
          <w:rFonts w:ascii="Century" w:hAnsi="Century"/>
          <w:sz w:val="28"/>
          <w:szCs w:val="28"/>
        </w:rPr>
        <w:t>:</w:t>
      </w:r>
    </w:p>
    <w:p w14:paraId="437B3B06" w14:textId="58E38E96" w:rsidR="007210CB" w:rsidRDefault="0048116D" w:rsidP="000A176D">
      <w:pPr>
        <w:spacing w:after="120" w:line="240" w:lineRule="auto"/>
        <w:ind w:left="720" w:right="720"/>
        <w:jc w:val="both"/>
        <w:rPr>
          <w:rFonts w:ascii="Century" w:hAnsi="Century"/>
          <w:sz w:val="28"/>
          <w:szCs w:val="28"/>
        </w:rPr>
      </w:pPr>
      <w:r>
        <w:rPr>
          <w:rFonts w:ascii="Century" w:hAnsi="Century"/>
          <w:sz w:val="28"/>
          <w:szCs w:val="28"/>
        </w:rPr>
        <w:t xml:space="preserve">For you to find the defendant guilty of assault with a deadly weapon inflicting serious injury, </w:t>
      </w:r>
      <w:r w:rsidR="006A4FEF">
        <w:rPr>
          <w:rFonts w:ascii="Century" w:hAnsi="Century"/>
          <w:sz w:val="28"/>
          <w:szCs w:val="28"/>
        </w:rPr>
        <w:t xml:space="preserve">the State need not prove that the assault was committed with the specific intent to kill. </w:t>
      </w:r>
      <w:r w:rsidR="00C02A11">
        <w:rPr>
          <w:rFonts w:ascii="Century" w:hAnsi="Century"/>
          <w:sz w:val="28"/>
          <w:szCs w:val="28"/>
        </w:rPr>
        <w:t>The State must prove three things beyond a reasonable doubt</w:t>
      </w:r>
      <w:r w:rsidR="006463DE">
        <w:rPr>
          <w:rFonts w:ascii="Century" w:hAnsi="Century"/>
          <w:sz w:val="28"/>
          <w:szCs w:val="28"/>
        </w:rPr>
        <w:t>.</w:t>
      </w:r>
    </w:p>
    <w:p w14:paraId="2CE1F0C7" w14:textId="603980E8" w:rsidR="006463DE" w:rsidRDefault="006463DE" w:rsidP="000A176D">
      <w:pPr>
        <w:spacing w:after="120" w:line="240" w:lineRule="auto"/>
        <w:ind w:left="720" w:right="720"/>
        <w:jc w:val="both"/>
        <w:rPr>
          <w:rFonts w:ascii="Century" w:hAnsi="Century"/>
          <w:sz w:val="28"/>
          <w:szCs w:val="28"/>
        </w:rPr>
      </w:pPr>
      <w:r>
        <w:rPr>
          <w:rFonts w:ascii="Century" w:hAnsi="Century"/>
          <w:sz w:val="28"/>
          <w:szCs w:val="28"/>
        </w:rPr>
        <w:lastRenderedPageBreak/>
        <w:t xml:space="preserve">First, that the defendant assaulted the victim by intentionally and without justification or excuse stabbing </w:t>
      </w:r>
      <w:proofErr w:type="spellStart"/>
      <w:r>
        <w:rPr>
          <w:rFonts w:ascii="Century" w:hAnsi="Century"/>
          <w:sz w:val="28"/>
          <w:szCs w:val="28"/>
        </w:rPr>
        <w:t>Artez</w:t>
      </w:r>
      <w:proofErr w:type="spellEnd"/>
      <w:r>
        <w:rPr>
          <w:rFonts w:ascii="Century" w:hAnsi="Century"/>
          <w:sz w:val="28"/>
          <w:szCs w:val="28"/>
        </w:rPr>
        <w:t xml:space="preserve"> Deshawn Robinson.</w:t>
      </w:r>
    </w:p>
    <w:p w14:paraId="191322C5" w14:textId="57E4F6F1" w:rsidR="006463DE" w:rsidRDefault="006463DE" w:rsidP="000A176D">
      <w:pPr>
        <w:spacing w:after="120" w:line="240" w:lineRule="auto"/>
        <w:ind w:left="720" w:right="720"/>
        <w:jc w:val="both"/>
        <w:rPr>
          <w:rFonts w:ascii="Century" w:hAnsi="Century"/>
          <w:sz w:val="28"/>
          <w:szCs w:val="28"/>
        </w:rPr>
      </w:pPr>
      <w:r>
        <w:rPr>
          <w:rFonts w:ascii="Century" w:hAnsi="Century"/>
          <w:sz w:val="28"/>
          <w:szCs w:val="28"/>
        </w:rPr>
        <w:t xml:space="preserve">Second, that the defendant used a deadly weapon. A knife is a deadly weapon. </w:t>
      </w:r>
    </w:p>
    <w:p w14:paraId="05E25A7D" w14:textId="6C7D0C1A" w:rsidR="006463DE" w:rsidRDefault="006463DE" w:rsidP="000A176D">
      <w:pPr>
        <w:spacing w:after="120" w:line="240" w:lineRule="auto"/>
        <w:ind w:left="720" w:right="720"/>
        <w:jc w:val="both"/>
        <w:rPr>
          <w:rFonts w:ascii="Century" w:hAnsi="Century"/>
          <w:sz w:val="28"/>
          <w:szCs w:val="28"/>
        </w:rPr>
      </w:pPr>
      <w:r>
        <w:rPr>
          <w:rFonts w:ascii="Century" w:hAnsi="Century"/>
          <w:sz w:val="28"/>
          <w:szCs w:val="28"/>
        </w:rPr>
        <w:t xml:space="preserve">And third, that the defendant inflicted serious injury upon </w:t>
      </w:r>
      <w:r w:rsidR="00B900BA">
        <w:rPr>
          <w:rFonts w:ascii="Century" w:hAnsi="Century"/>
          <w:sz w:val="28"/>
          <w:szCs w:val="28"/>
        </w:rPr>
        <w:t>the victim. I previously defined serious injury and that definition applies equally here.</w:t>
      </w:r>
    </w:p>
    <w:p w14:paraId="14462075" w14:textId="7DE738F7" w:rsidR="00EC24D0" w:rsidRDefault="00EC24D0" w:rsidP="000A176D">
      <w:pPr>
        <w:spacing w:after="120" w:line="240" w:lineRule="auto"/>
        <w:ind w:left="720" w:right="720"/>
        <w:jc w:val="both"/>
        <w:rPr>
          <w:rFonts w:ascii="Century" w:hAnsi="Century"/>
          <w:sz w:val="28"/>
          <w:szCs w:val="28"/>
        </w:rPr>
      </w:pPr>
      <w:r>
        <w:rPr>
          <w:rFonts w:ascii="Century" w:hAnsi="Century"/>
          <w:sz w:val="28"/>
          <w:szCs w:val="28"/>
        </w:rPr>
        <w:t>If you find from the evidence beyond a reasonable doubt that on or about the alleged date, the defendant intentionally stabbed</w:t>
      </w:r>
      <w:r w:rsidR="005C1DB8">
        <w:rPr>
          <w:rFonts w:ascii="Century" w:hAnsi="Century"/>
          <w:sz w:val="28"/>
          <w:szCs w:val="28"/>
        </w:rPr>
        <w:t xml:space="preserve"> </w:t>
      </w:r>
      <w:proofErr w:type="spellStart"/>
      <w:r w:rsidR="005C1DB8">
        <w:rPr>
          <w:rFonts w:ascii="Century" w:hAnsi="Century"/>
          <w:sz w:val="28"/>
          <w:szCs w:val="28"/>
        </w:rPr>
        <w:t>Artez</w:t>
      </w:r>
      <w:proofErr w:type="spellEnd"/>
      <w:r w:rsidR="005C1DB8">
        <w:rPr>
          <w:rFonts w:ascii="Century" w:hAnsi="Century"/>
          <w:sz w:val="28"/>
          <w:szCs w:val="28"/>
        </w:rPr>
        <w:t xml:space="preserve"> Robinson with a knife thereby inflicting serious injury upon the victim, it would be your duty to </w:t>
      </w:r>
      <w:r w:rsidR="000A176D">
        <w:rPr>
          <w:rFonts w:ascii="Century" w:hAnsi="Century"/>
          <w:sz w:val="28"/>
          <w:szCs w:val="28"/>
        </w:rPr>
        <w:t xml:space="preserve">return a verdict of guilty. </w:t>
      </w:r>
      <w:r w:rsidR="00EB3E7D">
        <w:rPr>
          <w:rFonts w:ascii="Century" w:hAnsi="Century"/>
          <w:sz w:val="28"/>
          <w:szCs w:val="28"/>
        </w:rPr>
        <w:t>If you do not so find</w:t>
      </w:r>
      <w:r w:rsidR="008A0198">
        <w:rPr>
          <w:rFonts w:ascii="Century" w:hAnsi="Century"/>
          <w:sz w:val="28"/>
          <w:szCs w:val="28"/>
        </w:rPr>
        <w:t xml:space="preserve"> or have a reasonable doubt as to one or more of these things, it would be your duty to return a verdict of not guilty.</w:t>
      </w:r>
    </w:p>
    <w:p w14:paraId="2A8160A8" w14:textId="7A651215" w:rsidR="008A0198" w:rsidRDefault="008A0198" w:rsidP="000A176D">
      <w:pPr>
        <w:spacing w:after="120" w:line="240" w:lineRule="auto"/>
        <w:ind w:left="720" w:right="720"/>
        <w:jc w:val="both"/>
        <w:rPr>
          <w:rFonts w:ascii="Century" w:hAnsi="Century"/>
          <w:sz w:val="28"/>
          <w:szCs w:val="28"/>
        </w:rPr>
      </w:pPr>
      <w:r>
        <w:rPr>
          <w:rFonts w:ascii="Century" w:hAnsi="Century"/>
          <w:sz w:val="28"/>
          <w:szCs w:val="28"/>
        </w:rPr>
        <w:t xml:space="preserve">However, I instruct you </w:t>
      </w:r>
      <w:r w:rsidR="00E85A79">
        <w:rPr>
          <w:rFonts w:ascii="Century" w:hAnsi="Century"/>
          <w:sz w:val="28"/>
          <w:szCs w:val="28"/>
        </w:rPr>
        <w:t xml:space="preserve">even if you are satisfied beyond a reasonable doubt that the </w:t>
      </w:r>
      <w:r w:rsidR="00E85A79" w:rsidRPr="00ED1F16">
        <w:rPr>
          <w:rFonts w:ascii="Century" w:hAnsi="Century"/>
          <w:sz w:val="28"/>
          <w:szCs w:val="28"/>
        </w:rPr>
        <w:t>defendant committed assault with a deadly weapon with intent to kill inflicting serious injury</w:t>
      </w:r>
      <w:r w:rsidR="002363EC">
        <w:rPr>
          <w:rFonts w:ascii="Century" w:hAnsi="Century"/>
          <w:sz w:val="28"/>
          <w:szCs w:val="28"/>
        </w:rPr>
        <w:t xml:space="preserve"> or assault with a deadly weapon</w:t>
      </w:r>
      <w:r w:rsidR="00846498">
        <w:rPr>
          <w:rFonts w:ascii="Century" w:hAnsi="Century"/>
          <w:sz w:val="28"/>
          <w:szCs w:val="28"/>
        </w:rPr>
        <w:t xml:space="preserve"> inflicting serious injury</w:t>
      </w:r>
      <w:r w:rsidR="00E85A79" w:rsidRPr="00ED1F16">
        <w:rPr>
          <w:rFonts w:ascii="Century" w:hAnsi="Century"/>
          <w:sz w:val="28"/>
          <w:szCs w:val="28"/>
        </w:rPr>
        <w:t xml:space="preserve">, you may return a verdict of guilty only </w:t>
      </w:r>
      <w:r w:rsidR="00297BDE" w:rsidRPr="00ED1F16">
        <w:rPr>
          <w:rFonts w:ascii="Century" w:hAnsi="Century"/>
          <w:sz w:val="28"/>
          <w:szCs w:val="28"/>
        </w:rPr>
        <w:t>if the State has satisfied you beyond a reasonable</w:t>
      </w:r>
      <w:r w:rsidR="00297BDE">
        <w:rPr>
          <w:rFonts w:ascii="Century" w:hAnsi="Century"/>
          <w:sz w:val="28"/>
          <w:szCs w:val="28"/>
        </w:rPr>
        <w:t xml:space="preserve"> doubt that the defendant’s action was not </w:t>
      </w:r>
      <w:r w:rsidR="00BC1F59">
        <w:rPr>
          <w:rFonts w:ascii="Century" w:hAnsi="Century"/>
          <w:sz w:val="28"/>
          <w:szCs w:val="28"/>
        </w:rPr>
        <w:t>in defense of a family member: that is, the defendant did not reasonably believe that the assault was necessary or appeared to be necessary to p</w:t>
      </w:r>
      <w:r w:rsidR="003C6290">
        <w:rPr>
          <w:rFonts w:ascii="Century" w:hAnsi="Century"/>
          <w:sz w:val="28"/>
          <w:szCs w:val="28"/>
        </w:rPr>
        <w:t xml:space="preserve">rotect a family member </w:t>
      </w:r>
      <w:r w:rsidR="003C6290" w:rsidRPr="00BD650A">
        <w:rPr>
          <w:rFonts w:ascii="Century" w:hAnsi="Century"/>
          <w:sz w:val="28"/>
          <w:szCs w:val="28"/>
        </w:rPr>
        <w:t>from death or serious bodily injury</w:t>
      </w:r>
      <w:r w:rsidR="003C6290">
        <w:rPr>
          <w:rFonts w:ascii="Century" w:hAnsi="Century"/>
          <w:sz w:val="28"/>
          <w:szCs w:val="28"/>
        </w:rPr>
        <w:t xml:space="preserve"> </w:t>
      </w:r>
      <w:r w:rsidR="00B361B2">
        <w:rPr>
          <w:rFonts w:ascii="Century" w:hAnsi="Century"/>
          <w:sz w:val="28"/>
          <w:szCs w:val="28"/>
        </w:rPr>
        <w:t>or that the defendant used excessive force or his family member was the aggressor.</w:t>
      </w:r>
    </w:p>
    <w:p w14:paraId="058F7893" w14:textId="130174FD" w:rsidR="007C0B8A" w:rsidRDefault="00B361B2" w:rsidP="00F96A55">
      <w:pPr>
        <w:spacing w:after="120" w:line="240" w:lineRule="auto"/>
        <w:ind w:left="720" w:right="720"/>
        <w:jc w:val="both"/>
        <w:rPr>
          <w:rFonts w:ascii="Century" w:hAnsi="Century"/>
          <w:sz w:val="28"/>
          <w:szCs w:val="28"/>
        </w:rPr>
      </w:pPr>
      <w:r>
        <w:rPr>
          <w:rFonts w:ascii="Century" w:hAnsi="Century"/>
          <w:sz w:val="28"/>
          <w:szCs w:val="28"/>
        </w:rPr>
        <w:t>If you do not so find or have a reasonable doubt</w:t>
      </w:r>
      <w:r w:rsidR="00564CE6">
        <w:rPr>
          <w:rFonts w:ascii="Century" w:hAnsi="Century"/>
          <w:sz w:val="28"/>
          <w:szCs w:val="28"/>
        </w:rPr>
        <w:t xml:space="preserve"> that the State has proved any of these things, then the defendant’s action </w:t>
      </w:r>
      <w:r w:rsidR="00B67757">
        <w:rPr>
          <w:rFonts w:ascii="Century" w:hAnsi="Century"/>
          <w:sz w:val="28"/>
          <w:szCs w:val="28"/>
        </w:rPr>
        <w:t xml:space="preserve">would be justified by defense of a family </w:t>
      </w:r>
      <w:r w:rsidR="004648EE">
        <w:rPr>
          <w:rFonts w:ascii="Century" w:hAnsi="Century"/>
          <w:sz w:val="28"/>
          <w:szCs w:val="28"/>
        </w:rPr>
        <w:t>member,</w:t>
      </w:r>
      <w:r w:rsidR="00B67757">
        <w:rPr>
          <w:rFonts w:ascii="Century" w:hAnsi="Century"/>
          <w:sz w:val="28"/>
          <w:szCs w:val="28"/>
        </w:rPr>
        <w:t xml:space="preserve"> and it would be your duty to return a verdict of not guilty.</w:t>
      </w:r>
    </w:p>
    <w:p w14:paraId="61511CB0" w14:textId="12AFAE9F" w:rsidR="00E228F5" w:rsidRDefault="007C0B8A" w:rsidP="003C6A25">
      <w:pPr>
        <w:spacing w:after="120" w:line="240" w:lineRule="auto"/>
        <w:ind w:left="720" w:right="720"/>
        <w:jc w:val="both"/>
        <w:rPr>
          <w:rFonts w:ascii="Century" w:hAnsi="Century"/>
          <w:sz w:val="28"/>
          <w:szCs w:val="28"/>
        </w:rPr>
      </w:pPr>
      <w:r>
        <w:rPr>
          <w:rFonts w:ascii="Century" w:hAnsi="Century"/>
          <w:sz w:val="28"/>
          <w:szCs w:val="28"/>
        </w:rPr>
        <w:t xml:space="preserve">(T pp </w:t>
      </w:r>
      <w:r w:rsidR="00F96A55">
        <w:rPr>
          <w:rFonts w:ascii="Century" w:hAnsi="Century"/>
          <w:sz w:val="28"/>
          <w:szCs w:val="28"/>
        </w:rPr>
        <w:t>422</w:t>
      </w:r>
      <w:r>
        <w:rPr>
          <w:rFonts w:ascii="Century" w:hAnsi="Century"/>
          <w:sz w:val="28"/>
          <w:szCs w:val="28"/>
        </w:rPr>
        <w:t>-</w:t>
      </w:r>
      <w:r w:rsidR="00F96A55">
        <w:rPr>
          <w:rFonts w:ascii="Century" w:hAnsi="Century"/>
          <w:sz w:val="28"/>
          <w:szCs w:val="28"/>
        </w:rPr>
        <w:t>23</w:t>
      </w:r>
      <w:r w:rsidR="007732F2">
        <w:rPr>
          <w:rFonts w:ascii="Century" w:hAnsi="Century"/>
          <w:sz w:val="28"/>
          <w:szCs w:val="28"/>
        </w:rPr>
        <w:t xml:space="preserve">; </w:t>
      </w:r>
      <w:r w:rsidR="007732F2">
        <w:rPr>
          <w:rFonts w:ascii="Century" w:hAnsi="Century"/>
          <w:i/>
          <w:iCs/>
          <w:sz w:val="28"/>
          <w:szCs w:val="28"/>
        </w:rPr>
        <w:t xml:space="preserve">see also </w:t>
      </w:r>
      <w:r w:rsidR="007732F2">
        <w:rPr>
          <w:rFonts w:ascii="Century" w:hAnsi="Century"/>
          <w:sz w:val="28"/>
          <w:szCs w:val="28"/>
        </w:rPr>
        <w:t xml:space="preserve">R pp </w:t>
      </w:r>
      <w:r w:rsidR="008F550A">
        <w:rPr>
          <w:rFonts w:ascii="Century" w:hAnsi="Century"/>
          <w:sz w:val="28"/>
          <w:szCs w:val="28"/>
        </w:rPr>
        <w:t>18-19</w:t>
      </w:r>
      <w:r w:rsidR="00F96A55">
        <w:rPr>
          <w:rFonts w:ascii="Century" w:hAnsi="Century"/>
          <w:sz w:val="28"/>
          <w:szCs w:val="28"/>
        </w:rPr>
        <w:t>)</w:t>
      </w:r>
    </w:p>
    <w:p w14:paraId="4C11510B" w14:textId="369FF8C8" w:rsidR="00FD3958" w:rsidRPr="004B740A" w:rsidRDefault="009305DA" w:rsidP="004B740A">
      <w:pPr>
        <w:spacing w:after="120" w:line="480" w:lineRule="auto"/>
        <w:ind w:firstLine="720"/>
        <w:jc w:val="both"/>
        <w:rPr>
          <w:rFonts w:ascii="Century" w:hAnsi="Century"/>
          <w:sz w:val="28"/>
          <w:szCs w:val="28"/>
        </w:rPr>
      </w:pPr>
      <w:r>
        <w:rPr>
          <w:rFonts w:ascii="Century" w:hAnsi="Century"/>
          <w:sz w:val="28"/>
          <w:szCs w:val="28"/>
        </w:rPr>
        <w:t xml:space="preserve">Mr. Perez was subsequently </w:t>
      </w:r>
      <w:r w:rsidR="00C36627">
        <w:rPr>
          <w:rFonts w:ascii="Century" w:hAnsi="Century"/>
          <w:sz w:val="28"/>
          <w:szCs w:val="28"/>
        </w:rPr>
        <w:t>found guilty</w:t>
      </w:r>
      <w:r>
        <w:rPr>
          <w:rFonts w:ascii="Century" w:hAnsi="Century"/>
          <w:sz w:val="28"/>
          <w:szCs w:val="28"/>
        </w:rPr>
        <w:t xml:space="preserve"> of assault with a deadly weapon inflicting serious injury</w:t>
      </w:r>
      <w:r w:rsidR="008C155D">
        <w:rPr>
          <w:rFonts w:ascii="Century" w:hAnsi="Century"/>
          <w:sz w:val="28"/>
          <w:szCs w:val="28"/>
        </w:rPr>
        <w:t xml:space="preserve"> and sentenced to </w:t>
      </w:r>
      <w:r w:rsidR="00764490">
        <w:rPr>
          <w:rFonts w:ascii="Century" w:hAnsi="Century"/>
          <w:sz w:val="28"/>
          <w:szCs w:val="28"/>
        </w:rPr>
        <w:t>28 to 46 months’ imprisonment</w:t>
      </w:r>
      <w:r>
        <w:rPr>
          <w:rFonts w:ascii="Century" w:hAnsi="Century"/>
          <w:sz w:val="28"/>
          <w:szCs w:val="28"/>
        </w:rPr>
        <w:t>.</w:t>
      </w:r>
      <w:r w:rsidR="00C36627">
        <w:rPr>
          <w:rFonts w:ascii="Century" w:hAnsi="Century"/>
          <w:sz w:val="28"/>
          <w:szCs w:val="28"/>
        </w:rPr>
        <w:t xml:space="preserve"> (R p</w:t>
      </w:r>
      <w:r w:rsidR="00764490">
        <w:rPr>
          <w:rFonts w:ascii="Century" w:hAnsi="Century"/>
          <w:sz w:val="28"/>
          <w:szCs w:val="28"/>
        </w:rPr>
        <w:t>p</w:t>
      </w:r>
      <w:r w:rsidR="00C36627">
        <w:rPr>
          <w:rFonts w:ascii="Century" w:hAnsi="Century"/>
          <w:sz w:val="28"/>
          <w:szCs w:val="28"/>
        </w:rPr>
        <w:t xml:space="preserve"> 40</w:t>
      </w:r>
      <w:r w:rsidR="00764490">
        <w:rPr>
          <w:rFonts w:ascii="Century" w:hAnsi="Century"/>
          <w:sz w:val="28"/>
          <w:szCs w:val="28"/>
        </w:rPr>
        <w:t>, 43</w:t>
      </w:r>
      <w:r w:rsidR="00C36627">
        <w:rPr>
          <w:rFonts w:ascii="Century" w:hAnsi="Century"/>
          <w:sz w:val="28"/>
          <w:szCs w:val="28"/>
        </w:rPr>
        <w:t>)</w:t>
      </w:r>
    </w:p>
    <w:p w14:paraId="0DF8737B" w14:textId="00A16E4E" w:rsidR="00166D53" w:rsidRDefault="00067013">
      <w:pPr>
        <w:pStyle w:val="BodyTextIndent"/>
        <w:ind w:firstLine="0"/>
        <w:jc w:val="center"/>
        <w:rPr>
          <w:rFonts w:ascii="Century" w:hAnsi="Century"/>
          <w:b/>
          <w:bCs/>
          <w:sz w:val="28"/>
          <w:szCs w:val="28"/>
          <w:u w:val="single"/>
        </w:rPr>
      </w:pPr>
      <w:r>
        <w:rPr>
          <w:rFonts w:ascii="Century" w:hAnsi="Century"/>
          <w:b/>
          <w:bCs/>
          <w:sz w:val="28"/>
          <w:szCs w:val="28"/>
          <w:u w:val="single"/>
        </w:rPr>
        <w:lastRenderedPageBreak/>
        <w:t>ARGUMENT</w:t>
      </w:r>
    </w:p>
    <w:p w14:paraId="0DF8737C" w14:textId="08E613E2" w:rsidR="00166D53" w:rsidRPr="00A754CF" w:rsidRDefault="00067013">
      <w:pPr>
        <w:pStyle w:val="BodyTextIndent"/>
        <w:spacing w:line="240" w:lineRule="auto"/>
        <w:ind w:left="720" w:hanging="720"/>
        <w:jc w:val="both"/>
        <w:rPr>
          <w:rFonts w:ascii="Century" w:hAnsi="Century"/>
          <w:b/>
          <w:color w:val="000000"/>
          <w:sz w:val="28"/>
          <w:szCs w:val="28"/>
        </w:rPr>
      </w:pPr>
      <w:r w:rsidRPr="00A754CF">
        <w:rPr>
          <w:rFonts w:ascii="Century" w:hAnsi="Century"/>
          <w:b/>
          <w:sz w:val="28"/>
          <w:szCs w:val="28"/>
        </w:rPr>
        <w:t>I.</w:t>
      </w:r>
      <w:r w:rsidRPr="00A754CF">
        <w:rPr>
          <w:rFonts w:ascii="Century" w:hAnsi="Century"/>
          <w:b/>
          <w:color w:val="000000"/>
          <w:sz w:val="28"/>
          <w:szCs w:val="28"/>
        </w:rPr>
        <w:tab/>
      </w:r>
      <w:r w:rsidR="0089761C" w:rsidRPr="00A754CF">
        <w:rPr>
          <w:rFonts w:ascii="Century" w:hAnsi="Century"/>
          <w:b/>
          <w:color w:val="000000"/>
          <w:sz w:val="28"/>
          <w:szCs w:val="28"/>
        </w:rPr>
        <w:t xml:space="preserve">THE TRIAL COURT </w:t>
      </w:r>
      <w:r w:rsidR="00543399" w:rsidRPr="00A754CF">
        <w:rPr>
          <w:rFonts w:ascii="Century" w:hAnsi="Century"/>
          <w:b/>
          <w:color w:val="000000"/>
          <w:sz w:val="28"/>
          <w:szCs w:val="28"/>
        </w:rPr>
        <w:t xml:space="preserve">ERRED OR </w:t>
      </w:r>
      <w:r w:rsidR="0089761C" w:rsidRPr="00A754CF">
        <w:rPr>
          <w:rFonts w:ascii="Century" w:hAnsi="Century"/>
          <w:b/>
          <w:color w:val="000000"/>
          <w:sz w:val="28"/>
          <w:szCs w:val="28"/>
        </w:rPr>
        <w:t xml:space="preserve">PLAINLY ERRED IN </w:t>
      </w:r>
      <w:r w:rsidR="00B10ECA" w:rsidRPr="00A754CF">
        <w:rPr>
          <w:rFonts w:ascii="Century" w:hAnsi="Century"/>
          <w:b/>
          <w:color w:val="000000"/>
          <w:sz w:val="28"/>
          <w:szCs w:val="28"/>
        </w:rPr>
        <w:t xml:space="preserve">ITS INSTRUCTIONS </w:t>
      </w:r>
      <w:r w:rsidR="00D41ABF">
        <w:rPr>
          <w:rFonts w:ascii="Century" w:hAnsi="Century"/>
          <w:b/>
          <w:color w:val="000000"/>
          <w:sz w:val="28"/>
          <w:szCs w:val="28"/>
        </w:rPr>
        <w:t>TO THE JURY WHERE IT OMITTED THE DEFINITION OF</w:t>
      </w:r>
      <w:r w:rsidR="00B10ECA" w:rsidRPr="00A754CF">
        <w:rPr>
          <w:rFonts w:ascii="Century" w:hAnsi="Century"/>
          <w:b/>
          <w:color w:val="000000"/>
          <w:sz w:val="28"/>
          <w:szCs w:val="28"/>
        </w:rPr>
        <w:t xml:space="preserve"> DEFENSE OF A FAMILY MEMBER.</w:t>
      </w:r>
    </w:p>
    <w:p w14:paraId="0DF8737D" w14:textId="37A96AD8" w:rsidR="00166D53" w:rsidRDefault="00166D53">
      <w:pPr>
        <w:pStyle w:val="BodyTextIndent"/>
        <w:spacing w:line="240" w:lineRule="auto"/>
        <w:ind w:left="720" w:firstLine="0"/>
        <w:jc w:val="both"/>
        <w:rPr>
          <w:rFonts w:ascii="Century" w:hAnsi="Century"/>
          <w:i/>
          <w:iCs/>
          <w:sz w:val="28"/>
          <w:szCs w:val="28"/>
          <w:highlight w:val="yellow"/>
        </w:rPr>
      </w:pPr>
    </w:p>
    <w:p w14:paraId="4E77E23D" w14:textId="195F0E48" w:rsidR="00D5677A" w:rsidRPr="00764C69" w:rsidRDefault="00D5677A" w:rsidP="00764C69">
      <w:pPr>
        <w:pStyle w:val="BodyTextIndent"/>
        <w:jc w:val="both"/>
        <w:rPr>
          <w:rFonts w:ascii="Century" w:hAnsi="Century"/>
          <w:sz w:val="28"/>
          <w:szCs w:val="28"/>
        </w:rPr>
      </w:pPr>
      <w:r>
        <w:rPr>
          <w:rFonts w:ascii="Century" w:hAnsi="Century"/>
          <w:sz w:val="28"/>
          <w:szCs w:val="28"/>
        </w:rPr>
        <w:t xml:space="preserve">A trial court must instruct the jury on all substantial features of a case, and the instructions the court gives </w:t>
      </w:r>
      <w:r w:rsidRPr="00FD6AB7">
        <w:rPr>
          <w:rFonts w:ascii="Century" w:hAnsi="Century"/>
          <w:sz w:val="28"/>
          <w:szCs w:val="28"/>
        </w:rPr>
        <w:t xml:space="preserve">must be correct statements of the law. </w:t>
      </w:r>
      <w:r w:rsidRPr="00FD6AB7">
        <w:rPr>
          <w:rFonts w:ascii="Century" w:hAnsi="Century"/>
          <w:i/>
          <w:iCs/>
          <w:sz w:val="28"/>
          <w:szCs w:val="28"/>
        </w:rPr>
        <w:t>See e.g., State v. Snider</w:t>
      </w:r>
      <w:r w:rsidRPr="00FD6AB7">
        <w:rPr>
          <w:rFonts w:ascii="Century" w:hAnsi="Century"/>
          <w:sz w:val="28"/>
          <w:szCs w:val="28"/>
        </w:rPr>
        <w:t xml:space="preserve">, 168 N.C. App. 701, 703 (2005). The trial court’s defense of a family member instruction in this case was erroneous because </w:t>
      </w:r>
      <w:r w:rsidR="00C01205" w:rsidRPr="00FD6AB7">
        <w:rPr>
          <w:rFonts w:ascii="Century" w:hAnsi="Century"/>
          <w:sz w:val="28"/>
          <w:szCs w:val="28"/>
        </w:rPr>
        <w:t>it omitted the definition of defense of a family member, including key terms such as “excessive force” and “aggressor</w:t>
      </w:r>
      <w:r w:rsidR="00C01205">
        <w:rPr>
          <w:rFonts w:ascii="Century" w:hAnsi="Century"/>
          <w:sz w:val="28"/>
          <w:szCs w:val="28"/>
        </w:rPr>
        <w:t xml:space="preserve">,” and ultimately left the jury with the incorrect </w:t>
      </w:r>
      <w:r w:rsidR="00FD6AB7">
        <w:rPr>
          <w:rFonts w:ascii="Century" w:hAnsi="Century"/>
          <w:sz w:val="28"/>
          <w:szCs w:val="28"/>
        </w:rPr>
        <w:t>impression that under the law, an aggressor can never regain the right to defense of another.</w:t>
      </w:r>
    </w:p>
    <w:p w14:paraId="500068F0" w14:textId="77777777" w:rsidR="001F636B" w:rsidRDefault="00067013" w:rsidP="001F636B">
      <w:pPr>
        <w:pStyle w:val="BodyTextIndent"/>
        <w:numPr>
          <w:ilvl w:val="0"/>
          <w:numId w:val="2"/>
        </w:numPr>
        <w:jc w:val="both"/>
        <w:rPr>
          <w:rFonts w:ascii="Century" w:hAnsi="Century"/>
          <w:b/>
          <w:bCs/>
          <w:sz w:val="28"/>
          <w:szCs w:val="28"/>
          <w:u w:val="single"/>
        </w:rPr>
      </w:pPr>
      <w:r>
        <w:rPr>
          <w:rFonts w:ascii="Century" w:hAnsi="Century"/>
          <w:b/>
          <w:bCs/>
          <w:sz w:val="28"/>
          <w:szCs w:val="28"/>
          <w:u w:val="single"/>
        </w:rPr>
        <w:t>Standard of Review</w:t>
      </w:r>
      <w:r w:rsidR="00053C6D">
        <w:rPr>
          <w:rFonts w:ascii="Century" w:hAnsi="Century"/>
          <w:b/>
          <w:bCs/>
          <w:sz w:val="28"/>
          <w:szCs w:val="28"/>
          <w:u w:val="single"/>
        </w:rPr>
        <w:t xml:space="preserve"> and Preservation</w:t>
      </w:r>
    </w:p>
    <w:p w14:paraId="04A34730" w14:textId="7BFE74A2" w:rsidR="001F636B" w:rsidRPr="001F636B" w:rsidRDefault="001F636B" w:rsidP="001F636B">
      <w:pPr>
        <w:pStyle w:val="BodyTextIndent"/>
        <w:jc w:val="both"/>
        <w:rPr>
          <w:rFonts w:ascii="Century" w:hAnsi="Century"/>
          <w:b/>
          <w:bCs/>
          <w:sz w:val="28"/>
          <w:szCs w:val="28"/>
          <w:u w:val="single"/>
        </w:rPr>
      </w:pPr>
      <w:r w:rsidRPr="001F636B">
        <w:rPr>
          <w:rFonts w:ascii="Century" w:hAnsi="Century"/>
          <w:sz w:val="28"/>
        </w:rPr>
        <w:t xml:space="preserve">A trial court’s decisions regarding jury instructions are reviewed </w:t>
      </w:r>
      <w:r w:rsidRPr="001F636B">
        <w:rPr>
          <w:rFonts w:ascii="Century" w:hAnsi="Century"/>
          <w:i/>
          <w:sz w:val="28"/>
        </w:rPr>
        <w:t>de novo. State v. Osorio</w:t>
      </w:r>
      <w:r w:rsidRPr="001F636B">
        <w:rPr>
          <w:rFonts w:ascii="Century" w:hAnsi="Century"/>
          <w:sz w:val="28"/>
        </w:rPr>
        <w:t>, 196 N.C. App. 458, 466 (2009).</w:t>
      </w:r>
      <w:r w:rsidRPr="001F636B">
        <w:rPr>
          <w:rFonts w:ascii="Century" w:hAnsi="Century"/>
          <w:i/>
          <w:sz w:val="28"/>
        </w:rPr>
        <w:t xml:space="preserve"> </w:t>
      </w:r>
      <w:r w:rsidRPr="001F636B">
        <w:rPr>
          <w:rFonts w:ascii="Century" w:hAnsi="Century"/>
          <w:sz w:val="28"/>
        </w:rPr>
        <w:t xml:space="preserve">In </w:t>
      </w:r>
      <w:r w:rsidRPr="001F636B">
        <w:rPr>
          <w:rFonts w:ascii="Century" w:hAnsi="Century"/>
          <w:i/>
          <w:sz w:val="28"/>
        </w:rPr>
        <w:t xml:space="preserve">de novo </w:t>
      </w:r>
      <w:r w:rsidRPr="001F636B">
        <w:rPr>
          <w:rFonts w:ascii="Century" w:hAnsi="Century"/>
          <w:sz w:val="28"/>
        </w:rPr>
        <w:t xml:space="preserve">review, the appellate court “considers the matter anew and freely substitutes its own judgment for that of the lower tribunal.” </w:t>
      </w:r>
      <w:r w:rsidRPr="001F636B">
        <w:rPr>
          <w:rFonts w:ascii="Century" w:hAnsi="Century"/>
          <w:i/>
          <w:sz w:val="28"/>
        </w:rPr>
        <w:t>State v. Williams</w:t>
      </w:r>
      <w:r w:rsidRPr="001F636B">
        <w:rPr>
          <w:rFonts w:ascii="Century" w:hAnsi="Century"/>
          <w:sz w:val="28"/>
        </w:rPr>
        <w:t xml:space="preserve">, 362 N.C. 628, 632-33 (2008) (citation and quotation omitted). </w:t>
      </w:r>
    </w:p>
    <w:p w14:paraId="16432B33" w14:textId="6608F922" w:rsidR="001F636B" w:rsidRPr="005A2E48" w:rsidRDefault="005A2E48" w:rsidP="001F636B">
      <w:pPr>
        <w:spacing w:line="480" w:lineRule="auto"/>
        <w:ind w:firstLine="720"/>
        <w:jc w:val="both"/>
        <w:rPr>
          <w:rFonts w:ascii="Century" w:hAnsi="Century"/>
          <w:sz w:val="28"/>
        </w:rPr>
      </w:pPr>
      <w:r w:rsidRPr="005A2E48">
        <w:rPr>
          <w:rFonts w:ascii="Century" w:hAnsi="Century"/>
          <w:sz w:val="28"/>
        </w:rPr>
        <w:t xml:space="preserve">Where the trial court agrees to give the pattern instruction but omits a significant provision, the error is preserved for full appellate </w:t>
      </w:r>
      <w:r w:rsidRPr="005A2E48">
        <w:rPr>
          <w:rFonts w:ascii="Century" w:hAnsi="Century"/>
          <w:sz w:val="28"/>
        </w:rPr>
        <w:lastRenderedPageBreak/>
        <w:t xml:space="preserve">review without objection. </w:t>
      </w:r>
      <w:r w:rsidRPr="005A2E48">
        <w:rPr>
          <w:rFonts w:ascii="Century" w:hAnsi="Century"/>
          <w:i/>
          <w:sz w:val="28"/>
        </w:rPr>
        <w:t>State v. Lee</w:t>
      </w:r>
      <w:r w:rsidRPr="005A2E48">
        <w:rPr>
          <w:rFonts w:ascii="Century" w:hAnsi="Century"/>
          <w:sz w:val="28"/>
        </w:rPr>
        <w:t>, 370 N.C. 671, 674 (2018) (new trial where instructions omitted the stand-your-ground portion of the self-defense instruction).</w:t>
      </w:r>
      <w:r w:rsidR="001F636B">
        <w:rPr>
          <w:rFonts w:ascii="Century" w:hAnsi="Century"/>
          <w:sz w:val="28"/>
        </w:rPr>
        <w:t xml:space="preserve"> </w:t>
      </w:r>
      <w:r w:rsidRPr="005A2E48">
        <w:rPr>
          <w:rFonts w:ascii="Century" w:hAnsi="Century"/>
          <w:sz w:val="28"/>
        </w:rPr>
        <w:t xml:space="preserve">Prejudice is established if there is a reasonable possibility of a different result at trial had the proper instruction been given. </w:t>
      </w:r>
      <w:r w:rsidRPr="005A2E48">
        <w:rPr>
          <w:rFonts w:ascii="Century" w:hAnsi="Century"/>
          <w:i/>
          <w:sz w:val="28"/>
        </w:rPr>
        <w:t>Id</w:t>
      </w:r>
      <w:r w:rsidRPr="005A2E48">
        <w:rPr>
          <w:rFonts w:ascii="Century" w:hAnsi="Century"/>
          <w:sz w:val="28"/>
        </w:rPr>
        <w:t>. at 676</w:t>
      </w:r>
      <w:r w:rsidR="00BE4775">
        <w:rPr>
          <w:rFonts w:ascii="Century" w:hAnsi="Century"/>
          <w:sz w:val="28"/>
        </w:rPr>
        <w:t>.</w:t>
      </w:r>
    </w:p>
    <w:p w14:paraId="7EA5CC4F" w14:textId="268C777E" w:rsidR="00FD6AB7" w:rsidRPr="00BE4406" w:rsidRDefault="00A754CF" w:rsidP="008422D5">
      <w:pPr>
        <w:pStyle w:val="BodyTextIndent"/>
        <w:jc w:val="both"/>
        <w:rPr>
          <w:rFonts w:ascii="Century" w:hAnsi="Century"/>
          <w:sz w:val="28"/>
          <w:szCs w:val="28"/>
        </w:rPr>
      </w:pPr>
      <w:r>
        <w:rPr>
          <w:rFonts w:ascii="Century" w:hAnsi="Century"/>
          <w:sz w:val="28"/>
          <w:szCs w:val="28"/>
        </w:rPr>
        <w:t xml:space="preserve">In the alternative, Mr. Perez </w:t>
      </w:r>
      <w:r w:rsidR="00777265">
        <w:rPr>
          <w:rFonts w:ascii="Century" w:hAnsi="Century"/>
          <w:sz w:val="28"/>
          <w:szCs w:val="28"/>
        </w:rPr>
        <w:t xml:space="preserve">asks this Court to review the issue for plain error. </w:t>
      </w:r>
      <w:r w:rsidR="00602EE9" w:rsidRPr="00BE4406">
        <w:rPr>
          <w:rFonts w:ascii="Century" w:hAnsi="Century"/>
          <w:sz w:val="28"/>
          <w:szCs w:val="28"/>
        </w:rPr>
        <w:t xml:space="preserve">Trial counsel did not object to the jury instructions, either during the charge conference or after the jury was instructed. </w:t>
      </w:r>
      <w:r w:rsidR="000D34BB" w:rsidRPr="00BE4406">
        <w:rPr>
          <w:rFonts w:ascii="Century" w:hAnsi="Century"/>
          <w:sz w:val="28"/>
          <w:szCs w:val="28"/>
        </w:rPr>
        <w:t>(T pp 399-400, 426-27)</w:t>
      </w:r>
      <w:r w:rsidR="00A37264" w:rsidRPr="00BE4406">
        <w:rPr>
          <w:rFonts w:ascii="Century" w:hAnsi="Century"/>
          <w:sz w:val="28"/>
          <w:szCs w:val="28"/>
        </w:rPr>
        <w:t xml:space="preserve"> </w:t>
      </w:r>
      <w:r w:rsidR="001C3535">
        <w:rPr>
          <w:rFonts w:ascii="Century" w:hAnsi="Century"/>
          <w:i/>
          <w:iCs/>
          <w:sz w:val="28"/>
          <w:szCs w:val="28"/>
        </w:rPr>
        <w:t xml:space="preserve">See </w:t>
      </w:r>
      <w:r w:rsidR="00225D90" w:rsidRPr="00BE4406">
        <w:rPr>
          <w:rFonts w:ascii="Century" w:hAnsi="Century"/>
          <w:sz w:val="28"/>
          <w:szCs w:val="28"/>
        </w:rPr>
        <w:t xml:space="preserve">N.C. R. App. P. 10(a)(4). Under the plain error standard of review, “a defendant must demonstrate that a fundamental error has occurred at trial. To show that an error was fundamental, a defendant must establish prejudice – that, after examination of the entire record, the error had a probable impact on the jury’s finding that the defendant was guilty.” </w:t>
      </w:r>
      <w:r w:rsidR="00225D90" w:rsidRPr="00BE4406">
        <w:rPr>
          <w:rFonts w:ascii="Century" w:hAnsi="Century"/>
          <w:i/>
          <w:iCs/>
          <w:sz w:val="28"/>
          <w:szCs w:val="28"/>
        </w:rPr>
        <w:t>State v. Lawrence</w:t>
      </w:r>
      <w:r w:rsidR="00225D90" w:rsidRPr="00BE4406">
        <w:rPr>
          <w:rFonts w:ascii="Century" w:hAnsi="Century"/>
          <w:sz w:val="28"/>
          <w:szCs w:val="28"/>
        </w:rPr>
        <w:t>, 365 N.C. 506, 518 (2012) (cleaned up).</w:t>
      </w:r>
      <w:r w:rsidR="00726492" w:rsidRPr="00BE4406">
        <w:rPr>
          <w:rFonts w:ascii="Century" w:hAnsi="Century"/>
          <w:sz w:val="28"/>
          <w:szCs w:val="28"/>
        </w:rPr>
        <w:t xml:space="preserve"> </w:t>
      </w:r>
    </w:p>
    <w:p w14:paraId="0DF87381" w14:textId="7DFA0761" w:rsidR="00166D53" w:rsidRDefault="00067013">
      <w:pPr>
        <w:pStyle w:val="BodyTextIndent"/>
        <w:numPr>
          <w:ilvl w:val="0"/>
          <w:numId w:val="2"/>
        </w:numPr>
        <w:jc w:val="both"/>
        <w:rPr>
          <w:rFonts w:ascii="Century" w:hAnsi="Century"/>
          <w:b/>
          <w:bCs/>
          <w:sz w:val="28"/>
          <w:szCs w:val="28"/>
          <w:u w:val="single"/>
        </w:rPr>
      </w:pPr>
      <w:r w:rsidRPr="00CB4A98">
        <w:rPr>
          <w:rFonts w:ascii="Century" w:hAnsi="Century"/>
          <w:b/>
          <w:bCs/>
          <w:sz w:val="28"/>
          <w:szCs w:val="28"/>
          <w:u w:val="single"/>
        </w:rPr>
        <w:t>Legal Analysis</w:t>
      </w:r>
    </w:p>
    <w:p w14:paraId="5CC1EFE1" w14:textId="46783B61" w:rsidR="002B42CA" w:rsidRPr="00BD4B91" w:rsidRDefault="00DD04F8" w:rsidP="007C4BCF">
      <w:pPr>
        <w:pStyle w:val="BodyTextIndent"/>
        <w:jc w:val="both"/>
        <w:rPr>
          <w:rFonts w:ascii="Century" w:hAnsi="Century"/>
          <w:sz w:val="28"/>
          <w:szCs w:val="28"/>
        </w:rPr>
      </w:pPr>
      <w:r>
        <w:rPr>
          <w:rFonts w:ascii="Century" w:hAnsi="Century"/>
          <w:sz w:val="28"/>
          <w:szCs w:val="28"/>
        </w:rPr>
        <w:t>It was apparent from the earliest stages that Mr. Perez’ case would turn on self-defense and/or defense of a family member. (</w:t>
      </w:r>
      <w:r>
        <w:rPr>
          <w:rFonts w:ascii="Century" w:hAnsi="Century"/>
          <w:i/>
          <w:iCs/>
          <w:sz w:val="28"/>
          <w:szCs w:val="28"/>
        </w:rPr>
        <w:t>See</w:t>
      </w:r>
      <w:r>
        <w:rPr>
          <w:rFonts w:ascii="Century" w:hAnsi="Century"/>
          <w:sz w:val="28"/>
          <w:szCs w:val="28"/>
        </w:rPr>
        <w:t xml:space="preserve"> R p </w:t>
      </w:r>
      <w:r w:rsidR="0096612C">
        <w:rPr>
          <w:rFonts w:ascii="Century" w:hAnsi="Century"/>
          <w:sz w:val="28"/>
          <w:szCs w:val="28"/>
        </w:rPr>
        <w:t>7</w:t>
      </w:r>
      <w:r>
        <w:rPr>
          <w:rFonts w:ascii="Century" w:hAnsi="Century"/>
          <w:sz w:val="28"/>
          <w:szCs w:val="28"/>
        </w:rPr>
        <w:t xml:space="preserve">; T </w:t>
      </w:r>
      <w:r w:rsidR="00C9516C">
        <w:rPr>
          <w:rFonts w:ascii="Century" w:hAnsi="Century"/>
          <w:sz w:val="28"/>
          <w:szCs w:val="28"/>
        </w:rPr>
        <w:t>p</w:t>
      </w:r>
      <w:r>
        <w:rPr>
          <w:rFonts w:ascii="Century" w:hAnsi="Century"/>
          <w:sz w:val="28"/>
          <w:szCs w:val="28"/>
        </w:rPr>
        <w:t xml:space="preserve">p </w:t>
      </w:r>
      <w:r w:rsidR="00BE79D8">
        <w:rPr>
          <w:rFonts w:ascii="Century" w:hAnsi="Century"/>
          <w:sz w:val="28"/>
          <w:szCs w:val="28"/>
        </w:rPr>
        <w:t>6-10 (</w:t>
      </w:r>
      <w:r w:rsidR="00BE79D8">
        <w:rPr>
          <w:rFonts w:ascii="Century" w:hAnsi="Century"/>
          <w:i/>
          <w:iCs/>
          <w:sz w:val="28"/>
          <w:szCs w:val="28"/>
        </w:rPr>
        <w:t xml:space="preserve">Harbison </w:t>
      </w:r>
      <w:r w:rsidR="00BE79D8">
        <w:rPr>
          <w:rFonts w:ascii="Century" w:hAnsi="Century"/>
          <w:sz w:val="28"/>
          <w:szCs w:val="28"/>
        </w:rPr>
        <w:t xml:space="preserve">inquiry and statement from the prosecutor that he discussed </w:t>
      </w:r>
      <w:r w:rsidR="00EC20D9">
        <w:rPr>
          <w:rFonts w:ascii="Century" w:hAnsi="Century"/>
          <w:sz w:val="28"/>
          <w:szCs w:val="28"/>
        </w:rPr>
        <w:t>this</w:t>
      </w:r>
      <w:r w:rsidR="00BE79D8">
        <w:rPr>
          <w:rFonts w:ascii="Century" w:hAnsi="Century"/>
          <w:sz w:val="28"/>
          <w:szCs w:val="28"/>
        </w:rPr>
        <w:t xml:space="preserve"> with </w:t>
      </w:r>
      <w:r w:rsidR="00EF5308">
        <w:rPr>
          <w:rFonts w:ascii="Century" w:hAnsi="Century"/>
          <w:sz w:val="28"/>
          <w:szCs w:val="28"/>
        </w:rPr>
        <w:t xml:space="preserve">defense counsel </w:t>
      </w:r>
      <w:r w:rsidR="00EC20D9">
        <w:rPr>
          <w:rFonts w:ascii="Century" w:hAnsi="Century"/>
          <w:sz w:val="28"/>
          <w:szCs w:val="28"/>
        </w:rPr>
        <w:t>“many times over” prior to trial</w:t>
      </w:r>
      <w:r>
        <w:rPr>
          <w:rFonts w:ascii="Century" w:hAnsi="Century"/>
          <w:sz w:val="28"/>
          <w:szCs w:val="28"/>
        </w:rPr>
        <w:t>)</w:t>
      </w:r>
      <w:r w:rsidR="007C4BCF">
        <w:rPr>
          <w:rFonts w:ascii="Century" w:hAnsi="Century"/>
          <w:sz w:val="28"/>
          <w:szCs w:val="28"/>
        </w:rPr>
        <w:t xml:space="preserve"> </w:t>
      </w:r>
      <w:r w:rsidR="00876986">
        <w:rPr>
          <w:rFonts w:ascii="Century" w:hAnsi="Century"/>
          <w:sz w:val="28"/>
          <w:szCs w:val="28"/>
        </w:rPr>
        <w:t>Mr</w:t>
      </w:r>
      <w:r w:rsidR="00C06A5E">
        <w:rPr>
          <w:rFonts w:ascii="Century" w:hAnsi="Century"/>
          <w:sz w:val="28"/>
          <w:szCs w:val="28"/>
        </w:rPr>
        <w:t xml:space="preserve">. </w:t>
      </w:r>
      <w:r w:rsidR="00C06A5E">
        <w:rPr>
          <w:rFonts w:ascii="Century" w:hAnsi="Century"/>
          <w:sz w:val="28"/>
          <w:szCs w:val="28"/>
        </w:rPr>
        <w:lastRenderedPageBreak/>
        <w:t xml:space="preserve">Perez was entitled to </w:t>
      </w:r>
      <w:r w:rsidR="00D51A6C">
        <w:rPr>
          <w:rFonts w:ascii="Century" w:hAnsi="Century"/>
          <w:sz w:val="28"/>
          <w:szCs w:val="28"/>
        </w:rPr>
        <w:t>an</w:t>
      </w:r>
      <w:r w:rsidR="00C06A5E">
        <w:rPr>
          <w:rFonts w:ascii="Century" w:hAnsi="Century"/>
          <w:sz w:val="28"/>
          <w:szCs w:val="28"/>
        </w:rPr>
        <w:t xml:space="preserve"> instruction on defense of another based on his testimony that </w:t>
      </w:r>
      <w:r w:rsidR="00031198">
        <w:rPr>
          <w:rFonts w:ascii="Century" w:hAnsi="Century"/>
          <w:sz w:val="28"/>
          <w:szCs w:val="28"/>
        </w:rPr>
        <w:t>he only</w:t>
      </w:r>
      <w:r w:rsidR="00E61916">
        <w:rPr>
          <w:rFonts w:ascii="Century" w:hAnsi="Century"/>
          <w:sz w:val="28"/>
          <w:szCs w:val="28"/>
        </w:rPr>
        <w:t xml:space="preserve"> stabbed Mr. Robinson because he believed that Mr. Robinson had a box cutter, and that attacking </w:t>
      </w:r>
      <w:r w:rsidR="000A7AFB">
        <w:rPr>
          <w:rFonts w:ascii="Century" w:hAnsi="Century"/>
          <w:sz w:val="28"/>
          <w:szCs w:val="28"/>
        </w:rPr>
        <w:t xml:space="preserve">Mr. Robinson </w:t>
      </w:r>
      <w:r w:rsidR="00E61916">
        <w:rPr>
          <w:rFonts w:ascii="Century" w:hAnsi="Century"/>
          <w:sz w:val="28"/>
          <w:szCs w:val="28"/>
        </w:rPr>
        <w:t xml:space="preserve">was the only way to stop </w:t>
      </w:r>
      <w:r w:rsidR="000A7AFB">
        <w:rPr>
          <w:rFonts w:ascii="Century" w:hAnsi="Century"/>
          <w:sz w:val="28"/>
          <w:szCs w:val="28"/>
        </w:rPr>
        <w:t>him</w:t>
      </w:r>
      <w:r w:rsidR="00E61916">
        <w:rPr>
          <w:rFonts w:ascii="Century" w:hAnsi="Century"/>
          <w:sz w:val="28"/>
          <w:szCs w:val="28"/>
        </w:rPr>
        <w:t xml:space="preserve"> from </w:t>
      </w:r>
      <w:r w:rsidR="00F95EBD">
        <w:rPr>
          <w:rFonts w:ascii="Century" w:hAnsi="Century"/>
          <w:sz w:val="28"/>
          <w:szCs w:val="28"/>
        </w:rPr>
        <w:t>gravely injuring Mr. Per</w:t>
      </w:r>
      <w:r w:rsidR="00F95EBD" w:rsidRPr="0099416B">
        <w:rPr>
          <w:rFonts w:ascii="Century" w:hAnsi="Century"/>
          <w:sz w:val="28"/>
          <w:szCs w:val="28"/>
        </w:rPr>
        <w:t>ez’ brother Bobby. (T pp 333-</w:t>
      </w:r>
      <w:r w:rsidR="005D5F99" w:rsidRPr="0099416B">
        <w:rPr>
          <w:rFonts w:ascii="Century" w:hAnsi="Century"/>
          <w:sz w:val="28"/>
          <w:szCs w:val="28"/>
        </w:rPr>
        <w:t xml:space="preserve">39) </w:t>
      </w:r>
      <w:r w:rsidR="009152AB" w:rsidRPr="0099416B">
        <w:rPr>
          <w:rFonts w:ascii="Century" w:hAnsi="Century"/>
          <w:sz w:val="28"/>
          <w:szCs w:val="28"/>
        </w:rPr>
        <w:t xml:space="preserve">The trial court’s failure to give </w:t>
      </w:r>
      <w:r w:rsidR="00AF31CE" w:rsidRPr="0099416B">
        <w:rPr>
          <w:rFonts w:ascii="Century" w:hAnsi="Century"/>
          <w:sz w:val="28"/>
          <w:szCs w:val="28"/>
        </w:rPr>
        <w:t>a complete</w:t>
      </w:r>
      <w:r w:rsidR="00AF31CE">
        <w:rPr>
          <w:rFonts w:ascii="Century" w:hAnsi="Century"/>
          <w:sz w:val="28"/>
          <w:szCs w:val="28"/>
        </w:rPr>
        <w:t xml:space="preserve"> instruction on the central feature of the case was </w:t>
      </w:r>
      <w:r w:rsidR="00AC7988">
        <w:rPr>
          <w:rFonts w:ascii="Century" w:hAnsi="Century"/>
          <w:sz w:val="28"/>
          <w:szCs w:val="28"/>
        </w:rPr>
        <w:t xml:space="preserve">reversible error requiring a new trial. </w:t>
      </w:r>
    </w:p>
    <w:p w14:paraId="7574C561" w14:textId="62C4C89B" w:rsidR="00C10FB1" w:rsidRDefault="00C41521" w:rsidP="004410BD">
      <w:pPr>
        <w:pStyle w:val="BodyTextIndent"/>
        <w:jc w:val="both"/>
        <w:rPr>
          <w:rFonts w:ascii="Century" w:hAnsi="Century"/>
          <w:sz w:val="28"/>
          <w:szCs w:val="28"/>
        </w:rPr>
      </w:pPr>
      <w:r>
        <w:rPr>
          <w:rFonts w:ascii="Century" w:hAnsi="Century"/>
          <w:sz w:val="28"/>
          <w:szCs w:val="28"/>
        </w:rPr>
        <w:t>At the charge conference, the trial court distributed copies of its proposed instructions. (T p 393</w:t>
      </w:r>
      <w:r w:rsidR="001926D4">
        <w:rPr>
          <w:rFonts w:ascii="Century" w:hAnsi="Century"/>
          <w:sz w:val="28"/>
          <w:szCs w:val="28"/>
        </w:rPr>
        <w:t xml:space="preserve">, </w:t>
      </w:r>
      <w:r w:rsidR="001926D4">
        <w:rPr>
          <w:rFonts w:ascii="Century" w:hAnsi="Century"/>
          <w:i/>
          <w:iCs/>
          <w:sz w:val="28"/>
          <w:szCs w:val="28"/>
        </w:rPr>
        <w:t xml:space="preserve">see </w:t>
      </w:r>
      <w:r w:rsidR="001926D4">
        <w:rPr>
          <w:rFonts w:ascii="Century" w:hAnsi="Century"/>
          <w:sz w:val="28"/>
          <w:szCs w:val="28"/>
        </w:rPr>
        <w:t>R pp 9-20</w:t>
      </w:r>
      <w:r>
        <w:rPr>
          <w:rFonts w:ascii="Century" w:hAnsi="Century"/>
          <w:sz w:val="28"/>
          <w:szCs w:val="28"/>
        </w:rPr>
        <w:t>)</w:t>
      </w:r>
      <w:r w:rsidR="00764C69">
        <w:rPr>
          <w:rFonts w:ascii="Century" w:hAnsi="Century"/>
          <w:sz w:val="28"/>
          <w:szCs w:val="28"/>
        </w:rPr>
        <w:t xml:space="preserve"> </w:t>
      </w:r>
      <w:r w:rsidR="00170460">
        <w:rPr>
          <w:rFonts w:ascii="Century" w:hAnsi="Century"/>
          <w:sz w:val="28"/>
          <w:szCs w:val="28"/>
        </w:rPr>
        <w:t xml:space="preserve">As he read the proposed instructions, defense counsel inquired, “Judge, these are strictly </w:t>
      </w:r>
      <w:r w:rsidR="004410BD">
        <w:rPr>
          <w:rFonts w:ascii="Century" w:hAnsi="Century"/>
          <w:sz w:val="28"/>
          <w:szCs w:val="28"/>
        </w:rPr>
        <w:t>from the pattern instructions? The court didn’t make any changes?” (T p 395) The trial court explained t</w:t>
      </w:r>
      <w:r w:rsidR="00C57B45">
        <w:rPr>
          <w:rFonts w:ascii="Century" w:hAnsi="Century"/>
          <w:sz w:val="28"/>
          <w:szCs w:val="28"/>
        </w:rPr>
        <w:t>h</w:t>
      </w:r>
      <w:r w:rsidR="004410BD">
        <w:rPr>
          <w:rFonts w:ascii="Century" w:hAnsi="Century"/>
          <w:sz w:val="28"/>
          <w:szCs w:val="28"/>
        </w:rPr>
        <w:t xml:space="preserve">at in </w:t>
      </w:r>
      <w:r w:rsidR="00C10FB1">
        <w:rPr>
          <w:rFonts w:ascii="Century" w:hAnsi="Century"/>
          <w:sz w:val="28"/>
          <w:szCs w:val="28"/>
        </w:rPr>
        <w:t xml:space="preserve">crafting its instructions on the murder charge, the court took the pattern instruction for self-defense in cases of attempted first-degree murder involving a deadly weapon, N.C.P.I. Crim. 206.17A, and substituted the defense of a family member language from N.C.P.I. Crim. 308.50. (T pp </w:t>
      </w:r>
      <w:r w:rsidR="00C10FB1" w:rsidRPr="000C262F">
        <w:rPr>
          <w:rFonts w:ascii="Century" w:hAnsi="Century"/>
          <w:sz w:val="28"/>
          <w:szCs w:val="28"/>
        </w:rPr>
        <w:t xml:space="preserve">395, 398) </w:t>
      </w:r>
      <w:r w:rsidR="000C262F" w:rsidRPr="000C262F">
        <w:rPr>
          <w:rFonts w:ascii="Century" w:hAnsi="Century"/>
          <w:sz w:val="28"/>
          <w:szCs w:val="28"/>
        </w:rPr>
        <w:t>The</w:t>
      </w:r>
      <w:r w:rsidR="00C10FB1" w:rsidRPr="000C262F">
        <w:rPr>
          <w:rFonts w:ascii="Century" w:hAnsi="Century"/>
          <w:sz w:val="28"/>
          <w:szCs w:val="28"/>
        </w:rPr>
        <w:t xml:space="preserve"> trial court </w:t>
      </w:r>
      <w:r w:rsidR="00BE6B7E">
        <w:rPr>
          <w:rFonts w:ascii="Century" w:hAnsi="Century"/>
          <w:sz w:val="28"/>
          <w:szCs w:val="28"/>
        </w:rPr>
        <w:t xml:space="preserve">also </w:t>
      </w:r>
      <w:r w:rsidR="00A034F5" w:rsidRPr="000C262F">
        <w:rPr>
          <w:rFonts w:ascii="Century" w:hAnsi="Century"/>
          <w:sz w:val="28"/>
          <w:szCs w:val="28"/>
        </w:rPr>
        <w:t xml:space="preserve">forecast </w:t>
      </w:r>
      <w:r w:rsidR="000C262F" w:rsidRPr="000C262F">
        <w:rPr>
          <w:rFonts w:ascii="Century" w:hAnsi="Century"/>
          <w:sz w:val="28"/>
          <w:szCs w:val="28"/>
        </w:rPr>
        <w:t>that it</w:t>
      </w:r>
      <w:r w:rsidR="00A034F5" w:rsidRPr="000C262F">
        <w:rPr>
          <w:rFonts w:ascii="Century" w:hAnsi="Century"/>
          <w:sz w:val="28"/>
          <w:szCs w:val="28"/>
        </w:rPr>
        <w:t xml:space="preserve"> would</w:t>
      </w:r>
      <w:r w:rsidR="000C262F" w:rsidRPr="000C262F">
        <w:rPr>
          <w:rFonts w:ascii="Century" w:hAnsi="Century"/>
          <w:sz w:val="28"/>
          <w:szCs w:val="28"/>
        </w:rPr>
        <w:t xml:space="preserve"> also</w:t>
      </w:r>
      <w:r w:rsidR="00A034F5" w:rsidRPr="000C262F">
        <w:rPr>
          <w:rFonts w:ascii="Century" w:hAnsi="Century"/>
          <w:sz w:val="28"/>
          <w:szCs w:val="28"/>
        </w:rPr>
        <w:t xml:space="preserve"> insert language</w:t>
      </w:r>
      <w:r w:rsidR="00C10FB1" w:rsidRPr="000C262F">
        <w:rPr>
          <w:rFonts w:ascii="Century" w:hAnsi="Century"/>
          <w:sz w:val="28"/>
          <w:szCs w:val="28"/>
        </w:rPr>
        <w:t xml:space="preserve"> pertaining to defense of a family member</w:t>
      </w:r>
      <w:r w:rsidR="000C262F" w:rsidRPr="000C262F">
        <w:rPr>
          <w:rFonts w:ascii="Century" w:hAnsi="Century"/>
          <w:sz w:val="28"/>
          <w:szCs w:val="28"/>
        </w:rPr>
        <w:t xml:space="preserve"> in the instructions for </w:t>
      </w:r>
      <w:r w:rsidR="00BE6B7E">
        <w:rPr>
          <w:rFonts w:ascii="Century" w:hAnsi="Century"/>
          <w:sz w:val="28"/>
          <w:szCs w:val="28"/>
        </w:rPr>
        <w:t>the lesser included offenses of assa</w:t>
      </w:r>
      <w:r w:rsidR="00206601">
        <w:rPr>
          <w:rFonts w:ascii="Century" w:hAnsi="Century"/>
          <w:sz w:val="28"/>
          <w:szCs w:val="28"/>
        </w:rPr>
        <w:t xml:space="preserve">ult with a deadly weapon with intent to kill inflicting serious injury and assault with a </w:t>
      </w:r>
      <w:r w:rsidR="00206601">
        <w:rPr>
          <w:rFonts w:ascii="Century" w:hAnsi="Century"/>
          <w:sz w:val="28"/>
          <w:szCs w:val="28"/>
        </w:rPr>
        <w:lastRenderedPageBreak/>
        <w:t>deadly weapon inflicting serious injury</w:t>
      </w:r>
      <w:r w:rsidR="00C10FB1" w:rsidRPr="000C262F">
        <w:rPr>
          <w:rFonts w:ascii="Century" w:hAnsi="Century"/>
          <w:sz w:val="28"/>
          <w:szCs w:val="28"/>
        </w:rPr>
        <w:t xml:space="preserve">. </w:t>
      </w:r>
      <w:r w:rsidR="00C10FB1" w:rsidRPr="001022F4">
        <w:rPr>
          <w:rFonts w:ascii="Century" w:hAnsi="Century"/>
          <w:sz w:val="28"/>
          <w:szCs w:val="28"/>
        </w:rPr>
        <w:t>(T pp 398-99)</w:t>
      </w:r>
      <w:r w:rsidR="00C10FB1" w:rsidRPr="000C262F">
        <w:rPr>
          <w:rFonts w:ascii="Century" w:hAnsi="Century"/>
          <w:sz w:val="28"/>
          <w:szCs w:val="28"/>
        </w:rPr>
        <w:t xml:space="preserve"> </w:t>
      </w:r>
      <w:r w:rsidR="00B7702F">
        <w:rPr>
          <w:rFonts w:ascii="Century" w:hAnsi="Century"/>
          <w:sz w:val="28"/>
          <w:szCs w:val="28"/>
        </w:rPr>
        <w:t xml:space="preserve">There were no objections to this portion of the </w:t>
      </w:r>
      <w:r w:rsidR="0074132E">
        <w:rPr>
          <w:rFonts w:ascii="Century" w:hAnsi="Century"/>
          <w:sz w:val="28"/>
          <w:szCs w:val="28"/>
        </w:rPr>
        <w:t xml:space="preserve">proposed </w:t>
      </w:r>
      <w:r w:rsidR="00B7702F">
        <w:rPr>
          <w:rFonts w:ascii="Century" w:hAnsi="Century"/>
          <w:sz w:val="28"/>
          <w:szCs w:val="28"/>
        </w:rPr>
        <w:t>charge.</w:t>
      </w:r>
      <w:r w:rsidR="0074132E">
        <w:rPr>
          <w:rFonts w:ascii="Century" w:hAnsi="Century"/>
          <w:sz w:val="28"/>
          <w:szCs w:val="28"/>
        </w:rPr>
        <w:t xml:space="preserve"> </w:t>
      </w:r>
    </w:p>
    <w:p w14:paraId="0845D1B7" w14:textId="6D3C78E8" w:rsidR="009A2D8F" w:rsidRDefault="009A2D8F" w:rsidP="00C81AF4">
      <w:pPr>
        <w:pStyle w:val="BodyTextIndent"/>
        <w:numPr>
          <w:ilvl w:val="3"/>
          <w:numId w:val="2"/>
        </w:numPr>
        <w:spacing w:line="240" w:lineRule="auto"/>
        <w:jc w:val="both"/>
        <w:rPr>
          <w:rFonts w:ascii="Century" w:hAnsi="Century"/>
          <w:b/>
          <w:bCs/>
          <w:sz w:val="28"/>
          <w:szCs w:val="28"/>
        </w:rPr>
      </w:pPr>
      <w:r>
        <w:rPr>
          <w:rFonts w:ascii="Century" w:hAnsi="Century"/>
          <w:b/>
          <w:bCs/>
          <w:sz w:val="28"/>
          <w:szCs w:val="28"/>
        </w:rPr>
        <w:t>Core Principles</w:t>
      </w:r>
    </w:p>
    <w:p w14:paraId="43F7440F" w14:textId="7FFABCF3" w:rsidR="009A2D8F" w:rsidRDefault="009A2D8F" w:rsidP="009A2D8F">
      <w:pPr>
        <w:pStyle w:val="BodyTextIndent"/>
        <w:spacing w:line="240" w:lineRule="auto"/>
        <w:jc w:val="both"/>
        <w:rPr>
          <w:rFonts w:ascii="Century" w:hAnsi="Century"/>
          <w:b/>
          <w:bCs/>
          <w:sz w:val="28"/>
          <w:szCs w:val="28"/>
        </w:rPr>
      </w:pPr>
    </w:p>
    <w:p w14:paraId="3CC65E13" w14:textId="692B1C09" w:rsidR="00EB4173" w:rsidRDefault="00EB4173" w:rsidP="00EB4173">
      <w:pPr>
        <w:pStyle w:val="BodyTextIndent"/>
        <w:jc w:val="both"/>
        <w:rPr>
          <w:rFonts w:ascii="Century" w:hAnsi="Century"/>
          <w:bCs/>
          <w:sz w:val="28"/>
          <w:szCs w:val="28"/>
        </w:rPr>
      </w:pPr>
      <w:r w:rsidRPr="00D54175">
        <w:rPr>
          <w:rFonts w:ascii="Century" w:hAnsi="Century"/>
          <w:bCs/>
          <w:sz w:val="28"/>
          <w:szCs w:val="28"/>
        </w:rPr>
        <w:t xml:space="preserve">“The jury charge is one of the most critical parts of a criminal trial. Where competent evidence of self-defense </w:t>
      </w:r>
      <w:r w:rsidR="00632327">
        <w:rPr>
          <w:rFonts w:ascii="Century" w:hAnsi="Century"/>
          <w:bCs/>
          <w:sz w:val="28"/>
          <w:szCs w:val="28"/>
        </w:rPr>
        <w:t xml:space="preserve">[or defense of another] </w:t>
      </w:r>
      <w:r w:rsidRPr="00D54175">
        <w:rPr>
          <w:rFonts w:ascii="Century" w:hAnsi="Century"/>
          <w:bCs/>
          <w:sz w:val="28"/>
          <w:szCs w:val="28"/>
        </w:rPr>
        <w:t>is presented at trial, the defendant is entitled to</w:t>
      </w:r>
      <w:r>
        <w:rPr>
          <w:rFonts w:ascii="Century" w:hAnsi="Century"/>
          <w:bCs/>
          <w:sz w:val="28"/>
          <w:szCs w:val="28"/>
        </w:rPr>
        <w:t xml:space="preserve"> an instruction on this defense, as it is a substantial and essential feature of the case.” </w:t>
      </w:r>
      <w:r>
        <w:rPr>
          <w:rFonts w:ascii="Century" w:hAnsi="Century"/>
          <w:bCs/>
          <w:i/>
          <w:sz w:val="28"/>
          <w:szCs w:val="28"/>
        </w:rPr>
        <w:t>Lee</w:t>
      </w:r>
      <w:r>
        <w:rPr>
          <w:rFonts w:ascii="Century" w:hAnsi="Century"/>
          <w:bCs/>
          <w:sz w:val="28"/>
          <w:szCs w:val="28"/>
        </w:rPr>
        <w:t xml:space="preserve">, 370 N.C. at 674, </w:t>
      </w:r>
      <w:r w:rsidR="00632327">
        <w:rPr>
          <w:rFonts w:ascii="Century" w:hAnsi="Century"/>
          <w:bCs/>
          <w:sz w:val="28"/>
          <w:szCs w:val="28"/>
        </w:rPr>
        <w:t>(cleaned up</w:t>
      </w:r>
      <w:r>
        <w:rPr>
          <w:rFonts w:ascii="Century" w:hAnsi="Century"/>
          <w:bCs/>
          <w:sz w:val="28"/>
          <w:szCs w:val="28"/>
        </w:rPr>
        <w:t xml:space="preserve">). An instruction on </w:t>
      </w:r>
      <w:r w:rsidR="00A319B0">
        <w:rPr>
          <w:rFonts w:ascii="Century" w:hAnsi="Century"/>
          <w:bCs/>
          <w:sz w:val="28"/>
          <w:szCs w:val="28"/>
        </w:rPr>
        <w:t>an affirmative defense</w:t>
      </w:r>
      <w:r>
        <w:rPr>
          <w:rFonts w:ascii="Century" w:hAnsi="Century"/>
          <w:bCs/>
          <w:sz w:val="28"/>
          <w:szCs w:val="28"/>
        </w:rPr>
        <w:t xml:space="preserve"> is required where there is some evidence to support it, “even though there is contradictory evidence by the State or discrepancies in [the] defendant’s evidence.” </w:t>
      </w:r>
      <w:r>
        <w:rPr>
          <w:rFonts w:ascii="Century" w:hAnsi="Century"/>
          <w:bCs/>
          <w:i/>
          <w:sz w:val="28"/>
          <w:szCs w:val="28"/>
        </w:rPr>
        <w:t>State v. Dooley</w:t>
      </w:r>
      <w:r>
        <w:rPr>
          <w:rFonts w:ascii="Century" w:hAnsi="Century"/>
          <w:bCs/>
          <w:sz w:val="28"/>
          <w:szCs w:val="28"/>
        </w:rPr>
        <w:t>, 285 N.C. 158, 163</w:t>
      </w:r>
      <w:r w:rsidR="002A1CB0">
        <w:rPr>
          <w:rFonts w:ascii="Century" w:hAnsi="Century"/>
          <w:bCs/>
          <w:sz w:val="28"/>
          <w:szCs w:val="28"/>
        </w:rPr>
        <w:t xml:space="preserve"> </w:t>
      </w:r>
      <w:r>
        <w:rPr>
          <w:rFonts w:ascii="Century" w:hAnsi="Century"/>
          <w:bCs/>
          <w:sz w:val="28"/>
          <w:szCs w:val="28"/>
        </w:rPr>
        <w:t>(1974).</w:t>
      </w:r>
    </w:p>
    <w:p w14:paraId="6D4D0D15" w14:textId="32610987" w:rsidR="007C4BCF" w:rsidRPr="007C4BCF" w:rsidRDefault="007C4BCF" w:rsidP="007C4BCF">
      <w:pPr>
        <w:pStyle w:val="BodyTextIndent"/>
        <w:jc w:val="both"/>
        <w:rPr>
          <w:rFonts w:ascii="Century" w:hAnsi="Century"/>
          <w:sz w:val="28"/>
          <w:szCs w:val="28"/>
        </w:rPr>
      </w:pPr>
      <w:r>
        <w:rPr>
          <w:rFonts w:ascii="Century" w:hAnsi="Century"/>
          <w:sz w:val="28"/>
          <w:szCs w:val="28"/>
        </w:rPr>
        <w:t xml:space="preserve">In </w:t>
      </w:r>
      <w:r>
        <w:rPr>
          <w:rFonts w:ascii="Century" w:hAnsi="Century"/>
          <w:i/>
          <w:iCs/>
          <w:sz w:val="28"/>
          <w:szCs w:val="28"/>
        </w:rPr>
        <w:t>State v. Bass</w:t>
      </w:r>
      <w:r>
        <w:rPr>
          <w:rFonts w:ascii="Century" w:hAnsi="Century"/>
          <w:sz w:val="28"/>
          <w:szCs w:val="28"/>
        </w:rPr>
        <w:t xml:space="preserve">, 371 N.C. 535, 542 (2018) (emphasis in original), the Supreme Court observed that “a defendant entitled to </w:t>
      </w:r>
      <w:r>
        <w:rPr>
          <w:rFonts w:ascii="Century" w:hAnsi="Century"/>
          <w:i/>
          <w:iCs/>
          <w:sz w:val="28"/>
          <w:szCs w:val="28"/>
        </w:rPr>
        <w:t xml:space="preserve">any </w:t>
      </w:r>
      <w:r>
        <w:rPr>
          <w:rFonts w:ascii="Century" w:hAnsi="Century"/>
          <w:sz w:val="28"/>
          <w:szCs w:val="28"/>
        </w:rPr>
        <w:t xml:space="preserve">instruction on self-defense is entitled to a </w:t>
      </w:r>
      <w:r>
        <w:rPr>
          <w:rFonts w:ascii="Century" w:hAnsi="Century"/>
          <w:i/>
          <w:iCs/>
          <w:sz w:val="28"/>
          <w:szCs w:val="28"/>
        </w:rPr>
        <w:t xml:space="preserve">complete </w:t>
      </w:r>
      <w:r>
        <w:rPr>
          <w:rFonts w:ascii="Century" w:hAnsi="Century"/>
          <w:sz w:val="28"/>
          <w:szCs w:val="28"/>
        </w:rPr>
        <w:t xml:space="preserve">self-defense instruction.” The same applies to defense of another. </w:t>
      </w:r>
      <w:r>
        <w:rPr>
          <w:rFonts w:ascii="Century" w:hAnsi="Century"/>
          <w:i/>
          <w:iCs/>
          <w:sz w:val="28"/>
          <w:szCs w:val="28"/>
        </w:rPr>
        <w:t>See generally State v. Corbett</w:t>
      </w:r>
      <w:r>
        <w:rPr>
          <w:rFonts w:ascii="Century" w:hAnsi="Century"/>
          <w:sz w:val="28"/>
          <w:szCs w:val="28"/>
        </w:rPr>
        <w:t xml:space="preserve">, 269 N.C. App. 509, 565-76 (2020) (discussing instructional error in a case involving both self-defense and defense of another without distinguishing between the two), </w:t>
      </w:r>
      <w:r>
        <w:rPr>
          <w:rFonts w:ascii="Century" w:hAnsi="Century"/>
          <w:i/>
          <w:iCs/>
          <w:sz w:val="28"/>
          <w:szCs w:val="28"/>
        </w:rPr>
        <w:t xml:space="preserve">aff’d </w:t>
      </w:r>
      <w:r>
        <w:rPr>
          <w:rFonts w:ascii="Century" w:hAnsi="Century"/>
          <w:sz w:val="28"/>
          <w:szCs w:val="28"/>
        </w:rPr>
        <w:t>376 N.C. 799 (2021).</w:t>
      </w:r>
    </w:p>
    <w:p w14:paraId="0323D586" w14:textId="064460E4" w:rsidR="00086ACF" w:rsidRPr="00C81AF4" w:rsidRDefault="00F6117C" w:rsidP="00C81AF4">
      <w:pPr>
        <w:pStyle w:val="BodyTextIndent"/>
        <w:numPr>
          <w:ilvl w:val="3"/>
          <w:numId w:val="2"/>
        </w:numPr>
        <w:spacing w:line="240" w:lineRule="auto"/>
        <w:jc w:val="both"/>
        <w:rPr>
          <w:rFonts w:ascii="Century" w:hAnsi="Century"/>
          <w:b/>
          <w:bCs/>
          <w:sz w:val="28"/>
          <w:szCs w:val="28"/>
        </w:rPr>
      </w:pPr>
      <w:r w:rsidRPr="00C81AF4">
        <w:rPr>
          <w:rFonts w:ascii="Century" w:hAnsi="Century"/>
          <w:b/>
          <w:bCs/>
          <w:sz w:val="28"/>
          <w:szCs w:val="28"/>
        </w:rPr>
        <w:lastRenderedPageBreak/>
        <w:t xml:space="preserve">The Trial Court’s Instruction on Assault with a Deadly Weapon Inflicting Serious Injury Omitted the Definition of </w:t>
      </w:r>
      <w:r w:rsidR="00C81AF4" w:rsidRPr="00C81AF4">
        <w:rPr>
          <w:rFonts w:ascii="Century" w:hAnsi="Century"/>
          <w:b/>
          <w:bCs/>
          <w:sz w:val="28"/>
          <w:szCs w:val="28"/>
        </w:rPr>
        <w:t>Defense of Another.</w:t>
      </w:r>
    </w:p>
    <w:p w14:paraId="3DAE47CA" w14:textId="77777777" w:rsidR="00C81AF4" w:rsidRDefault="00C81AF4" w:rsidP="00C81AF4">
      <w:pPr>
        <w:pStyle w:val="BodyTextIndent"/>
        <w:spacing w:line="240" w:lineRule="auto"/>
        <w:ind w:left="2880" w:firstLine="0"/>
        <w:jc w:val="both"/>
        <w:rPr>
          <w:rFonts w:ascii="Century" w:hAnsi="Century"/>
          <w:sz w:val="28"/>
          <w:szCs w:val="28"/>
        </w:rPr>
      </w:pPr>
    </w:p>
    <w:p w14:paraId="136E83CA" w14:textId="642143A7" w:rsidR="00E035F0" w:rsidRDefault="0056633A" w:rsidP="0056633A">
      <w:pPr>
        <w:pStyle w:val="BodyTextIndent"/>
        <w:jc w:val="both"/>
        <w:rPr>
          <w:rFonts w:ascii="Century" w:hAnsi="Century"/>
          <w:sz w:val="28"/>
          <w:szCs w:val="28"/>
        </w:rPr>
      </w:pPr>
      <w:r>
        <w:rPr>
          <w:rFonts w:ascii="Century" w:hAnsi="Century"/>
          <w:sz w:val="28"/>
          <w:szCs w:val="28"/>
        </w:rPr>
        <w:t xml:space="preserve">As to the assault charge, the jury was instructed using the mandate from the pattern instruction on defense of a family member. </w:t>
      </w:r>
      <w:r w:rsidR="00525DA5">
        <w:rPr>
          <w:rFonts w:ascii="Century" w:hAnsi="Century"/>
          <w:sz w:val="28"/>
          <w:szCs w:val="28"/>
        </w:rPr>
        <w:t>N.C.P.I. Crim. 308.50</w:t>
      </w:r>
      <w:r w:rsidR="00D952E7">
        <w:rPr>
          <w:rFonts w:ascii="Century" w:hAnsi="Century"/>
          <w:sz w:val="28"/>
          <w:szCs w:val="28"/>
        </w:rPr>
        <w:t xml:space="preserve"> provides that when the jury is instructed on assault with a deadly weapon inflicting serious injury in accordance with N.C.P.I. Crim. </w:t>
      </w:r>
      <w:r w:rsidR="0073616B">
        <w:rPr>
          <w:rFonts w:ascii="Century" w:hAnsi="Century"/>
          <w:sz w:val="28"/>
          <w:szCs w:val="28"/>
        </w:rPr>
        <w:t xml:space="preserve">208.15, the trial court </w:t>
      </w:r>
      <w:r w:rsidR="00830BD1">
        <w:rPr>
          <w:rFonts w:ascii="Century" w:hAnsi="Century"/>
          <w:sz w:val="28"/>
          <w:szCs w:val="28"/>
        </w:rPr>
        <w:t>“</w:t>
      </w:r>
      <w:r w:rsidR="0073616B" w:rsidRPr="00830BD1">
        <w:rPr>
          <w:rFonts w:ascii="Century" w:hAnsi="Century"/>
          <w:sz w:val="28"/>
          <w:szCs w:val="28"/>
        </w:rPr>
        <w:t>must</w:t>
      </w:r>
      <w:r w:rsidR="00830BD1">
        <w:rPr>
          <w:rFonts w:ascii="Century" w:hAnsi="Century"/>
          <w:sz w:val="28"/>
          <w:szCs w:val="28"/>
        </w:rPr>
        <w:t>”</w:t>
      </w:r>
      <w:r w:rsidR="0073616B" w:rsidRPr="00830BD1">
        <w:rPr>
          <w:rFonts w:ascii="Century" w:hAnsi="Century"/>
          <w:sz w:val="28"/>
          <w:szCs w:val="28"/>
        </w:rPr>
        <w:t xml:space="preserve"> </w:t>
      </w:r>
      <w:r w:rsidR="00A37952">
        <w:rPr>
          <w:rFonts w:ascii="Century" w:hAnsi="Century"/>
          <w:sz w:val="28"/>
          <w:szCs w:val="28"/>
        </w:rPr>
        <w:t>proceed in the following manner</w:t>
      </w:r>
      <w:r w:rsidR="00A94A8B">
        <w:rPr>
          <w:rFonts w:ascii="Century" w:hAnsi="Century"/>
          <w:sz w:val="28"/>
          <w:szCs w:val="28"/>
        </w:rPr>
        <w:t xml:space="preserve">: “(1) the jury should be instructed on the elements of the charged offense, (2) the jury should then be instructed on the definition </w:t>
      </w:r>
      <w:r w:rsidR="00FF2C06">
        <w:rPr>
          <w:rFonts w:ascii="Century" w:hAnsi="Century"/>
          <w:sz w:val="28"/>
          <w:szCs w:val="28"/>
        </w:rPr>
        <w:t>of defense of a family member or third party as set out in the instruction below; (3) the jury should then be charged on the mandate of the charged offense</w:t>
      </w:r>
      <w:r w:rsidR="00EB6B2B">
        <w:rPr>
          <w:rFonts w:ascii="Century" w:hAnsi="Century"/>
          <w:sz w:val="28"/>
          <w:szCs w:val="28"/>
        </w:rPr>
        <w:t xml:space="preserve">; and (4) the jury should be instructed on the mandate for defense of a family member or </w:t>
      </w:r>
      <w:r w:rsidR="00830BD1">
        <w:rPr>
          <w:rFonts w:ascii="Century" w:hAnsi="Century"/>
          <w:sz w:val="28"/>
          <w:szCs w:val="28"/>
        </w:rPr>
        <w:t xml:space="preserve">third person as set out below in this instruction. </w:t>
      </w:r>
      <w:r w:rsidR="00830BD1">
        <w:rPr>
          <w:rFonts w:ascii="Century" w:hAnsi="Century"/>
          <w:b/>
          <w:bCs/>
          <w:sz w:val="28"/>
          <w:szCs w:val="28"/>
        </w:rPr>
        <w:t>THE FAILURE TO CHARGE ON ALL OF THESE MATTERS CONSTITUTES REVERSIBLE ERROR</w:t>
      </w:r>
      <w:r w:rsidR="00A37952">
        <w:rPr>
          <w:rFonts w:ascii="Century" w:hAnsi="Century"/>
          <w:sz w:val="28"/>
          <w:szCs w:val="28"/>
        </w:rPr>
        <w:t>” (emphasis in original)</w:t>
      </w:r>
      <w:r w:rsidR="00E229BF">
        <w:rPr>
          <w:rStyle w:val="FootnoteReference"/>
          <w:rFonts w:ascii="Century" w:hAnsi="Century"/>
          <w:sz w:val="28"/>
          <w:szCs w:val="28"/>
        </w:rPr>
        <w:footnoteReference w:id="3"/>
      </w:r>
      <w:r w:rsidR="00A37952">
        <w:rPr>
          <w:rFonts w:ascii="Century" w:hAnsi="Century"/>
          <w:sz w:val="28"/>
          <w:szCs w:val="28"/>
        </w:rPr>
        <w:t>.</w:t>
      </w:r>
      <w:r w:rsidR="004021AE">
        <w:rPr>
          <w:rFonts w:ascii="Century" w:hAnsi="Century"/>
          <w:sz w:val="28"/>
          <w:szCs w:val="28"/>
        </w:rPr>
        <w:t xml:space="preserve"> </w:t>
      </w:r>
    </w:p>
    <w:p w14:paraId="01BF56C4" w14:textId="3FF06617" w:rsidR="007673FA" w:rsidRPr="0052325D" w:rsidRDefault="00B003BE" w:rsidP="001F2F5F">
      <w:pPr>
        <w:pStyle w:val="BodyTextIndent"/>
        <w:jc w:val="both"/>
        <w:rPr>
          <w:rFonts w:ascii="Century" w:hAnsi="Century"/>
          <w:sz w:val="28"/>
          <w:szCs w:val="28"/>
        </w:rPr>
      </w:pPr>
      <w:r>
        <w:rPr>
          <w:rFonts w:ascii="Century" w:hAnsi="Century"/>
          <w:sz w:val="28"/>
          <w:szCs w:val="28"/>
        </w:rPr>
        <w:t xml:space="preserve">In this case, when instructing the jury on </w:t>
      </w:r>
      <w:r w:rsidR="004865D0">
        <w:rPr>
          <w:rFonts w:ascii="Century" w:hAnsi="Century"/>
          <w:sz w:val="28"/>
          <w:szCs w:val="28"/>
        </w:rPr>
        <w:t xml:space="preserve">assault with a deadly weapon inflicting serious injury, the trial court </w:t>
      </w:r>
      <w:r w:rsidR="00E100E2">
        <w:rPr>
          <w:rFonts w:ascii="Century" w:hAnsi="Century"/>
          <w:sz w:val="28"/>
          <w:szCs w:val="28"/>
        </w:rPr>
        <w:t xml:space="preserve">gave the elements of the offense, entirely skipped over the definition of defense of a family </w:t>
      </w:r>
      <w:r w:rsidR="00E100E2">
        <w:rPr>
          <w:rFonts w:ascii="Century" w:hAnsi="Century"/>
          <w:sz w:val="28"/>
          <w:szCs w:val="28"/>
        </w:rPr>
        <w:lastRenderedPageBreak/>
        <w:t xml:space="preserve">member, and then </w:t>
      </w:r>
      <w:r w:rsidR="00AF5EB1">
        <w:rPr>
          <w:rFonts w:ascii="Century" w:hAnsi="Century"/>
          <w:sz w:val="28"/>
          <w:szCs w:val="28"/>
        </w:rPr>
        <w:t>gave both mandates.</w:t>
      </w:r>
      <w:r w:rsidR="001F2F5F">
        <w:rPr>
          <w:rFonts w:ascii="Century" w:hAnsi="Century"/>
          <w:sz w:val="28"/>
          <w:szCs w:val="28"/>
        </w:rPr>
        <w:t xml:space="preserve"> </w:t>
      </w:r>
      <w:r w:rsidR="00CB4849">
        <w:rPr>
          <w:rFonts w:ascii="Century" w:hAnsi="Century"/>
          <w:sz w:val="28"/>
          <w:szCs w:val="28"/>
        </w:rPr>
        <w:t>T</w:t>
      </w:r>
      <w:r w:rsidR="007673FA">
        <w:rPr>
          <w:rFonts w:ascii="Century" w:hAnsi="Century"/>
          <w:sz w:val="28"/>
          <w:szCs w:val="28"/>
        </w:rPr>
        <w:t xml:space="preserve">he portions of 308.50 omitted from the </w:t>
      </w:r>
      <w:r w:rsidR="009F0616">
        <w:rPr>
          <w:rFonts w:ascii="Century" w:hAnsi="Century"/>
          <w:sz w:val="28"/>
          <w:szCs w:val="28"/>
        </w:rPr>
        <w:t xml:space="preserve">jury instructions in this </w:t>
      </w:r>
      <w:r w:rsidR="009F0616" w:rsidRPr="0052325D">
        <w:rPr>
          <w:rFonts w:ascii="Century" w:hAnsi="Century"/>
          <w:sz w:val="28"/>
          <w:szCs w:val="28"/>
        </w:rPr>
        <w:t xml:space="preserve">case are underlined in the </w:t>
      </w:r>
      <w:r w:rsidR="001F2F5F">
        <w:rPr>
          <w:rFonts w:ascii="Century" w:hAnsi="Century"/>
          <w:sz w:val="28"/>
          <w:szCs w:val="28"/>
        </w:rPr>
        <w:t xml:space="preserve">complete </w:t>
      </w:r>
      <w:r w:rsidR="00C10F7E" w:rsidRPr="0052325D">
        <w:rPr>
          <w:rFonts w:ascii="Century" w:hAnsi="Century"/>
          <w:sz w:val="28"/>
          <w:szCs w:val="28"/>
        </w:rPr>
        <w:t xml:space="preserve">instruction </w:t>
      </w:r>
      <w:r w:rsidR="009F0616" w:rsidRPr="0052325D">
        <w:rPr>
          <w:rFonts w:ascii="Century" w:hAnsi="Century"/>
          <w:sz w:val="28"/>
          <w:szCs w:val="28"/>
        </w:rPr>
        <w:t>below</w:t>
      </w:r>
      <w:r w:rsidR="00C10F7E" w:rsidRPr="0052325D">
        <w:rPr>
          <w:rFonts w:ascii="Century" w:hAnsi="Century"/>
          <w:sz w:val="28"/>
          <w:szCs w:val="28"/>
        </w:rPr>
        <w:t>:</w:t>
      </w:r>
    </w:p>
    <w:p w14:paraId="692FB1EB" w14:textId="7C43DEF3" w:rsidR="009937AA" w:rsidRDefault="00C10F7E" w:rsidP="004A3461">
      <w:pPr>
        <w:pStyle w:val="BodyTextIndent"/>
        <w:spacing w:line="240" w:lineRule="auto"/>
        <w:ind w:left="720" w:right="720" w:firstLine="0"/>
        <w:jc w:val="both"/>
        <w:rPr>
          <w:rFonts w:ascii="Century" w:hAnsi="Century"/>
          <w:sz w:val="28"/>
          <w:szCs w:val="28"/>
          <w:u w:val="single"/>
        </w:rPr>
      </w:pPr>
      <w:r w:rsidRPr="0052325D">
        <w:rPr>
          <w:rFonts w:ascii="Century" w:hAnsi="Century"/>
          <w:sz w:val="28"/>
          <w:szCs w:val="28"/>
          <w:u w:val="single"/>
        </w:rPr>
        <w:t>If the State has satisfied you beyond a reasonable doubt that the defendant assaulted the victim</w:t>
      </w:r>
      <w:r w:rsidR="009937AA" w:rsidRPr="0052325D">
        <w:rPr>
          <w:rFonts w:ascii="Century" w:hAnsi="Century"/>
          <w:sz w:val="28"/>
          <w:szCs w:val="28"/>
          <w:u w:val="single"/>
        </w:rPr>
        <w:t xml:space="preserve"> with deadly force, then you would consider whether the defendant’s actions are excused</w:t>
      </w:r>
      <w:r w:rsidR="00501EAA" w:rsidRPr="0052325D">
        <w:rPr>
          <w:rFonts w:ascii="Century" w:hAnsi="Century"/>
          <w:sz w:val="28"/>
          <w:szCs w:val="28"/>
          <w:u w:val="single"/>
        </w:rPr>
        <w:t>,</w:t>
      </w:r>
      <w:r w:rsidR="009937AA" w:rsidRPr="0052325D">
        <w:rPr>
          <w:rFonts w:ascii="Century" w:hAnsi="Century"/>
          <w:sz w:val="28"/>
          <w:szCs w:val="28"/>
          <w:u w:val="single"/>
        </w:rPr>
        <w:t xml:space="preserve"> and the defendant is not guilty</w:t>
      </w:r>
      <w:r w:rsidR="002B3E42" w:rsidRPr="0052325D">
        <w:rPr>
          <w:rFonts w:ascii="Century" w:hAnsi="Century"/>
          <w:sz w:val="28"/>
          <w:szCs w:val="28"/>
          <w:u w:val="single"/>
        </w:rPr>
        <w:t xml:space="preserve"> because the defendant acted in defense of a family member. The State has the burden of proving beyond a reasonable doubt that the defendant’s action was not in defense of a family member.</w:t>
      </w:r>
    </w:p>
    <w:p w14:paraId="52CD1127" w14:textId="77777777" w:rsidR="004A3461" w:rsidRPr="0052325D" w:rsidRDefault="004A3461" w:rsidP="004A3461">
      <w:pPr>
        <w:pStyle w:val="BodyTextIndent"/>
        <w:spacing w:line="240" w:lineRule="auto"/>
        <w:ind w:left="720" w:right="720" w:firstLine="0"/>
        <w:jc w:val="both"/>
        <w:rPr>
          <w:rFonts w:ascii="Century" w:hAnsi="Century"/>
          <w:sz w:val="28"/>
          <w:szCs w:val="28"/>
          <w:u w:val="single"/>
        </w:rPr>
      </w:pPr>
    </w:p>
    <w:p w14:paraId="534A0867" w14:textId="2017EF32" w:rsidR="00137C54" w:rsidRDefault="00137C54" w:rsidP="004A3461">
      <w:pPr>
        <w:pStyle w:val="BodyTextIndent"/>
        <w:spacing w:line="240" w:lineRule="auto"/>
        <w:ind w:left="720" w:right="720" w:firstLine="0"/>
        <w:jc w:val="both"/>
        <w:rPr>
          <w:rFonts w:ascii="Century" w:hAnsi="Century"/>
          <w:sz w:val="28"/>
          <w:szCs w:val="28"/>
          <w:u w:val="single"/>
        </w:rPr>
      </w:pPr>
      <w:r w:rsidRPr="0052325D">
        <w:rPr>
          <w:rFonts w:ascii="Century" w:hAnsi="Century"/>
          <w:sz w:val="28"/>
          <w:szCs w:val="28"/>
          <w:u w:val="single"/>
        </w:rPr>
        <w:t>If the circumstances would have created a reasonable belief in the mind of a person of ordinary firmness</w:t>
      </w:r>
      <w:r w:rsidR="007E1B97" w:rsidRPr="0052325D">
        <w:rPr>
          <w:rFonts w:ascii="Century" w:hAnsi="Century"/>
          <w:sz w:val="28"/>
          <w:szCs w:val="28"/>
          <w:u w:val="single"/>
        </w:rPr>
        <w:t xml:space="preserve"> that the assault was necessary or appeared to be necessary to protect a family member from imminent death or great bodily harm, and the circumstances did create such a belief in the defendant’s mind at the time the defendant acted, </w:t>
      </w:r>
      <w:r w:rsidR="001B2E37" w:rsidRPr="0052325D">
        <w:rPr>
          <w:rFonts w:ascii="Century" w:hAnsi="Century"/>
          <w:sz w:val="28"/>
          <w:szCs w:val="28"/>
          <w:u w:val="single"/>
        </w:rPr>
        <w:t xml:space="preserve">such assault would be justified by defense of a family member. You, the jury, determine the reasonableness of the defendant’s belief from the circumstances appearing to the defendant at the time. </w:t>
      </w:r>
      <w:r w:rsidR="00211ABC" w:rsidRPr="0052325D">
        <w:rPr>
          <w:rFonts w:ascii="Century" w:hAnsi="Century"/>
          <w:sz w:val="28"/>
          <w:szCs w:val="28"/>
          <w:u w:val="single"/>
        </w:rPr>
        <w:t>Furthermore, the defendant has no duty to retreat in a place where the defendant has a lawful right to be.</w:t>
      </w:r>
    </w:p>
    <w:p w14:paraId="51400577" w14:textId="77777777" w:rsidR="004A3461" w:rsidRPr="0052325D" w:rsidRDefault="004A3461" w:rsidP="004A3461">
      <w:pPr>
        <w:pStyle w:val="BodyTextIndent"/>
        <w:spacing w:line="240" w:lineRule="auto"/>
        <w:ind w:left="720" w:right="720" w:firstLine="0"/>
        <w:jc w:val="both"/>
        <w:rPr>
          <w:rFonts w:ascii="Century" w:hAnsi="Century"/>
          <w:sz w:val="28"/>
          <w:szCs w:val="28"/>
          <w:u w:val="single"/>
        </w:rPr>
      </w:pPr>
    </w:p>
    <w:p w14:paraId="696487BB" w14:textId="201E77D4" w:rsidR="00211ABC" w:rsidRDefault="00211ABC" w:rsidP="004A3461">
      <w:pPr>
        <w:pStyle w:val="BodyTextIndent"/>
        <w:spacing w:line="240" w:lineRule="auto"/>
        <w:ind w:left="720" w:right="720" w:firstLine="0"/>
        <w:jc w:val="both"/>
        <w:rPr>
          <w:rFonts w:ascii="Century" w:hAnsi="Century"/>
          <w:sz w:val="28"/>
          <w:szCs w:val="28"/>
          <w:u w:val="single"/>
        </w:rPr>
      </w:pPr>
      <w:r w:rsidRPr="0052325D">
        <w:rPr>
          <w:rFonts w:ascii="Century" w:hAnsi="Century"/>
          <w:sz w:val="28"/>
          <w:szCs w:val="28"/>
          <w:u w:val="single"/>
        </w:rPr>
        <w:t>A defendant does not have the right to use excessive force.</w:t>
      </w:r>
      <w:r w:rsidR="00F07FBE" w:rsidRPr="0052325D">
        <w:rPr>
          <w:rFonts w:ascii="Century" w:hAnsi="Century"/>
          <w:sz w:val="28"/>
          <w:szCs w:val="28"/>
          <w:u w:val="single"/>
        </w:rPr>
        <w:t xml:space="preserve"> The defendant had the right to use only such force as reasonably appeared necessary to the defendant under the circumstances to protect a family member from </w:t>
      </w:r>
      <w:r w:rsidR="00EC2E91" w:rsidRPr="0052325D">
        <w:rPr>
          <w:rFonts w:ascii="Century" w:hAnsi="Century"/>
          <w:sz w:val="28"/>
          <w:szCs w:val="28"/>
          <w:u w:val="single"/>
        </w:rPr>
        <w:t xml:space="preserve">death or great bodily harm. In making this determination, you should consider the circumstances as you find them to have existed from the evidence, including the size, age, and strength of </w:t>
      </w:r>
      <w:r w:rsidR="00FF7C9F" w:rsidRPr="0052325D">
        <w:rPr>
          <w:rFonts w:ascii="Century" w:hAnsi="Century"/>
          <w:sz w:val="28"/>
          <w:szCs w:val="28"/>
          <w:u w:val="single"/>
        </w:rPr>
        <w:t>the defendant and the family member as compared to the victim, the fierceness of the assault, if any, upon the family member</w:t>
      </w:r>
      <w:r w:rsidR="001B1855" w:rsidRPr="0052325D">
        <w:rPr>
          <w:rFonts w:ascii="Century" w:hAnsi="Century"/>
          <w:sz w:val="28"/>
          <w:szCs w:val="28"/>
          <w:u w:val="single"/>
        </w:rPr>
        <w:t>, whether the victim had a weapon in the victim’s possession, and the reputation, if any, of the victim for danger and violence.</w:t>
      </w:r>
      <w:r w:rsidR="00600596" w:rsidRPr="0052325D">
        <w:rPr>
          <w:rFonts w:ascii="Century" w:hAnsi="Century"/>
          <w:sz w:val="28"/>
          <w:szCs w:val="28"/>
          <w:u w:val="single"/>
        </w:rPr>
        <w:t xml:space="preserve"> You, the jury, determine the reasonableness of the </w:t>
      </w:r>
      <w:r w:rsidR="00600596" w:rsidRPr="0052325D">
        <w:rPr>
          <w:rFonts w:ascii="Century" w:hAnsi="Century"/>
          <w:sz w:val="28"/>
          <w:szCs w:val="28"/>
          <w:u w:val="single"/>
        </w:rPr>
        <w:lastRenderedPageBreak/>
        <w:t>defendant’s belief from the circumstances appearing to the defendant at the time.</w:t>
      </w:r>
    </w:p>
    <w:p w14:paraId="4BE7D270" w14:textId="77777777" w:rsidR="004A3461" w:rsidRPr="0052325D" w:rsidRDefault="004A3461" w:rsidP="004A3461">
      <w:pPr>
        <w:pStyle w:val="BodyTextIndent"/>
        <w:spacing w:line="240" w:lineRule="auto"/>
        <w:ind w:left="720" w:right="720" w:firstLine="0"/>
        <w:jc w:val="both"/>
        <w:rPr>
          <w:rFonts w:ascii="Century" w:hAnsi="Century"/>
          <w:sz w:val="28"/>
          <w:szCs w:val="28"/>
          <w:u w:val="single"/>
        </w:rPr>
      </w:pPr>
    </w:p>
    <w:p w14:paraId="760CC006" w14:textId="1780E509" w:rsidR="001A7875" w:rsidRDefault="001A7875" w:rsidP="004A3461">
      <w:pPr>
        <w:pStyle w:val="BodyTextIndent"/>
        <w:spacing w:line="240" w:lineRule="auto"/>
        <w:ind w:left="720" w:right="720" w:firstLine="0"/>
        <w:jc w:val="both"/>
        <w:rPr>
          <w:rFonts w:ascii="Century" w:hAnsi="Century"/>
          <w:sz w:val="28"/>
          <w:szCs w:val="28"/>
          <w:u w:val="single"/>
        </w:rPr>
      </w:pPr>
      <w:r w:rsidRPr="0052325D">
        <w:rPr>
          <w:rFonts w:ascii="Century" w:hAnsi="Century"/>
          <w:sz w:val="28"/>
          <w:szCs w:val="28"/>
          <w:u w:val="single"/>
        </w:rPr>
        <w:t xml:space="preserve">Furthermore, </w:t>
      </w:r>
      <w:r w:rsidR="00A1657C" w:rsidRPr="0052325D">
        <w:rPr>
          <w:rFonts w:ascii="Century" w:hAnsi="Century"/>
          <w:sz w:val="28"/>
          <w:szCs w:val="28"/>
          <w:u w:val="single"/>
        </w:rPr>
        <w:t xml:space="preserve">defense of a family member is </w:t>
      </w:r>
      <w:r w:rsidR="000E07AB" w:rsidRPr="0052325D">
        <w:rPr>
          <w:rFonts w:ascii="Century" w:hAnsi="Century"/>
          <w:sz w:val="28"/>
          <w:szCs w:val="28"/>
          <w:u w:val="single"/>
        </w:rPr>
        <w:t xml:space="preserve">justified only if the defendant or family member was not the aggressor. </w:t>
      </w:r>
      <w:r w:rsidR="00251DA6" w:rsidRPr="0052325D">
        <w:rPr>
          <w:rFonts w:ascii="Century" w:hAnsi="Century"/>
          <w:sz w:val="28"/>
          <w:szCs w:val="28"/>
          <w:u w:val="single"/>
        </w:rPr>
        <w:t xml:space="preserve">Justification for defensive force is not present if the person who used defensive force entered into the fight, or, in other words, </w:t>
      </w:r>
      <w:r w:rsidR="00DF593E" w:rsidRPr="0052325D">
        <w:rPr>
          <w:rFonts w:ascii="Century" w:hAnsi="Century"/>
          <w:sz w:val="28"/>
          <w:szCs w:val="28"/>
          <w:u w:val="single"/>
        </w:rPr>
        <w:t xml:space="preserve">initially provoked the use of force. However, if the defendant or family member was the aggressor, the defendant would be justified in using </w:t>
      </w:r>
      <w:r w:rsidR="00B40085" w:rsidRPr="0052325D">
        <w:rPr>
          <w:rFonts w:ascii="Century" w:hAnsi="Century"/>
          <w:sz w:val="28"/>
          <w:szCs w:val="28"/>
          <w:u w:val="single"/>
        </w:rPr>
        <w:t>defensive force only if the defendant or family member thereafter attempted to abandon the fight and gave notice to the opponent that the defendant or family member was doing so.</w:t>
      </w:r>
      <w:r w:rsidR="00A7696D" w:rsidRPr="0052325D">
        <w:rPr>
          <w:rFonts w:ascii="Century" w:hAnsi="Century"/>
          <w:sz w:val="28"/>
          <w:szCs w:val="28"/>
          <w:u w:val="single"/>
        </w:rPr>
        <w:t xml:space="preserve"> In other words, a person who uses defensive force is justified if the person withdraws, in good faith, from physical contact with the person who was provoked</w:t>
      </w:r>
      <w:r w:rsidR="005D518D" w:rsidRPr="0052325D">
        <w:rPr>
          <w:rFonts w:ascii="Century" w:hAnsi="Century"/>
          <w:sz w:val="28"/>
          <w:szCs w:val="28"/>
          <w:u w:val="single"/>
        </w:rPr>
        <w:t>, and indicates clearly that he desires to withdraw and terminate the use of force, but the person who was provoked continues or resumes the use of force.</w:t>
      </w:r>
      <w:r w:rsidR="000026D6" w:rsidRPr="0052325D">
        <w:rPr>
          <w:rFonts w:ascii="Century" w:hAnsi="Century"/>
          <w:sz w:val="28"/>
          <w:szCs w:val="28"/>
          <w:u w:val="single"/>
        </w:rPr>
        <w:t xml:space="preserve"> A person is also justified in using defensive force when the force used by the person who was provoked is so serious that the person using defensive force </w:t>
      </w:r>
      <w:r w:rsidR="005207E8" w:rsidRPr="0052325D">
        <w:rPr>
          <w:rFonts w:ascii="Century" w:hAnsi="Century"/>
          <w:sz w:val="28"/>
          <w:szCs w:val="28"/>
          <w:u w:val="single"/>
        </w:rPr>
        <w:t xml:space="preserve">reasonably believes that he was in imminent danger of death or great bodily harm, the person using defensive force had no reasonable means </w:t>
      </w:r>
      <w:r w:rsidR="00F306D2" w:rsidRPr="0052325D">
        <w:rPr>
          <w:rFonts w:ascii="Century" w:hAnsi="Century"/>
          <w:sz w:val="28"/>
          <w:szCs w:val="28"/>
          <w:u w:val="single"/>
        </w:rPr>
        <w:t xml:space="preserve">to retreat, and the use of force likely to cause death or serious bodily harm was the only way to escape danger. If one uses </w:t>
      </w:r>
      <w:r w:rsidR="00E952C5" w:rsidRPr="0052325D">
        <w:rPr>
          <w:rFonts w:ascii="Century" w:hAnsi="Century"/>
          <w:sz w:val="28"/>
          <w:szCs w:val="28"/>
          <w:u w:val="single"/>
        </w:rPr>
        <w:t xml:space="preserve">abusive language towards one’s opponent which, considering </w:t>
      </w:r>
      <w:proofErr w:type="gramStart"/>
      <w:r w:rsidR="00E952C5" w:rsidRPr="0052325D">
        <w:rPr>
          <w:rFonts w:ascii="Century" w:hAnsi="Century"/>
          <w:sz w:val="28"/>
          <w:szCs w:val="28"/>
          <w:u w:val="single"/>
        </w:rPr>
        <w:t>all of</w:t>
      </w:r>
      <w:proofErr w:type="gramEnd"/>
      <w:r w:rsidR="00E952C5" w:rsidRPr="0052325D">
        <w:rPr>
          <w:rFonts w:ascii="Century" w:hAnsi="Century"/>
          <w:sz w:val="28"/>
          <w:szCs w:val="28"/>
          <w:u w:val="single"/>
        </w:rPr>
        <w:t xml:space="preserve"> the circumstances, is calculated and intended to bring on a fight, one enters a fight voluntarily.</w:t>
      </w:r>
    </w:p>
    <w:p w14:paraId="46DF55A6" w14:textId="77777777" w:rsidR="004A3461" w:rsidRPr="0052325D" w:rsidRDefault="004A3461" w:rsidP="004A3461">
      <w:pPr>
        <w:pStyle w:val="BodyTextIndent"/>
        <w:spacing w:line="240" w:lineRule="auto"/>
        <w:ind w:left="720" w:right="720" w:firstLine="0"/>
        <w:jc w:val="both"/>
        <w:rPr>
          <w:rFonts w:ascii="Century" w:hAnsi="Century"/>
          <w:sz w:val="28"/>
          <w:szCs w:val="28"/>
          <w:u w:val="single"/>
        </w:rPr>
      </w:pPr>
    </w:p>
    <w:p w14:paraId="33E0CD42" w14:textId="00E590CF" w:rsidR="00DB0E51" w:rsidRDefault="00DB0E51" w:rsidP="004A3461">
      <w:pPr>
        <w:pStyle w:val="BodyTextIndent"/>
        <w:spacing w:line="240" w:lineRule="auto"/>
        <w:ind w:left="720" w:right="720" w:firstLine="0"/>
        <w:jc w:val="both"/>
        <w:rPr>
          <w:rFonts w:ascii="Century" w:hAnsi="Century"/>
          <w:sz w:val="28"/>
          <w:szCs w:val="28"/>
        </w:rPr>
      </w:pPr>
      <w:r w:rsidRPr="0052325D">
        <w:rPr>
          <w:rFonts w:ascii="Century" w:hAnsi="Century"/>
          <w:sz w:val="28"/>
          <w:szCs w:val="28"/>
        </w:rPr>
        <w:t>Therefore, I instruct you, if you are satisfied beyond a reasonable doubt</w:t>
      </w:r>
      <w:r w:rsidR="000265E0" w:rsidRPr="0052325D">
        <w:rPr>
          <w:rFonts w:ascii="Century" w:hAnsi="Century"/>
          <w:sz w:val="28"/>
          <w:szCs w:val="28"/>
        </w:rPr>
        <w:t xml:space="preserve"> that the defendant committed assault with a deadly weapon inflicting serious injury, you may return a verdict of guilty only if </w:t>
      </w:r>
      <w:r w:rsidR="006028A8" w:rsidRPr="0052325D">
        <w:rPr>
          <w:rFonts w:ascii="Century" w:hAnsi="Century"/>
          <w:sz w:val="28"/>
          <w:szCs w:val="28"/>
        </w:rPr>
        <w:t>the State has satisfied you beyond a reasonable doubt that the defendant’s action was not in defense of a family member; that is, that the defendant did not reasonably believe that the assault was necessary or appeared to be necessary</w:t>
      </w:r>
      <w:r w:rsidR="0010091C" w:rsidRPr="0052325D">
        <w:rPr>
          <w:rFonts w:ascii="Century" w:hAnsi="Century"/>
          <w:sz w:val="28"/>
          <w:szCs w:val="28"/>
        </w:rPr>
        <w:t xml:space="preserve"> to protect a family member from </w:t>
      </w:r>
      <w:r w:rsidR="0010091C" w:rsidRPr="0052325D">
        <w:rPr>
          <w:rFonts w:ascii="Century" w:hAnsi="Century"/>
          <w:sz w:val="28"/>
          <w:szCs w:val="28"/>
        </w:rPr>
        <w:lastRenderedPageBreak/>
        <w:t>death or serious bodily injury, or that the defendant used excessive force, or that the defendant was the aggressor.</w:t>
      </w:r>
    </w:p>
    <w:p w14:paraId="01F0FDF7" w14:textId="77777777" w:rsidR="004A3461" w:rsidRPr="0052325D" w:rsidRDefault="004A3461" w:rsidP="004A3461">
      <w:pPr>
        <w:pStyle w:val="BodyTextIndent"/>
        <w:spacing w:line="240" w:lineRule="auto"/>
        <w:ind w:left="720" w:right="720" w:firstLine="0"/>
        <w:jc w:val="both"/>
        <w:rPr>
          <w:rFonts w:ascii="Century" w:hAnsi="Century"/>
          <w:sz w:val="28"/>
          <w:szCs w:val="28"/>
        </w:rPr>
      </w:pPr>
    </w:p>
    <w:p w14:paraId="1C1EFEE2" w14:textId="6995F8EB" w:rsidR="00065529" w:rsidRDefault="0010091C" w:rsidP="00C57B45">
      <w:pPr>
        <w:pStyle w:val="BodyTextIndent"/>
        <w:spacing w:line="240" w:lineRule="auto"/>
        <w:ind w:left="720" w:right="720" w:firstLine="0"/>
        <w:jc w:val="both"/>
        <w:rPr>
          <w:rFonts w:ascii="Century" w:hAnsi="Century"/>
          <w:sz w:val="28"/>
          <w:szCs w:val="28"/>
        </w:rPr>
      </w:pPr>
      <w:r w:rsidRPr="0052325D">
        <w:rPr>
          <w:rFonts w:ascii="Century" w:hAnsi="Century"/>
          <w:sz w:val="28"/>
          <w:szCs w:val="28"/>
        </w:rPr>
        <w:t>If you do not so find or have a reasonable doubt that the State has proved any of these things</w:t>
      </w:r>
      <w:r w:rsidR="00E75A81" w:rsidRPr="0052325D">
        <w:rPr>
          <w:rFonts w:ascii="Century" w:hAnsi="Century"/>
          <w:sz w:val="28"/>
          <w:szCs w:val="28"/>
        </w:rPr>
        <w:t>, then the defendant’s action would be justified by self-defense [sic] and it would be your duty to return a verdict of not guilty.</w:t>
      </w:r>
    </w:p>
    <w:p w14:paraId="397B502C" w14:textId="77777777" w:rsidR="00C57B45" w:rsidRDefault="00C57B45" w:rsidP="00C57B45">
      <w:pPr>
        <w:pStyle w:val="BodyTextIndent"/>
        <w:spacing w:line="240" w:lineRule="auto"/>
        <w:ind w:left="720" w:right="720" w:firstLine="0"/>
        <w:jc w:val="both"/>
        <w:rPr>
          <w:rFonts w:ascii="Century" w:hAnsi="Century"/>
          <w:sz w:val="28"/>
          <w:szCs w:val="28"/>
        </w:rPr>
      </w:pPr>
    </w:p>
    <w:p w14:paraId="5655F89D" w14:textId="1C0551EA" w:rsidR="00850530" w:rsidRDefault="00850530" w:rsidP="00F92D27">
      <w:pPr>
        <w:pStyle w:val="BodyTextIndent"/>
        <w:jc w:val="both"/>
        <w:rPr>
          <w:rFonts w:ascii="Century" w:hAnsi="Century"/>
          <w:sz w:val="28"/>
          <w:szCs w:val="28"/>
        </w:rPr>
      </w:pPr>
      <w:r>
        <w:rPr>
          <w:rFonts w:ascii="Century" w:hAnsi="Century"/>
          <w:sz w:val="28"/>
          <w:szCs w:val="28"/>
        </w:rPr>
        <w:t xml:space="preserve">It is plain that the instruction given in this case does not </w:t>
      </w:r>
      <w:r w:rsidR="00D07AA8">
        <w:rPr>
          <w:rFonts w:ascii="Century" w:hAnsi="Century"/>
          <w:sz w:val="28"/>
          <w:szCs w:val="28"/>
        </w:rPr>
        <w:t xml:space="preserve">properly define </w:t>
      </w:r>
      <w:r w:rsidR="00635B45">
        <w:rPr>
          <w:rFonts w:ascii="Century" w:hAnsi="Century"/>
          <w:sz w:val="28"/>
          <w:szCs w:val="28"/>
        </w:rPr>
        <w:t>defense of a family member and other terms essential to the jury’s determination of guilt</w:t>
      </w:r>
      <w:r w:rsidR="00881DBD">
        <w:rPr>
          <w:rFonts w:ascii="Century" w:hAnsi="Century"/>
          <w:sz w:val="28"/>
          <w:szCs w:val="28"/>
        </w:rPr>
        <w:t>, such as “excessive force” and “aggressor.”</w:t>
      </w:r>
      <w:r w:rsidR="00635B45">
        <w:rPr>
          <w:rFonts w:ascii="Century" w:hAnsi="Century"/>
          <w:sz w:val="28"/>
          <w:szCs w:val="28"/>
        </w:rPr>
        <w:t xml:space="preserve"> Courts have repeatedly held that where the trial court gives the definition but not the mandate, a new trial is required. </w:t>
      </w:r>
      <w:r w:rsidR="00635B45">
        <w:rPr>
          <w:rFonts w:ascii="Century" w:hAnsi="Century"/>
          <w:i/>
          <w:iCs/>
          <w:sz w:val="28"/>
          <w:szCs w:val="28"/>
        </w:rPr>
        <w:t>See e.g.</w:t>
      </w:r>
      <w:r w:rsidR="006E00DD">
        <w:rPr>
          <w:rFonts w:ascii="Century" w:hAnsi="Century"/>
          <w:sz w:val="28"/>
          <w:szCs w:val="28"/>
        </w:rPr>
        <w:t>,</w:t>
      </w:r>
      <w:r w:rsidR="00635B45">
        <w:rPr>
          <w:rFonts w:ascii="Century" w:hAnsi="Century"/>
          <w:i/>
          <w:iCs/>
          <w:sz w:val="28"/>
          <w:szCs w:val="28"/>
        </w:rPr>
        <w:t xml:space="preserve"> State v. Withers</w:t>
      </w:r>
      <w:r w:rsidR="00635B45">
        <w:rPr>
          <w:rFonts w:ascii="Century" w:hAnsi="Century"/>
          <w:sz w:val="28"/>
          <w:szCs w:val="28"/>
        </w:rPr>
        <w:t xml:space="preserve">, </w:t>
      </w:r>
      <w:r w:rsidR="006E00DD">
        <w:rPr>
          <w:rFonts w:ascii="Century" w:hAnsi="Century"/>
          <w:sz w:val="28"/>
          <w:szCs w:val="28"/>
        </w:rPr>
        <w:t>179 N.C. App. 249 (2006)</w:t>
      </w:r>
      <w:r w:rsidR="00605DF8">
        <w:rPr>
          <w:rFonts w:ascii="Century" w:hAnsi="Century"/>
          <w:sz w:val="28"/>
          <w:szCs w:val="28"/>
        </w:rPr>
        <w:t xml:space="preserve">. </w:t>
      </w:r>
      <w:r w:rsidR="00924120">
        <w:rPr>
          <w:rFonts w:ascii="Century" w:hAnsi="Century"/>
          <w:sz w:val="28"/>
          <w:szCs w:val="28"/>
        </w:rPr>
        <w:t>This is so because</w:t>
      </w:r>
      <w:r w:rsidR="00116DB1">
        <w:rPr>
          <w:rFonts w:ascii="Century" w:hAnsi="Century"/>
          <w:sz w:val="28"/>
          <w:szCs w:val="28"/>
        </w:rPr>
        <w:t xml:space="preserve"> “the jury </w:t>
      </w:r>
      <w:r w:rsidR="00116DB1">
        <w:rPr>
          <w:rFonts w:ascii="Century" w:hAnsi="Century"/>
          <w:i/>
          <w:iCs/>
          <w:sz w:val="28"/>
          <w:szCs w:val="28"/>
        </w:rPr>
        <w:t xml:space="preserve">could </w:t>
      </w:r>
      <w:r w:rsidR="00377474">
        <w:rPr>
          <w:rFonts w:ascii="Century" w:hAnsi="Century"/>
          <w:sz w:val="28"/>
          <w:szCs w:val="28"/>
        </w:rPr>
        <w:t xml:space="preserve">have assumed that a verdict of not guilty </w:t>
      </w:r>
      <w:r w:rsidR="00310EAD">
        <w:rPr>
          <w:rFonts w:ascii="Century" w:hAnsi="Century"/>
          <w:sz w:val="28"/>
          <w:szCs w:val="28"/>
        </w:rPr>
        <w:t>by</w:t>
      </w:r>
      <w:r w:rsidR="00377474">
        <w:rPr>
          <w:rFonts w:ascii="Century" w:hAnsi="Century"/>
          <w:sz w:val="28"/>
          <w:szCs w:val="28"/>
        </w:rPr>
        <w:t xml:space="preserve"> reason of self-defense [or defense of another]</w:t>
      </w:r>
      <w:r w:rsidR="001B7B9F">
        <w:rPr>
          <w:rFonts w:ascii="Century" w:hAnsi="Century"/>
          <w:sz w:val="28"/>
          <w:szCs w:val="28"/>
        </w:rPr>
        <w:t xml:space="preserve"> was not a permissible verdict in the case.” </w:t>
      </w:r>
      <w:r w:rsidR="001B7B9F">
        <w:rPr>
          <w:rFonts w:ascii="Century" w:hAnsi="Century"/>
          <w:i/>
          <w:iCs/>
          <w:sz w:val="28"/>
          <w:szCs w:val="28"/>
        </w:rPr>
        <w:t>Dooley</w:t>
      </w:r>
      <w:r w:rsidR="001B7B9F">
        <w:rPr>
          <w:rFonts w:ascii="Century" w:hAnsi="Century"/>
          <w:sz w:val="28"/>
          <w:szCs w:val="28"/>
        </w:rPr>
        <w:t xml:space="preserve">, 285 N.C. at </w:t>
      </w:r>
      <w:r w:rsidR="00082F28">
        <w:rPr>
          <w:rFonts w:ascii="Century" w:hAnsi="Century"/>
          <w:sz w:val="28"/>
          <w:szCs w:val="28"/>
        </w:rPr>
        <w:t>166 (emphasis added).</w:t>
      </w:r>
      <w:r w:rsidR="00484F9C">
        <w:rPr>
          <w:rFonts w:ascii="Century" w:hAnsi="Century"/>
          <w:sz w:val="28"/>
          <w:szCs w:val="28"/>
        </w:rPr>
        <w:t xml:space="preserve"> Here, where the trial court has given the mandate but not the definition, </w:t>
      </w:r>
      <w:r w:rsidR="00C31F85">
        <w:rPr>
          <w:rFonts w:ascii="Century" w:hAnsi="Century"/>
          <w:sz w:val="28"/>
          <w:szCs w:val="28"/>
        </w:rPr>
        <w:t>this Court must similarly order a new trial.</w:t>
      </w:r>
      <w:r w:rsidR="00251BCA">
        <w:rPr>
          <w:rFonts w:ascii="Century" w:hAnsi="Century"/>
          <w:sz w:val="28"/>
          <w:szCs w:val="28"/>
        </w:rPr>
        <w:t xml:space="preserve"> As discussed below, the instruction as given </w:t>
      </w:r>
      <w:r w:rsidR="00B00062">
        <w:rPr>
          <w:rFonts w:ascii="Century" w:hAnsi="Century"/>
          <w:sz w:val="28"/>
          <w:szCs w:val="28"/>
        </w:rPr>
        <w:t xml:space="preserve">was </w:t>
      </w:r>
      <w:r w:rsidR="00CB7AF7">
        <w:rPr>
          <w:rFonts w:ascii="Century" w:hAnsi="Century"/>
          <w:sz w:val="28"/>
          <w:szCs w:val="28"/>
        </w:rPr>
        <w:t xml:space="preserve">could have given the jury the mistaken impression that if </w:t>
      </w:r>
      <w:r w:rsidR="005806C5">
        <w:rPr>
          <w:rFonts w:ascii="Century" w:hAnsi="Century"/>
          <w:sz w:val="28"/>
          <w:szCs w:val="28"/>
        </w:rPr>
        <w:t xml:space="preserve">Mr. Perez or </w:t>
      </w:r>
      <w:r w:rsidR="00CB7AF7">
        <w:rPr>
          <w:rFonts w:ascii="Century" w:hAnsi="Century"/>
          <w:sz w:val="28"/>
          <w:szCs w:val="28"/>
        </w:rPr>
        <w:t xml:space="preserve">Bobby was the initial aggressor, </w:t>
      </w:r>
      <w:r w:rsidR="009741FE">
        <w:rPr>
          <w:rFonts w:ascii="Century" w:hAnsi="Century"/>
          <w:sz w:val="28"/>
          <w:szCs w:val="28"/>
        </w:rPr>
        <w:t xml:space="preserve">Mr. Perez was not permitted to act in defense of </w:t>
      </w:r>
      <w:r w:rsidR="003C4398">
        <w:rPr>
          <w:rFonts w:ascii="Century" w:hAnsi="Century"/>
          <w:sz w:val="28"/>
          <w:szCs w:val="28"/>
        </w:rPr>
        <w:t>Bobby</w:t>
      </w:r>
      <w:r w:rsidR="009741FE">
        <w:rPr>
          <w:rFonts w:ascii="Century" w:hAnsi="Century"/>
          <w:sz w:val="28"/>
          <w:szCs w:val="28"/>
        </w:rPr>
        <w:t xml:space="preserve"> if Mr. Robinson escalated the level of force to a potentially lethal level.</w:t>
      </w:r>
    </w:p>
    <w:p w14:paraId="132440FF" w14:textId="77777777" w:rsidR="00605DF8" w:rsidRDefault="00605DF8" w:rsidP="00F92D27">
      <w:pPr>
        <w:pStyle w:val="BodyTextIndent"/>
        <w:jc w:val="both"/>
        <w:rPr>
          <w:rFonts w:ascii="Century" w:hAnsi="Century"/>
          <w:sz w:val="28"/>
          <w:szCs w:val="28"/>
        </w:rPr>
      </w:pPr>
    </w:p>
    <w:p w14:paraId="11A7F741" w14:textId="1B2D7B0F" w:rsidR="00D06CCB" w:rsidRDefault="00D06CCB" w:rsidP="001E7218">
      <w:pPr>
        <w:pStyle w:val="BodyTextIndent"/>
        <w:numPr>
          <w:ilvl w:val="3"/>
          <w:numId w:val="2"/>
        </w:numPr>
        <w:spacing w:line="240" w:lineRule="auto"/>
        <w:jc w:val="both"/>
        <w:rPr>
          <w:rFonts w:ascii="Century" w:hAnsi="Century"/>
          <w:b/>
          <w:bCs/>
          <w:sz w:val="28"/>
          <w:szCs w:val="28"/>
        </w:rPr>
      </w:pPr>
      <w:r w:rsidRPr="001E7218">
        <w:rPr>
          <w:rFonts w:ascii="Century" w:hAnsi="Century"/>
          <w:b/>
          <w:bCs/>
          <w:sz w:val="28"/>
          <w:szCs w:val="28"/>
        </w:rPr>
        <w:lastRenderedPageBreak/>
        <w:t xml:space="preserve">Mr. Perez was Prejudiced by the Omission of the Definition of </w:t>
      </w:r>
      <w:r w:rsidR="001E7218" w:rsidRPr="001E7218">
        <w:rPr>
          <w:rFonts w:ascii="Century" w:hAnsi="Century"/>
          <w:b/>
          <w:bCs/>
          <w:sz w:val="28"/>
          <w:szCs w:val="28"/>
        </w:rPr>
        <w:t>Defense of Another.</w:t>
      </w:r>
    </w:p>
    <w:p w14:paraId="3AD6B3E9" w14:textId="77777777" w:rsidR="001E7218" w:rsidRPr="001E7218" w:rsidRDefault="001E7218" w:rsidP="001E7218">
      <w:pPr>
        <w:pStyle w:val="BodyTextIndent"/>
        <w:spacing w:line="240" w:lineRule="auto"/>
        <w:ind w:left="2880" w:firstLine="0"/>
        <w:jc w:val="both"/>
        <w:rPr>
          <w:rFonts w:ascii="Century" w:hAnsi="Century"/>
          <w:b/>
          <w:bCs/>
          <w:sz w:val="28"/>
          <w:szCs w:val="28"/>
        </w:rPr>
      </w:pPr>
    </w:p>
    <w:p w14:paraId="214F3249" w14:textId="43A282FA" w:rsidR="003C0CE7" w:rsidRPr="00416083" w:rsidRDefault="004A1FDC" w:rsidP="003C0CE7">
      <w:pPr>
        <w:pStyle w:val="BodyTextIndent"/>
        <w:jc w:val="both"/>
        <w:rPr>
          <w:rFonts w:ascii="Century" w:hAnsi="Century"/>
          <w:sz w:val="28"/>
          <w:szCs w:val="28"/>
        </w:rPr>
      </w:pPr>
      <w:r w:rsidRPr="008E0A0C">
        <w:rPr>
          <w:rFonts w:ascii="Century" w:hAnsi="Century"/>
          <w:sz w:val="28"/>
          <w:szCs w:val="28"/>
        </w:rPr>
        <w:t xml:space="preserve">Although this Court must review the </w:t>
      </w:r>
      <w:r w:rsidR="0075368D" w:rsidRPr="008E0A0C">
        <w:rPr>
          <w:rFonts w:ascii="Century" w:hAnsi="Century"/>
          <w:sz w:val="28"/>
          <w:szCs w:val="28"/>
        </w:rPr>
        <w:t xml:space="preserve">jury instructions contextually and in their entirety, </w:t>
      </w:r>
      <w:r w:rsidR="00311F2A" w:rsidRPr="008E0A0C">
        <w:rPr>
          <w:rFonts w:ascii="Century" w:hAnsi="Century"/>
          <w:i/>
          <w:iCs/>
          <w:sz w:val="28"/>
          <w:szCs w:val="28"/>
        </w:rPr>
        <w:t>State v. Boykin</w:t>
      </w:r>
      <w:r w:rsidR="00311F2A" w:rsidRPr="008E0A0C">
        <w:rPr>
          <w:rFonts w:ascii="Century" w:hAnsi="Century"/>
          <w:sz w:val="28"/>
          <w:szCs w:val="28"/>
        </w:rPr>
        <w:t>, 275 N.C. App. 187, 196 (2020)</w:t>
      </w:r>
      <w:r w:rsidR="00234A4A" w:rsidRPr="008E0A0C">
        <w:rPr>
          <w:rFonts w:ascii="Century" w:hAnsi="Century"/>
          <w:sz w:val="28"/>
          <w:szCs w:val="28"/>
        </w:rPr>
        <w:t>,</w:t>
      </w:r>
      <w:r w:rsidR="0075368D" w:rsidRPr="008E0A0C">
        <w:rPr>
          <w:rFonts w:ascii="Century" w:hAnsi="Century"/>
          <w:sz w:val="28"/>
          <w:szCs w:val="28"/>
        </w:rPr>
        <w:t xml:space="preserve"> i</w:t>
      </w:r>
      <w:r w:rsidR="00850530" w:rsidRPr="008E0A0C">
        <w:rPr>
          <w:rFonts w:ascii="Century" w:hAnsi="Century"/>
          <w:sz w:val="28"/>
          <w:szCs w:val="28"/>
        </w:rPr>
        <w:t xml:space="preserve">t does not cure the error that the jury was properly instructed as to other offenses. Indeed, Mr. Perez was acquitted of both offenses on which the jury was properly instructed. </w:t>
      </w:r>
      <w:r w:rsidR="00416083" w:rsidRPr="008E0A0C">
        <w:rPr>
          <w:rFonts w:ascii="Century" w:hAnsi="Century"/>
          <w:sz w:val="28"/>
          <w:szCs w:val="28"/>
        </w:rPr>
        <w:t xml:space="preserve">This case can </w:t>
      </w:r>
      <w:r w:rsidR="00C93810" w:rsidRPr="008E0A0C">
        <w:rPr>
          <w:rFonts w:ascii="Century" w:hAnsi="Century"/>
          <w:sz w:val="28"/>
          <w:szCs w:val="28"/>
        </w:rPr>
        <w:t xml:space="preserve">therefore </w:t>
      </w:r>
      <w:r w:rsidR="00416083" w:rsidRPr="008E0A0C">
        <w:rPr>
          <w:rFonts w:ascii="Century" w:hAnsi="Century"/>
          <w:sz w:val="28"/>
          <w:szCs w:val="28"/>
        </w:rPr>
        <w:t xml:space="preserve">be </w:t>
      </w:r>
      <w:r w:rsidR="00C93810" w:rsidRPr="008E0A0C">
        <w:rPr>
          <w:rFonts w:ascii="Century" w:hAnsi="Century"/>
          <w:sz w:val="28"/>
          <w:szCs w:val="28"/>
        </w:rPr>
        <w:t xml:space="preserve">readily </w:t>
      </w:r>
      <w:r w:rsidR="00416083" w:rsidRPr="008E0A0C">
        <w:rPr>
          <w:rFonts w:ascii="Century" w:hAnsi="Century"/>
          <w:sz w:val="28"/>
          <w:szCs w:val="28"/>
        </w:rPr>
        <w:t>distinguished from</w:t>
      </w:r>
      <w:r w:rsidR="00C93810" w:rsidRPr="008E0A0C">
        <w:rPr>
          <w:rFonts w:ascii="Century" w:hAnsi="Century"/>
          <w:sz w:val="28"/>
          <w:szCs w:val="28"/>
        </w:rPr>
        <w:t xml:space="preserve"> others like</w:t>
      </w:r>
      <w:r w:rsidR="00416083">
        <w:rPr>
          <w:rFonts w:ascii="Century" w:hAnsi="Century"/>
          <w:sz w:val="28"/>
          <w:szCs w:val="28"/>
        </w:rPr>
        <w:t xml:space="preserve"> </w:t>
      </w:r>
      <w:r w:rsidR="00416083">
        <w:rPr>
          <w:rFonts w:ascii="Century" w:hAnsi="Century"/>
          <w:i/>
          <w:iCs/>
          <w:sz w:val="28"/>
          <w:szCs w:val="28"/>
        </w:rPr>
        <w:t>State v. Allen</w:t>
      </w:r>
      <w:r w:rsidR="00416083">
        <w:rPr>
          <w:rFonts w:ascii="Century" w:hAnsi="Century"/>
          <w:sz w:val="28"/>
          <w:szCs w:val="28"/>
        </w:rPr>
        <w:t xml:space="preserve">, </w:t>
      </w:r>
      <w:r w:rsidR="00C93810">
        <w:rPr>
          <w:rFonts w:ascii="Century" w:hAnsi="Century"/>
          <w:sz w:val="28"/>
          <w:szCs w:val="28"/>
        </w:rPr>
        <w:t xml:space="preserve">233 N.C. App. 507, </w:t>
      </w:r>
      <w:r w:rsidR="006338A2">
        <w:rPr>
          <w:rFonts w:ascii="Century" w:hAnsi="Century"/>
          <w:sz w:val="28"/>
          <w:szCs w:val="28"/>
        </w:rPr>
        <w:t>515 (2014)</w:t>
      </w:r>
      <w:r w:rsidR="002B790E">
        <w:rPr>
          <w:rFonts w:ascii="Century" w:hAnsi="Century"/>
          <w:sz w:val="28"/>
          <w:szCs w:val="28"/>
        </w:rPr>
        <w:t xml:space="preserve">, where this Court found no prejudice from the omission of a self-defense instruction on </w:t>
      </w:r>
      <w:r w:rsidR="0025794A">
        <w:rPr>
          <w:rFonts w:ascii="Century" w:hAnsi="Century"/>
          <w:sz w:val="28"/>
          <w:szCs w:val="28"/>
        </w:rPr>
        <w:t xml:space="preserve">a charge of discharging a firearm into an occupied vehicle where the defendant was also convicted of related charges </w:t>
      </w:r>
      <w:r w:rsidR="00A01595">
        <w:rPr>
          <w:rFonts w:ascii="Century" w:hAnsi="Century"/>
          <w:sz w:val="28"/>
          <w:szCs w:val="28"/>
        </w:rPr>
        <w:t>of attempted murder and assault, as to which the jury was properly instructed</w:t>
      </w:r>
      <w:r w:rsidR="008F13C8">
        <w:rPr>
          <w:rFonts w:ascii="Century" w:hAnsi="Century"/>
          <w:sz w:val="28"/>
          <w:szCs w:val="28"/>
        </w:rPr>
        <w:t xml:space="preserve"> on self-defense.</w:t>
      </w:r>
    </w:p>
    <w:p w14:paraId="536E4886" w14:textId="6639709F" w:rsidR="003010C6" w:rsidRDefault="00B17B0D" w:rsidP="003C0CE7">
      <w:pPr>
        <w:pStyle w:val="BodyTextIndent"/>
        <w:jc w:val="both"/>
        <w:rPr>
          <w:rFonts w:ascii="Century" w:hAnsi="Century"/>
          <w:sz w:val="28"/>
          <w:szCs w:val="28"/>
        </w:rPr>
      </w:pPr>
      <w:r w:rsidRPr="00E01DD2">
        <w:rPr>
          <w:rFonts w:ascii="Century" w:hAnsi="Century"/>
          <w:sz w:val="28"/>
          <w:szCs w:val="28"/>
        </w:rPr>
        <w:t xml:space="preserve">While the jury </w:t>
      </w:r>
      <w:r w:rsidR="000F0F58">
        <w:rPr>
          <w:rFonts w:ascii="Century" w:hAnsi="Century"/>
          <w:sz w:val="28"/>
          <w:szCs w:val="28"/>
        </w:rPr>
        <w:t xml:space="preserve">was instructed on </w:t>
      </w:r>
      <w:r w:rsidR="00D45678">
        <w:rPr>
          <w:rFonts w:ascii="Century" w:hAnsi="Century"/>
          <w:sz w:val="28"/>
          <w:szCs w:val="28"/>
        </w:rPr>
        <w:t xml:space="preserve">definitions related to </w:t>
      </w:r>
      <w:r w:rsidRPr="00E01DD2">
        <w:rPr>
          <w:rFonts w:ascii="Century" w:hAnsi="Century"/>
          <w:sz w:val="28"/>
          <w:szCs w:val="28"/>
        </w:rPr>
        <w:t xml:space="preserve">defense of a family member </w:t>
      </w:r>
      <w:r w:rsidR="000F0F58">
        <w:rPr>
          <w:rFonts w:ascii="Century" w:hAnsi="Century"/>
          <w:sz w:val="28"/>
          <w:szCs w:val="28"/>
        </w:rPr>
        <w:t>as it pertains to</w:t>
      </w:r>
      <w:r w:rsidRPr="00E01DD2">
        <w:rPr>
          <w:rFonts w:ascii="Century" w:hAnsi="Century"/>
          <w:sz w:val="28"/>
          <w:szCs w:val="28"/>
        </w:rPr>
        <w:t xml:space="preserve"> attempted first-degree murder (T pp 416-17) and alphabet assault (T pp 420-21), they received no </w:t>
      </w:r>
      <w:r w:rsidR="00D45678">
        <w:rPr>
          <w:rFonts w:ascii="Century" w:hAnsi="Century"/>
          <w:sz w:val="28"/>
          <w:szCs w:val="28"/>
        </w:rPr>
        <w:t xml:space="preserve">such </w:t>
      </w:r>
      <w:r w:rsidRPr="00E01DD2">
        <w:rPr>
          <w:rFonts w:ascii="Century" w:hAnsi="Century"/>
          <w:sz w:val="28"/>
          <w:szCs w:val="28"/>
        </w:rPr>
        <w:t>guidance during the instruction on assault with a deadly weapon inflicting serious injury. (</w:t>
      </w:r>
      <w:r w:rsidRPr="00E01DD2">
        <w:rPr>
          <w:rFonts w:ascii="Century" w:hAnsi="Century"/>
          <w:i/>
          <w:iCs/>
          <w:sz w:val="28"/>
          <w:szCs w:val="28"/>
        </w:rPr>
        <w:t xml:space="preserve">See </w:t>
      </w:r>
      <w:r w:rsidRPr="00E01DD2">
        <w:rPr>
          <w:rFonts w:ascii="Century" w:hAnsi="Century"/>
          <w:sz w:val="28"/>
          <w:szCs w:val="28"/>
        </w:rPr>
        <w:t>T pp 422-23) The omission of these definitions</w:t>
      </w:r>
      <w:r w:rsidR="00F61AFD">
        <w:rPr>
          <w:rFonts w:ascii="Century" w:hAnsi="Century"/>
          <w:sz w:val="28"/>
          <w:szCs w:val="28"/>
        </w:rPr>
        <w:t xml:space="preserve"> </w:t>
      </w:r>
      <w:r w:rsidRPr="00E01DD2">
        <w:rPr>
          <w:rFonts w:ascii="Century" w:hAnsi="Century"/>
          <w:sz w:val="28"/>
          <w:szCs w:val="28"/>
        </w:rPr>
        <w:t>was likely to confuse the jury or lead them to believe that the definitions previously stated did not apply to this charge</w:t>
      </w:r>
      <w:r w:rsidR="003C0CE7">
        <w:rPr>
          <w:rFonts w:ascii="Century" w:hAnsi="Century"/>
          <w:sz w:val="28"/>
          <w:szCs w:val="28"/>
        </w:rPr>
        <w:t xml:space="preserve">. </w:t>
      </w:r>
      <w:r w:rsidR="00A44B4F">
        <w:rPr>
          <w:rFonts w:ascii="Century" w:hAnsi="Century"/>
          <w:sz w:val="28"/>
          <w:szCs w:val="28"/>
        </w:rPr>
        <w:t>W</w:t>
      </w:r>
      <w:r>
        <w:rPr>
          <w:rFonts w:ascii="Century" w:hAnsi="Century"/>
          <w:sz w:val="28"/>
          <w:szCs w:val="28"/>
        </w:rPr>
        <w:t xml:space="preserve">hen the trial court reached the </w:t>
      </w:r>
      <w:r>
        <w:rPr>
          <w:rFonts w:ascii="Century" w:hAnsi="Century"/>
          <w:sz w:val="28"/>
          <w:szCs w:val="28"/>
        </w:rPr>
        <w:lastRenderedPageBreak/>
        <w:t>“serious injury” prong of assault with a deadly weapon inflicting serious injury, which it defined during the alphabet assault instruction, the trial court stated, “I previously defined serious injury and that definition applies equally here.” (T p 422)</w:t>
      </w:r>
      <w:r w:rsidR="00A44B4F">
        <w:rPr>
          <w:rFonts w:ascii="Century" w:hAnsi="Century"/>
          <w:sz w:val="28"/>
          <w:szCs w:val="28"/>
        </w:rPr>
        <w:t xml:space="preserve"> That the trial court </w:t>
      </w:r>
      <w:r w:rsidR="00B67636">
        <w:rPr>
          <w:rFonts w:ascii="Century" w:hAnsi="Century"/>
          <w:sz w:val="28"/>
          <w:szCs w:val="28"/>
        </w:rPr>
        <w:t xml:space="preserve">gave </w:t>
      </w:r>
      <w:r w:rsidR="00BD46D7">
        <w:rPr>
          <w:rFonts w:ascii="Century" w:hAnsi="Century"/>
          <w:sz w:val="28"/>
          <w:szCs w:val="28"/>
        </w:rPr>
        <w:t xml:space="preserve">such an instruction </w:t>
      </w:r>
      <w:r w:rsidR="00B67636">
        <w:rPr>
          <w:rFonts w:ascii="Century" w:hAnsi="Century"/>
          <w:sz w:val="28"/>
          <w:szCs w:val="28"/>
        </w:rPr>
        <w:t xml:space="preserve">here but not </w:t>
      </w:r>
      <w:r w:rsidR="00BD46D7">
        <w:rPr>
          <w:rFonts w:ascii="Century" w:hAnsi="Century"/>
          <w:sz w:val="28"/>
          <w:szCs w:val="28"/>
        </w:rPr>
        <w:t>regarding the definition of</w:t>
      </w:r>
      <w:r w:rsidR="0075531D">
        <w:rPr>
          <w:rFonts w:ascii="Century" w:hAnsi="Century"/>
          <w:sz w:val="28"/>
          <w:szCs w:val="28"/>
        </w:rPr>
        <w:t xml:space="preserve"> </w:t>
      </w:r>
      <w:r w:rsidR="00B67636">
        <w:rPr>
          <w:rFonts w:ascii="Century" w:hAnsi="Century"/>
          <w:sz w:val="28"/>
          <w:szCs w:val="28"/>
        </w:rPr>
        <w:t xml:space="preserve">key terms related </w:t>
      </w:r>
      <w:r w:rsidR="0075531D">
        <w:rPr>
          <w:rFonts w:ascii="Century" w:hAnsi="Century"/>
          <w:sz w:val="28"/>
          <w:szCs w:val="28"/>
        </w:rPr>
        <w:t>defense of a family member</w:t>
      </w:r>
      <w:r w:rsidR="00B67636">
        <w:rPr>
          <w:rFonts w:ascii="Century" w:hAnsi="Century"/>
          <w:sz w:val="28"/>
          <w:szCs w:val="28"/>
        </w:rPr>
        <w:t xml:space="preserve"> signaled to the jury </w:t>
      </w:r>
      <w:r w:rsidR="00C036EE">
        <w:rPr>
          <w:rFonts w:ascii="Century" w:hAnsi="Century"/>
          <w:sz w:val="28"/>
          <w:szCs w:val="28"/>
        </w:rPr>
        <w:t>that those definitions did not apply equally.</w:t>
      </w:r>
    </w:p>
    <w:p w14:paraId="774D88DE" w14:textId="07538BEB" w:rsidR="0053329C" w:rsidRDefault="00095DFE" w:rsidP="00D540AB">
      <w:pPr>
        <w:pStyle w:val="BodyTextIndent"/>
        <w:jc w:val="both"/>
        <w:rPr>
          <w:rFonts w:ascii="Century" w:hAnsi="Century"/>
          <w:sz w:val="28"/>
          <w:szCs w:val="28"/>
        </w:rPr>
      </w:pPr>
      <w:r>
        <w:rPr>
          <w:rFonts w:ascii="Century" w:hAnsi="Century"/>
          <w:sz w:val="28"/>
          <w:szCs w:val="28"/>
        </w:rPr>
        <w:t xml:space="preserve">The instruction </w:t>
      </w:r>
      <w:r w:rsidR="003D51F4">
        <w:rPr>
          <w:rFonts w:ascii="Century" w:hAnsi="Century"/>
          <w:sz w:val="28"/>
          <w:szCs w:val="28"/>
        </w:rPr>
        <w:t xml:space="preserve">actually </w:t>
      </w:r>
      <w:r>
        <w:rPr>
          <w:rFonts w:ascii="Century" w:hAnsi="Century"/>
          <w:sz w:val="28"/>
          <w:szCs w:val="28"/>
        </w:rPr>
        <w:t>given</w:t>
      </w:r>
      <w:r w:rsidR="00E73C06">
        <w:rPr>
          <w:rFonts w:ascii="Century" w:hAnsi="Century"/>
          <w:sz w:val="28"/>
          <w:szCs w:val="28"/>
        </w:rPr>
        <w:t xml:space="preserve"> </w:t>
      </w:r>
      <w:r w:rsidR="0077730D">
        <w:rPr>
          <w:rFonts w:ascii="Century" w:hAnsi="Century"/>
          <w:sz w:val="28"/>
          <w:szCs w:val="28"/>
        </w:rPr>
        <w:t xml:space="preserve">as to assault with a deadly weapon inflicting serious injury informed the jury in no uncertain terms that defense of another </w:t>
      </w:r>
      <w:r w:rsidR="00310331">
        <w:rPr>
          <w:rFonts w:ascii="Century" w:hAnsi="Century"/>
          <w:sz w:val="28"/>
          <w:szCs w:val="28"/>
        </w:rPr>
        <w:t xml:space="preserve">is not available to the defendant </w:t>
      </w:r>
      <w:r w:rsidR="00E01BA5">
        <w:rPr>
          <w:rFonts w:ascii="Century" w:hAnsi="Century"/>
          <w:sz w:val="28"/>
          <w:szCs w:val="28"/>
        </w:rPr>
        <w:t xml:space="preserve">if “the defendant or his family member was the aggressor.” </w:t>
      </w:r>
      <w:r w:rsidR="000838D1">
        <w:rPr>
          <w:rFonts w:ascii="Century" w:hAnsi="Century"/>
          <w:sz w:val="28"/>
          <w:szCs w:val="28"/>
        </w:rPr>
        <w:t xml:space="preserve">(T p 423) </w:t>
      </w:r>
      <w:r w:rsidR="00211323">
        <w:rPr>
          <w:rFonts w:ascii="Century" w:hAnsi="Century"/>
          <w:sz w:val="28"/>
          <w:szCs w:val="28"/>
        </w:rPr>
        <w:t xml:space="preserve">This part of the mandate omits critical language from the </w:t>
      </w:r>
      <w:r w:rsidR="00C074D6">
        <w:rPr>
          <w:rFonts w:ascii="Century" w:hAnsi="Century"/>
          <w:sz w:val="28"/>
          <w:szCs w:val="28"/>
        </w:rPr>
        <w:t>body of the instruction explaining that in some situations, the aggressor can regain the right to defense of another.</w:t>
      </w:r>
      <w:r w:rsidR="00D540AB">
        <w:rPr>
          <w:rFonts w:ascii="Century" w:hAnsi="Century"/>
          <w:sz w:val="28"/>
          <w:szCs w:val="28"/>
        </w:rPr>
        <w:t xml:space="preserve"> </w:t>
      </w:r>
      <w:r w:rsidR="000838D1">
        <w:rPr>
          <w:rFonts w:ascii="Century" w:hAnsi="Century"/>
          <w:sz w:val="28"/>
          <w:szCs w:val="28"/>
        </w:rPr>
        <w:t xml:space="preserve">It was </w:t>
      </w:r>
      <w:r w:rsidR="000838D1" w:rsidRPr="006B3EB5">
        <w:rPr>
          <w:rFonts w:ascii="Century" w:hAnsi="Century"/>
          <w:sz w:val="28"/>
          <w:szCs w:val="28"/>
        </w:rPr>
        <w:t xml:space="preserve">undisputed that Bobby </w:t>
      </w:r>
      <w:r w:rsidR="006B3EB5" w:rsidRPr="006B3EB5">
        <w:rPr>
          <w:rFonts w:ascii="Century" w:hAnsi="Century"/>
          <w:sz w:val="28"/>
          <w:szCs w:val="28"/>
        </w:rPr>
        <w:t xml:space="preserve">charged at Mr. Robinson and </w:t>
      </w:r>
      <w:r w:rsidR="000B334E" w:rsidRPr="006B3EB5">
        <w:rPr>
          <w:rFonts w:ascii="Century" w:hAnsi="Century"/>
          <w:sz w:val="28"/>
          <w:szCs w:val="28"/>
        </w:rPr>
        <w:t>threw the first punch</w:t>
      </w:r>
      <w:r w:rsidR="000878B3" w:rsidRPr="006B3EB5">
        <w:rPr>
          <w:rFonts w:ascii="Century" w:hAnsi="Century"/>
          <w:sz w:val="28"/>
          <w:szCs w:val="28"/>
        </w:rPr>
        <w:t>. (T p</w:t>
      </w:r>
      <w:r w:rsidR="006B3EB5" w:rsidRPr="006B3EB5">
        <w:rPr>
          <w:rFonts w:ascii="Century" w:hAnsi="Century"/>
          <w:sz w:val="28"/>
          <w:szCs w:val="28"/>
        </w:rPr>
        <w:t>p 33,</w:t>
      </w:r>
      <w:r w:rsidR="000878B3" w:rsidRPr="006B3EB5">
        <w:rPr>
          <w:rFonts w:ascii="Century" w:hAnsi="Century"/>
          <w:sz w:val="28"/>
          <w:szCs w:val="28"/>
        </w:rPr>
        <w:t xml:space="preserve"> </w:t>
      </w:r>
      <w:r w:rsidR="00C25496" w:rsidRPr="006B3EB5">
        <w:rPr>
          <w:rFonts w:ascii="Century" w:hAnsi="Century"/>
          <w:sz w:val="28"/>
          <w:szCs w:val="28"/>
        </w:rPr>
        <w:t>259</w:t>
      </w:r>
      <w:r w:rsidR="000878B3" w:rsidRPr="006B3EB5">
        <w:rPr>
          <w:rFonts w:ascii="Century" w:hAnsi="Century"/>
          <w:sz w:val="28"/>
          <w:szCs w:val="28"/>
        </w:rPr>
        <w:t xml:space="preserve">) </w:t>
      </w:r>
      <w:r w:rsidR="0053329C" w:rsidRPr="006B3EB5">
        <w:rPr>
          <w:rFonts w:ascii="Century" w:hAnsi="Century"/>
          <w:sz w:val="28"/>
          <w:szCs w:val="28"/>
        </w:rPr>
        <w:t>As instructed, the jury was duty-bound to convict Mr. Perez</w:t>
      </w:r>
      <w:r w:rsidR="00DF12FC" w:rsidRPr="006B3EB5">
        <w:rPr>
          <w:rFonts w:ascii="Century" w:hAnsi="Century"/>
          <w:sz w:val="28"/>
          <w:szCs w:val="28"/>
        </w:rPr>
        <w:t xml:space="preserve"> </w:t>
      </w:r>
      <w:r w:rsidR="00F02105">
        <w:rPr>
          <w:rFonts w:ascii="Century" w:hAnsi="Century"/>
          <w:sz w:val="28"/>
          <w:szCs w:val="28"/>
        </w:rPr>
        <w:t xml:space="preserve">because Bobby was the aggressor, regardless of whether they believed Mr. Robinson escalated </w:t>
      </w:r>
      <w:r w:rsidR="00A643E6">
        <w:rPr>
          <w:rFonts w:ascii="Century" w:hAnsi="Century"/>
          <w:sz w:val="28"/>
          <w:szCs w:val="28"/>
        </w:rPr>
        <w:t>the confrontation to a potentially lethal level by drawing his box cutter</w:t>
      </w:r>
      <w:r w:rsidR="00DF12FC">
        <w:rPr>
          <w:rFonts w:ascii="Century" w:hAnsi="Century"/>
          <w:sz w:val="28"/>
          <w:szCs w:val="28"/>
        </w:rPr>
        <w:t>.</w:t>
      </w:r>
    </w:p>
    <w:p w14:paraId="24F9F21C" w14:textId="77225441" w:rsidR="003E472D" w:rsidRDefault="00EA23BF" w:rsidP="00850530">
      <w:pPr>
        <w:pStyle w:val="BodyTextIndent"/>
        <w:jc w:val="both"/>
        <w:rPr>
          <w:rFonts w:ascii="Century" w:hAnsi="Century"/>
          <w:sz w:val="28"/>
          <w:szCs w:val="28"/>
        </w:rPr>
      </w:pPr>
      <w:r>
        <w:rPr>
          <w:rFonts w:ascii="Century" w:hAnsi="Century"/>
          <w:sz w:val="28"/>
          <w:szCs w:val="28"/>
        </w:rPr>
        <w:lastRenderedPageBreak/>
        <w:t>A defendant who is the initial aggressor is nonetheless entitled to a complete instruction on self-defense (or defense of another)</w:t>
      </w:r>
      <w:r w:rsidR="00EA7FC2">
        <w:rPr>
          <w:rFonts w:ascii="Century" w:hAnsi="Century"/>
          <w:sz w:val="28"/>
          <w:szCs w:val="28"/>
        </w:rPr>
        <w:t xml:space="preserve"> if “his provocative conduct involved non-deadly, rather than deadly, force</w:t>
      </w:r>
      <w:r w:rsidR="00D540AB">
        <w:rPr>
          <w:rFonts w:ascii="Century" w:hAnsi="Century"/>
          <w:sz w:val="28"/>
          <w:szCs w:val="28"/>
        </w:rPr>
        <w:t>,</w:t>
      </w:r>
      <w:r w:rsidR="00EA7FC2">
        <w:rPr>
          <w:rFonts w:ascii="Century" w:hAnsi="Century"/>
          <w:sz w:val="28"/>
          <w:szCs w:val="28"/>
        </w:rPr>
        <w:t>”</w:t>
      </w:r>
      <w:r w:rsidR="00D540AB">
        <w:rPr>
          <w:rFonts w:ascii="Century" w:hAnsi="Century"/>
          <w:sz w:val="28"/>
          <w:szCs w:val="28"/>
        </w:rPr>
        <w:t xml:space="preserve"> but the </w:t>
      </w:r>
      <w:r w:rsidR="00CE07FA">
        <w:rPr>
          <w:rFonts w:ascii="Century" w:hAnsi="Century"/>
          <w:sz w:val="28"/>
          <w:szCs w:val="28"/>
        </w:rPr>
        <w:t>victim then responds with deadly force.</w:t>
      </w:r>
      <w:r w:rsidR="00C62B48">
        <w:rPr>
          <w:rFonts w:ascii="Century" w:hAnsi="Century"/>
          <w:sz w:val="28"/>
          <w:szCs w:val="28"/>
        </w:rPr>
        <w:t xml:space="preserve"> </w:t>
      </w:r>
      <w:r w:rsidR="00C62B48">
        <w:rPr>
          <w:rFonts w:ascii="Century" w:hAnsi="Century"/>
          <w:i/>
          <w:iCs/>
          <w:sz w:val="28"/>
          <w:szCs w:val="28"/>
        </w:rPr>
        <w:t>State v. Holloman</w:t>
      </w:r>
      <w:r w:rsidR="00C62B48">
        <w:rPr>
          <w:rFonts w:ascii="Century" w:hAnsi="Century"/>
          <w:sz w:val="28"/>
          <w:szCs w:val="28"/>
        </w:rPr>
        <w:t>, 369 N.C. 615, 629 (2017).</w:t>
      </w:r>
      <w:r w:rsidR="00E94EDA">
        <w:rPr>
          <w:rFonts w:ascii="Century" w:hAnsi="Century"/>
          <w:sz w:val="28"/>
          <w:szCs w:val="28"/>
        </w:rPr>
        <w:t xml:space="preserve"> Bobby striking Mr. Robinson with his fists did not amount to deadly force. </w:t>
      </w:r>
      <w:r w:rsidR="00CA4ECF">
        <w:rPr>
          <w:rFonts w:ascii="Century" w:hAnsi="Century"/>
          <w:sz w:val="28"/>
          <w:szCs w:val="28"/>
        </w:rPr>
        <w:t xml:space="preserve">However, a box cutter is a deadly weapon. </w:t>
      </w:r>
      <w:r w:rsidR="00EA2321">
        <w:rPr>
          <w:rFonts w:ascii="Century" w:hAnsi="Century"/>
          <w:i/>
          <w:iCs/>
          <w:sz w:val="28"/>
          <w:szCs w:val="28"/>
        </w:rPr>
        <w:t>See State v. Parks</w:t>
      </w:r>
      <w:r w:rsidR="00EA2321">
        <w:rPr>
          <w:rFonts w:ascii="Century" w:hAnsi="Century"/>
          <w:sz w:val="28"/>
          <w:szCs w:val="28"/>
        </w:rPr>
        <w:t>, 264 N.C. App. 112, 116 (2019).</w:t>
      </w:r>
      <w:r w:rsidR="009E0FC9">
        <w:rPr>
          <w:rFonts w:ascii="Century" w:hAnsi="Century"/>
          <w:sz w:val="28"/>
          <w:szCs w:val="28"/>
        </w:rPr>
        <w:t xml:space="preserve"> </w:t>
      </w:r>
      <w:r w:rsidR="003E472D">
        <w:rPr>
          <w:rFonts w:ascii="Century" w:hAnsi="Century"/>
          <w:sz w:val="28"/>
          <w:szCs w:val="28"/>
        </w:rPr>
        <w:t>Under the facts of this case, the jury could have concluded that</w:t>
      </w:r>
      <w:r w:rsidR="003E183B">
        <w:rPr>
          <w:rFonts w:ascii="Century" w:hAnsi="Century"/>
          <w:sz w:val="28"/>
          <w:szCs w:val="28"/>
        </w:rPr>
        <w:t xml:space="preserve"> </w:t>
      </w:r>
      <w:r w:rsidR="00F70AD0">
        <w:rPr>
          <w:rFonts w:ascii="Century" w:hAnsi="Century"/>
          <w:sz w:val="28"/>
          <w:szCs w:val="28"/>
        </w:rPr>
        <w:t xml:space="preserve">by pulling his blade, </w:t>
      </w:r>
      <w:r w:rsidR="003E183B">
        <w:rPr>
          <w:rFonts w:ascii="Century" w:hAnsi="Century"/>
          <w:sz w:val="28"/>
          <w:szCs w:val="28"/>
        </w:rPr>
        <w:t>Mr. Robinson escalated the level of violence, making it possible for Mr. Perez to justifiably act in defense of Bobby even though Bobby was the initial aggressor.</w:t>
      </w:r>
      <w:r w:rsidR="00270AEA">
        <w:rPr>
          <w:rFonts w:ascii="Century" w:hAnsi="Century"/>
          <w:sz w:val="28"/>
          <w:szCs w:val="28"/>
        </w:rPr>
        <w:t xml:space="preserve"> </w:t>
      </w:r>
      <w:r w:rsidR="00F70AD0">
        <w:rPr>
          <w:rFonts w:ascii="Century" w:hAnsi="Century"/>
          <w:i/>
          <w:iCs/>
          <w:sz w:val="28"/>
          <w:szCs w:val="28"/>
        </w:rPr>
        <w:t>See Lee</w:t>
      </w:r>
      <w:r w:rsidR="00F70AD0">
        <w:rPr>
          <w:rFonts w:ascii="Century" w:hAnsi="Century"/>
          <w:sz w:val="28"/>
          <w:szCs w:val="28"/>
        </w:rPr>
        <w:t xml:space="preserve">, 370 N.C. at 679-81, Martin, C.J. concurring (where the defendant’s cousin punched the decedent, the decedent responded by shooting the cousin, and the defendant then shot the decedent, this amounted to perfect defense of another). </w:t>
      </w:r>
      <w:r w:rsidR="00270AEA">
        <w:rPr>
          <w:rFonts w:ascii="Century" w:hAnsi="Century"/>
          <w:sz w:val="28"/>
          <w:szCs w:val="28"/>
        </w:rPr>
        <w:t xml:space="preserve">The trial court’s instructions </w:t>
      </w:r>
      <w:r w:rsidR="008E4379">
        <w:rPr>
          <w:rFonts w:ascii="Century" w:hAnsi="Century"/>
          <w:sz w:val="28"/>
          <w:szCs w:val="28"/>
        </w:rPr>
        <w:t xml:space="preserve">impermissibly </w:t>
      </w:r>
      <w:r w:rsidR="00270AEA">
        <w:rPr>
          <w:rFonts w:ascii="Century" w:hAnsi="Century"/>
          <w:sz w:val="28"/>
          <w:szCs w:val="28"/>
        </w:rPr>
        <w:t>prevented the</w:t>
      </w:r>
      <w:r w:rsidR="008E4379">
        <w:rPr>
          <w:rFonts w:ascii="Century" w:hAnsi="Century"/>
          <w:sz w:val="28"/>
          <w:szCs w:val="28"/>
        </w:rPr>
        <w:t xml:space="preserve"> jury</w:t>
      </w:r>
      <w:r w:rsidR="00270AEA">
        <w:rPr>
          <w:rFonts w:ascii="Century" w:hAnsi="Century"/>
          <w:sz w:val="28"/>
          <w:szCs w:val="28"/>
        </w:rPr>
        <w:t xml:space="preserve"> from finding </w:t>
      </w:r>
      <w:r w:rsidR="008E4379">
        <w:rPr>
          <w:rFonts w:ascii="Century" w:hAnsi="Century"/>
          <w:sz w:val="28"/>
          <w:szCs w:val="28"/>
        </w:rPr>
        <w:t>Mr. Perez</w:t>
      </w:r>
      <w:r w:rsidR="00270AEA">
        <w:rPr>
          <w:rFonts w:ascii="Century" w:hAnsi="Century"/>
          <w:sz w:val="28"/>
          <w:szCs w:val="28"/>
        </w:rPr>
        <w:t xml:space="preserve"> not guilty in this scenario.</w:t>
      </w:r>
    </w:p>
    <w:p w14:paraId="24F38CDA" w14:textId="17DC6E9B" w:rsidR="001E3DD9" w:rsidRDefault="001009D7" w:rsidP="003C0CE7">
      <w:pPr>
        <w:pStyle w:val="BodyTextIndent"/>
        <w:jc w:val="both"/>
        <w:rPr>
          <w:rFonts w:ascii="Century" w:hAnsi="Century"/>
          <w:sz w:val="28"/>
          <w:szCs w:val="28"/>
        </w:rPr>
      </w:pPr>
      <w:r>
        <w:rPr>
          <w:rFonts w:ascii="Century" w:hAnsi="Century"/>
          <w:sz w:val="28"/>
          <w:szCs w:val="28"/>
        </w:rPr>
        <w:t xml:space="preserve">Had the trial court properly instructed the jury, </w:t>
      </w:r>
      <w:r w:rsidR="000C59D8">
        <w:rPr>
          <w:rFonts w:ascii="Century" w:hAnsi="Century"/>
          <w:sz w:val="28"/>
          <w:szCs w:val="28"/>
        </w:rPr>
        <w:t>the jury would have been instructed that</w:t>
      </w:r>
      <w:r w:rsidR="004F2AF6">
        <w:rPr>
          <w:rFonts w:ascii="Century" w:hAnsi="Century"/>
          <w:sz w:val="28"/>
          <w:szCs w:val="28"/>
        </w:rPr>
        <w:t xml:space="preserve">, </w:t>
      </w:r>
      <w:r w:rsidR="004F2AF6" w:rsidRPr="00D31C3C">
        <w:rPr>
          <w:rFonts w:ascii="Century" w:hAnsi="Century"/>
          <w:sz w:val="28"/>
          <w:szCs w:val="28"/>
        </w:rPr>
        <w:t xml:space="preserve">“A person is also justified in using defensive force when the force used by the person who was provoked is so serious that </w:t>
      </w:r>
      <w:r w:rsidR="004F2AF6" w:rsidRPr="00D31C3C">
        <w:rPr>
          <w:rFonts w:ascii="Century" w:hAnsi="Century"/>
          <w:sz w:val="28"/>
          <w:szCs w:val="28"/>
        </w:rPr>
        <w:lastRenderedPageBreak/>
        <w:t xml:space="preserve">the person using defensive force reasonably believes that he was in imminent danger of death or great bodily harm, the person using defensive force had no reasonable means to retreat, and the use of force likely to cause death or serious bodily harm was the only way to escape danger.” </w:t>
      </w:r>
      <w:r w:rsidR="004F2AF6" w:rsidRPr="00D31C3C">
        <w:rPr>
          <w:rFonts w:ascii="Century" w:hAnsi="Century"/>
          <w:i/>
          <w:iCs/>
          <w:sz w:val="28"/>
          <w:szCs w:val="28"/>
        </w:rPr>
        <w:t xml:space="preserve">See </w:t>
      </w:r>
      <w:r w:rsidR="00E841B4" w:rsidRPr="00D31C3C">
        <w:rPr>
          <w:rFonts w:ascii="Century" w:hAnsi="Century"/>
          <w:sz w:val="28"/>
          <w:szCs w:val="28"/>
        </w:rPr>
        <w:t>N.C.P.I. Crim. 308.50; N.C. Gen. Stat. § 14-51</w:t>
      </w:r>
      <w:r w:rsidR="00D31C3C" w:rsidRPr="00D31C3C">
        <w:rPr>
          <w:rFonts w:ascii="Century" w:hAnsi="Century"/>
          <w:sz w:val="28"/>
          <w:szCs w:val="28"/>
        </w:rPr>
        <w:t>.4</w:t>
      </w:r>
      <w:r w:rsidR="00D31C3C">
        <w:rPr>
          <w:rFonts w:ascii="Century" w:hAnsi="Century"/>
          <w:sz w:val="28"/>
          <w:szCs w:val="28"/>
        </w:rPr>
        <w:t>(a)</w:t>
      </w:r>
      <w:r w:rsidR="00D31C3C" w:rsidRPr="00D31C3C">
        <w:rPr>
          <w:rFonts w:ascii="Century" w:hAnsi="Century"/>
          <w:sz w:val="28"/>
          <w:szCs w:val="28"/>
        </w:rPr>
        <w:t>.</w:t>
      </w:r>
      <w:r w:rsidR="00FB1754">
        <w:rPr>
          <w:rFonts w:ascii="Century" w:hAnsi="Century"/>
          <w:sz w:val="28"/>
          <w:szCs w:val="28"/>
        </w:rPr>
        <w:t xml:space="preserve"> </w:t>
      </w:r>
      <w:r w:rsidR="00E475C3">
        <w:rPr>
          <w:rFonts w:ascii="Century" w:hAnsi="Century"/>
          <w:sz w:val="28"/>
          <w:szCs w:val="28"/>
        </w:rPr>
        <w:t xml:space="preserve"> </w:t>
      </w:r>
    </w:p>
    <w:p w14:paraId="137EB612" w14:textId="0BCEB4A5" w:rsidR="00FA13DF" w:rsidRPr="008422D5" w:rsidRDefault="006C61E9" w:rsidP="008422D5">
      <w:pPr>
        <w:pStyle w:val="BodyTextIndent"/>
        <w:jc w:val="both"/>
        <w:rPr>
          <w:rFonts w:ascii="Century" w:hAnsi="Century"/>
          <w:sz w:val="28"/>
          <w:szCs w:val="28"/>
        </w:rPr>
      </w:pPr>
      <w:r>
        <w:rPr>
          <w:rFonts w:ascii="Century" w:hAnsi="Century"/>
          <w:sz w:val="28"/>
          <w:szCs w:val="28"/>
        </w:rPr>
        <w:t>This Court should “</w:t>
      </w:r>
      <w:proofErr w:type="gramStart"/>
      <w:r>
        <w:rPr>
          <w:rFonts w:ascii="Century" w:hAnsi="Century"/>
          <w:sz w:val="28"/>
          <w:szCs w:val="28"/>
        </w:rPr>
        <w:t>view[</w:t>
      </w:r>
      <w:proofErr w:type="gramEnd"/>
      <w:r>
        <w:rPr>
          <w:rFonts w:ascii="Century" w:hAnsi="Century"/>
          <w:sz w:val="28"/>
          <w:szCs w:val="28"/>
        </w:rPr>
        <w:t>] the evi</w:t>
      </w:r>
      <w:r w:rsidRPr="00FE6B27">
        <w:rPr>
          <w:rFonts w:ascii="Century" w:hAnsi="Century"/>
          <w:sz w:val="28"/>
          <w:szCs w:val="28"/>
        </w:rPr>
        <w:t xml:space="preserve">dence in the light most favorable to the defendant [to determine whether] a jury could conclude” that he acted in defense of a family member. </w:t>
      </w:r>
      <w:r w:rsidRPr="00FE6B27">
        <w:rPr>
          <w:rFonts w:ascii="Century" w:hAnsi="Century"/>
          <w:i/>
          <w:iCs/>
          <w:sz w:val="28"/>
          <w:szCs w:val="28"/>
        </w:rPr>
        <w:t>State v. Irabor</w:t>
      </w:r>
      <w:r w:rsidRPr="00FE6B27">
        <w:rPr>
          <w:rFonts w:ascii="Century" w:hAnsi="Century"/>
          <w:sz w:val="28"/>
          <w:szCs w:val="28"/>
        </w:rPr>
        <w:t xml:space="preserve">, 262 N.C. App. 490, 495 (2018). </w:t>
      </w:r>
      <w:r w:rsidR="00FA13DF" w:rsidRPr="00FE6B27">
        <w:rPr>
          <w:rFonts w:ascii="Century" w:hAnsi="Century"/>
          <w:sz w:val="28"/>
          <w:szCs w:val="28"/>
        </w:rPr>
        <w:t>Mr</w:t>
      </w:r>
      <w:r w:rsidR="00FE6B27">
        <w:rPr>
          <w:rFonts w:ascii="Century" w:hAnsi="Century"/>
          <w:sz w:val="28"/>
          <w:szCs w:val="28"/>
        </w:rPr>
        <w:t xml:space="preserve">. </w:t>
      </w:r>
      <w:r w:rsidR="00FA13DF" w:rsidRPr="00FE6B27">
        <w:rPr>
          <w:rFonts w:ascii="Century" w:hAnsi="Century"/>
          <w:sz w:val="28"/>
          <w:szCs w:val="28"/>
        </w:rPr>
        <w:t>Perez testified that when he saw the box cutter in Mr. Robinson’s hand, he believed his brother’s</w:t>
      </w:r>
      <w:r w:rsidR="00FA13DF">
        <w:rPr>
          <w:rFonts w:ascii="Century" w:hAnsi="Century"/>
          <w:sz w:val="28"/>
          <w:szCs w:val="28"/>
        </w:rPr>
        <w:t xml:space="preserve"> life was “in danger.” </w:t>
      </w:r>
      <w:r w:rsidR="00C87AC5">
        <w:rPr>
          <w:rFonts w:ascii="Century" w:hAnsi="Century"/>
          <w:sz w:val="28"/>
          <w:szCs w:val="28"/>
        </w:rPr>
        <w:t>(T p 331) Mr. Robinson was a foot taller than both Mr. Perez and his brother</w:t>
      </w:r>
      <w:r w:rsidR="006C6E82">
        <w:rPr>
          <w:rFonts w:ascii="Century" w:hAnsi="Century"/>
          <w:sz w:val="28"/>
          <w:szCs w:val="28"/>
        </w:rPr>
        <w:t xml:space="preserve">, and he </w:t>
      </w:r>
      <w:r w:rsidR="00E75F0E">
        <w:rPr>
          <w:rFonts w:ascii="Century" w:hAnsi="Century"/>
          <w:sz w:val="28"/>
          <w:szCs w:val="28"/>
        </w:rPr>
        <w:t xml:space="preserve">was armed with a deadly weapon. (T pp 331-32) </w:t>
      </w:r>
      <w:r w:rsidR="00553A76">
        <w:rPr>
          <w:rFonts w:ascii="Century" w:hAnsi="Century"/>
          <w:sz w:val="28"/>
          <w:szCs w:val="28"/>
        </w:rPr>
        <w:t>Mr. Perez testified that he only drew his weapon after Mr. Robinson escalated the level of violence</w:t>
      </w:r>
      <w:r w:rsidR="00134104">
        <w:rPr>
          <w:rFonts w:ascii="Century" w:hAnsi="Century"/>
          <w:sz w:val="28"/>
          <w:szCs w:val="28"/>
        </w:rPr>
        <w:t>.</w:t>
      </w:r>
      <w:r w:rsidR="00030BA0">
        <w:rPr>
          <w:rFonts w:ascii="Century" w:hAnsi="Century"/>
          <w:sz w:val="28"/>
          <w:szCs w:val="28"/>
        </w:rPr>
        <w:t xml:space="preserve"> (T p 333)</w:t>
      </w:r>
      <w:r w:rsidR="00134104">
        <w:rPr>
          <w:rFonts w:ascii="Century" w:hAnsi="Century"/>
          <w:sz w:val="28"/>
          <w:szCs w:val="28"/>
        </w:rPr>
        <w:t xml:space="preserve"> The fight progressed so quickly that Mr. Perez did not have an opportunity to retreat</w:t>
      </w:r>
      <w:r w:rsidR="00A53034">
        <w:rPr>
          <w:rFonts w:ascii="Century" w:hAnsi="Century"/>
          <w:sz w:val="28"/>
          <w:szCs w:val="28"/>
        </w:rPr>
        <w:t>. (T pp 335-36)</w:t>
      </w:r>
      <w:r w:rsidR="00D54FAB">
        <w:rPr>
          <w:rFonts w:ascii="Century" w:hAnsi="Century"/>
          <w:sz w:val="28"/>
          <w:szCs w:val="28"/>
        </w:rPr>
        <w:t xml:space="preserve"> Striking Mr. Robinson with his </w:t>
      </w:r>
      <w:r w:rsidR="00921747">
        <w:rPr>
          <w:rFonts w:ascii="Century" w:hAnsi="Century"/>
          <w:sz w:val="28"/>
          <w:szCs w:val="28"/>
        </w:rPr>
        <w:t xml:space="preserve">fists failed to dissuade him from striking Bobby, so Mr. Perez felt he had no choice but to use his knife. (T </w:t>
      </w:r>
      <w:r w:rsidR="00B3525F">
        <w:rPr>
          <w:rFonts w:ascii="Century" w:hAnsi="Century"/>
          <w:sz w:val="28"/>
          <w:szCs w:val="28"/>
        </w:rPr>
        <w:t>p 339)</w:t>
      </w:r>
      <w:r w:rsidR="008422D5">
        <w:rPr>
          <w:rFonts w:ascii="Century" w:hAnsi="Century"/>
          <w:sz w:val="28"/>
          <w:szCs w:val="28"/>
        </w:rPr>
        <w:t xml:space="preserve"> </w:t>
      </w:r>
    </w:p>
    <w:p w14:paraId="0DF8738F" w14:textId="196EAD29" w:rsidR="00166D53" w:rsidRPr="009433CB" w:rsidRDefault="005837BA" w:rsidP="009433CB">
      <w:pPr>
        <w:pStyle w:val="BodyTextIndent"/>
        <w:jc w:val="both"/>
        <w:rPr>
          <w:rFonts w:ascii="Century" w:hAnsi="Century"/>
          <w:sz w:val="28"/>
          <w:szCs w:val="28"/>
        </w:rPr>
      </w:pPr>
      <w:r>
        <w:rPr>
          <w:rFonts w:ascii="Century" w:hAnsi="Century"/>
          <w:sz w:val="28"/>
          <w:szCs w:val="28"/>
        </w:rPr>
        <w:t xml:space="preserve">If even one juror </w:t>
      </w:r>
      <w:r w:rsidR="00143AB0">
        <w:rPr>
          <w:rFonts w:ascii="Century" w:hAnsi="Century"/>
          <w:sz w:val="28"/>
          <w:szCs w:val="28"/>
        </w:rPr>
        <w:t>believed Mr. Perez’ testimony that he did</w:t>
      </w:r>
      <w:r w:rsidR="00CD6DC2">
        <w:rPr>
          <w:rFonts w:ascii="Century" w:hAnsi="Century"/>
          <w:sz w:val="28"/>
          <w:szCs w:val="28"/>
        </w:rPr>
        <w:t xml:space="preserve"> not draw his weapon until after Mr. Robinson drew his, that would have impacted </w:t>
      </w:r>
      <w:r w:rsidR="00CD6DC2">
        <w:rPr>
          <w:rFonts w:ascii="Century" w:hAnsi="Century"/>
          <w:sz w:val="28"/>
          <w:szCs w:val="28"/>
        </w:rPr>
        <w:lastRenderedPageBreak/>
        <w:t xml:space="preserve">the jury’s findings as to both excessive force and </w:t>
      </w:r>
      <w:r w:rsidR="004B64FE">
        <w:rPr>
          <w:rFonts w:ascii="Century" w:hAnsi="Century"/>
          <w:sz w:val="28"/>
          <w:szCs w:val="28"/>
        </w:rPr>
        <w:t xml:space="preserve">who was the aggressor. The trial court’s instruction failed to define either of these </w:t>
      </w:r>
      <w:r w:rsidR="004B4FBA">
        <w:rPr>
          <w:rFonts w:ascii="Century" w:hAnsi="Century"/>
          <w:sz w:val="28"/>
          <w:szCs w:val="28"/>
        </w:rPr>
        <w:t xml:space="preserve">key </w:t>
      </w:r>
      <w:r w:rsidR="004B64FE">
        <w:rPr>
          <w:rFonts w:ascii="Century" w:hAnsi="Century"/>
          <w:sz w:val="28"/>
          <w:szCs w:val="28"/>
        </w:rPr>
        <w:t>terms</w:t>
      </w:r>
      <w:r w:rsidR="004B4FBA">
        <w:rPr>
          <w:rFonts w:ascii="Century" w:hAnsi="Century"/>
          <w:sz w:val="28"/>
          <w:szCs w:val="28"/>
        </w:rPr>
        <w:t xml:space="preserve"> and ultimately left the jury with the mistaken impression that </w:t>
      </w:r>
      <w:r w:rsidR="005728EF">
        <w:rPr>
          <w:rFonts w:ascii="Century" w:hAnsi="Century"/>
          <w:sz w:val="28"/>
          <w:szCs w:val="28"/>
        </w:rPr>
        <w:t xml:space="preserve">it is not possible for an aggressor to regain the right to </w:t>
      </w:r>
      <w:r w:rsidR="00674DFB">
        <w:rPr>
          <w:rFonts w:ascii="Century" w:hAnsi="Century"/>
          <w:sz w:val="28"/>
          <w:szCs w:val="28"/>
        </w:rPr>
        <w:t>self-defense or defense of another.</w:t>
      </w:r>
      <w:r w:rsidR="009433CB">
        <w:rPr>
          <w:rFonts w:ascii="Century" w:hAnsi="Century"/>
          <w:sz w:val="28"/>
          <w:szCs w:val="28"/>
        </w:rPr>
        <w:t xml:space="preserve"> </w:t>
      </w:r>
      <w:r w:rsidR="00E475C3">
        <w:rPr>
          <w:rFonts w:ascii="Century" w:hAnsi="Century"/>
          <w:sz w:val="28"/>
          <w:szCs w:val="28"/>
        </w:rPr>
        <w:t>Had the jury been properly instructed that it is possible for an initial aggressor to regain the right to self-defense or defense of another, it is reasonably possible that they would have acquitted Mr. Perez. In the alternative, this outcome was reasonably probable.</w:t>
      </w:r>
    </w:p>
    <w:p w14:paraId="0DF87390" w14:textId="77777777" w:rsidR="00166D53" w:rsidRDefault="00067013">
      <w:pPr>
        <w:pStyle w:val="BodyTextIndent"/>
        <w:ind w:firstLine="0"/>
        <w:jc w:val="center"/>
        <w:rPr>
          <w:rFonts w:ascii="Century" w:hAnsi="Century"/>
          <w:b/>
          <w:sz w:val="28"/>
          <w:szCs w:val="28"/>
          <w:u w:val="single"/>
        </w:rPr>
      </w:pPr>
      <w:r>
        <w:rPr>
          <w:rFonts w:ascii="Century" w:hAnsi="Century"/>
          <w:b/>
          <w:sz w:val="28"/>
          <w:szCs w:val="28"/>
          <w:u w:val="single"/>
        </w:rPr>
        <w:t>CONCLUSION</w:t>
      </w:r>
    </w:p>
    <w:p w14:paraId="0DF87392" w14:textId="0FF19241" w:rsidR="00166D53" w:rsidRPr="003E183B" w:rsidRDefault="00067013">
      <w:pPr>
        <w:pStyle w:val="BodyTextIndent"/>
        <w:jc w:val="both"/>
        <w:rPr>
          <w:rFonts w:ascii="Century" w:hAnsi="Century"/>
          <w:sz w:val="28"/>
          <w:szCs w:val="28"/>
        </w:rPr>
      </w:pPr>
      <w:r w:rsidRPr="003E183B">
        <w:rPr>
          <w:rFonts w:ascii="Century" w:hAnsi="Century"/>
          <w:sz w:val="28"/>
          <w:szCs w:val="28"/>
        </w:rPr>
        <w:t xml:space="preserve">For the foregoing reasons and authorities, </w:t>
      </w:r>
      <w:r w:rsidR="003E183B" w:rsidRPr="003E183B">
        <w:rPr>
          <w:rFonts w:ascii="Century" w:hAnsi="Century"/>
          <w:sz w:val="28"/>
          <w:szCs w:val="28"/>
        </w:rPr>
        <w:t>Mr. Perez</w:t>
      </w:r>
      <w:r w:rsidRPr="003E183B">
        <w:rPr>
          <w:rFonts w:ascii="Century" w:hAnsi="Century"/>
          <w:sz w:val="28"/>
          <w:szCs w:val="28"/>
        </w:rPr>
        <w:t xml:space="preserve"> respectfully requests that h</w:t>
      </w:r>
      <w:r w:rsidR="003E183B" w:rsidRPr="003E183B">
        <w:rPr>
          <w:rFonts w:ascii="Century" w:hAnsi="Century"/>
          <w:sz w:val="28"/>
          <w:szCs w:val="28"/>
        </w:rPr>
        <w:t>is</w:t>
      </w:r>
      <w:r w:rsidRPr="003E183B">
        <w:rPr>
          <w:rFonts w:ascii="Century" w:hAnsi="Century"/>
          <w:sz w:val="28"/>
          <w:szCs w:val="28"/>
        </w:rPr>
        <w:t xml:space="preserve"> conviction be reversed and remanded for a new trial. </w:t>
      </w:r>
    </w:p>
    <w:p w14:paraId="0DF87393" w14:textId="1067E9D3" w:rsidR="00166D53" w:rsidRDefault="00067013">
      <w:pPr>
        <w:pStyle w:val="BodyTextIndent2"/>
        <w:spacing w:line="240" w:lineRule="auto"/>
        <w:rPr>
          <w:rFonts w:ascii="Century" w:hAnsi="Century"/>
          <w:sz w:val="28"/>
          <w:szCs w:val="28"/>
        </w:rPr>
      </w:pPr>
      <w:r w:rsidRPr="003E183B">
        <w:rPr>
          <w:rFonts w:ascii="Century" w:hAnsi="Century"/>
          <w:sz w:val="28"/>
          <w:szCs w:val="28"/>
        </w:rPr>
        <w:t xml:space="preserve">Respectfully submitted, this the </w:t>
      </w:r>
      <w:r w:rsidR="003E183B" w:rsidRPr="003E183B">
        <w:rPr>
          <w:rFonts w:ascii="Century" w:hAnsi="Century"/>
          <w:sz w:val="28"/>
          <w:szCs w:val="28"/>
        </w:rPr>
        <w:t>5</w:t>
      </w:r>
      <w:r w:rsidRPr="003E183B">
        <w:rPr>
          <w:rFonts w:ascii="Century" w:hAnsi="Century"/>
          <w:sz w:val="28"/>
          <w:szCs w:val="28"/>
          <w:vertAlign w:val="superscript"/>
        </w:rPr>
        <w:t>th</w:t>
      </w:r>
      <w:r w:rsidRPr="003E183B">
        <w:rPr>
          <w:rFonts w:ascii="Century" w:hAnsi="Century"/>
          <w:sz w:val="28"/>
          <w:szCs w:val="28"/>
        </w:rPr>
        <w:t xml:space="preserve"> day of January 20</w:t>
      </w:r>
      <w:r w:rsidR="003E183B" w:rsidRPr="003E183B">
        <w:rPr>
          <w:rFonts w:ascii="Century" w:hAnsi="Century"/>
          <w:sz w:val="28"/>
          <w:szCs w:val="28"/>
        </w:rPr>
        <w:t>22</w:t>
      </w:r>
      <w:r w:rsidRPr="003E183B">
        <w:rPr>
          <w:rFonts w:ascii="Century" w:hAnsi="Century"/>
          <w:sz w:val="28"/>
          <w:szCs w:val="28"/>
        </w:rPr>
        <w:t>.</w:t>
      </w:r>
    </w:p>
    <w:p w14:paraId="0DF87394" w14:textId="77777777" w:rsidR="00166D53" w:rsidRDefault="00166D53">
      <w:pPr>
        <w:pStyle w:val="BodyTextIndent2"/>
        <w:spacing w:line="240" w:lineRule="auto"/>
        <w:rPr>
          <w:rFonts w:ascii="Century" w:hAnsi="Century"/>
          <w:sz w:val="28"/>
          <w:szCs w:val="28"/>
        </w:rPr>
      </w:pPr>
    </w:p>
    <w:p w14:paraId="0DF87395" w14:textId="77777777" w:rsidR="00166D53" w:rsidRDefault="00166D53">
      <w:pPr>
        <w:pStyle w:val="BodyTextIndent2"/>
        <w:spacing w:line="240" w:lineRule="auto"/>
        <w:rPr>
          <w:rFonts w:ascii="Century" w:hAnsi="Century"/>
          <w:sz w:val="28"/>
          <w:szCs w:val="28"/>
        </w:rPr>
      </w:pPr>
    </w:p>
    <w:p w14:paraId="0DF87396" w14:textId="77777777" w:rsidR="00166D53" w:rsidRDefault="00166D53">
      <w:pPr>
        <w:pStyle w:val="BodyTextIndent2"/>
        <w:spacing w:line="240" w:lineRule="auto"/>
        <w:rPr>
          <w:rFonts w:ascii="Century" w:hAnsi="Century"/>
          <w:sz w:val="28"/>
          <w:szCs w:val="28"/>
        </w:rPr>
      </w:pPr>
    </w:p>
    <w:p w14:paraId="0DF87397" w14:textId="77777777" w:rsidR="00166D53" w:rsidRDefault="00067013">
      <w:pPr>
        <w:ind w:left="2880" w:firstLine="540"/>
        <w:jc w:val="both"/>
        <w:rPr>
          <w:rFonts w:ascii="Century" w:hAnsi="Century"/>
          <w:sz w:val="28"/>
          <w:szCs w:val="28"/>
          <w:u w:val="single"/>
        </w:rPr>
      </w:pPr>
      <w:r>
        <w:rPr>
          <w:rFonts w:ascii="Century" w:hAnsi="Century"/>
          <w:sz w:val="28"/>
          <w:szCs w:val="28"/>
          <w:u w:val="single"/>
        </w:rPr>
        <w:t>By Electronic Submission:</w:t>
      </w:r>
    </w:p>
    <w:p w14:paraId="0DF87398" w14:textId="77777777" w:rsidR="00166D53" w:rsidRDefault="00067013">
      <w:pPr>
        <w:tabs>
          <w:tab w:val="left" w:pos="3420"/>
        </w:tabs>
        <w:ind w:firstLine="540"/>
        <w:jc w:val="both"/>
        <w:rPr>
          <w:rFonts w:ascii="Century" w:hAnsi="Century"/>
          <w:sz w:val="28"/>
          <w:szCs w:val="28"/>
        </w:rPr>
      </w:pPr>
      <w:r>
        <w:rPr>
          <w:rFonts w:ascii="Century" w:hAnsi="Century"/>
          <w:sz w:val="28"/>
          <w:szCs w:val="28"/>
        </w:rPr>
        <w:tab/>
        <w:t>Sarah Holladay</w:t>
      </w:r>
    </w:p>
    <w:p w14:paraId="0DF87399" w14:textId="77777777" w:rsidR="00166D53" w:rsidRDefault="00067013">
      <w:pPr>
        <w:tabs>
          <w:tab w:val="left" w:pos="3420"/>
        </w:tabs>
        <w:ind w:firstLine="540"/>
        <w:jc w:val="both"/>
        <w:rPr>
          <w:rFonts w:ascii="Century" w:hAnsi="Century"/>
          <w:sz w:val="28"/>
          <w:szCs w:val="28"/>
        </w:rPr>
      </w:pPr>
      <w:r>
        <w:rPr>
          <w:rFonts w:ascii="Century" w:hAnsi="Century"/>
          <w:sz w:val="28"/>
          <w:szCs w:val="28"/>
        </w:rPr>
        <w:tab/>
        <w:t>North Carolina State Bar Number 33987</w:t>
      </w:r>
    </w:p>
    <w:p w14:paraId="0DF8739A" w14:textId="77777777" w:rsidR="00166D53" w:rsidRDefault="00067013">
      <w:pPr>
        <w:tabs>
          <w:tab w:val="left" w:pos="3420"/>
        </w:tabs>
        <w:ind w:firstLine="540"/>
        <w:jc w:val="both"/>
        <w:rPr>
          <w:rFonts w:ascii="Century" w:hAnsi="Century"/>
          <w:sz w:val="28"/>
          <w:szCs w:val="28"/>
        </w:rPr>
      </w:pPr>
      <w:r>
        <w:rPr>
          <w:rFonts w:ascii="Century" w:hAnsi="Century"/>
          <w:sz w:val="28"/>
          <w:szCs w:val="28"/>
        </w:rPr>
        <w:tab/>
        <w:t>P.O. Box 52427</w:t>
      </w:r>
    </w:p>
    <w:p w14:paraId="0DF8739B" w14:textId="77777777" w:rsidR="00166D53" w:rsidRDefault="00067013">
      <w:pPr>
        <w:tabs>
          <w:tab w:val="left" w:pos="3420"/>
        </w:tabs>
        <w:ind w:firstLine="540"/>
        <w:jc w:val="both"/>
        <w:rPr>
          <w:rFonts w:ascii="Century" w:hAnsi="Century"/>
          <w:sz w:val="28"/>
          <w:szCs w:val="28"/>
        </w:rPr>
      </w:pPr>
      <w:r>
        <w:rPr>
          <w:rFonts w:ascii="Century" w:hAnsi="Century"/>
          <w:sz w:val="28"/>
          <w:szCs w:val="28"/>
        </w:rPr>
        <w:tab/>
        <w:t>Durham, NC 27717</w:t>
      </w:r>
    </w:p>
    <w:p w14:paraId="0DF8739C" w14:textId="77777777" w:rsidR="00166D53" w:rsidRDefault="00067013">
      <w:pPr>
        <w:tabs>
          <w:tab w:val="left" w:pos="3420"/>
        </w:tabs>
        <w:ind w:firstLine="540"/>
        <w:jc w:val="both"/>
        <w:rPr>
          <w:rFonts w:ascii="Century" w:hAnsi="Century"/>
          <w:sz w:val="28"/>
          <w:szCs w:val="28"/>
        </w:rPr>
      </w:pPr>
      <w:r>
        <w:rPr>
          <w:rFonts w:ascii="Century" w:hAnsi="Century"/>
          <w:sz w:val="28"/>
          <w:szCs w:val="28"/>
        </w:rPr>
        <w:tab/>
        <w:t>(919) 695-3127</w:t>
      </w:r>
    </w:p>
    <w:p w14:paraId="0DF8739D" w14:textId="77777777" w:rsidR="00166D53" w:rsidRDefault="00067013">
      <w:pPr>
        <w:tabs>
          <w:tab w:val="left" w:pos="3420"/>
        </w:tabs>
        <w:ind w:firstLine="540"/>
        <w:jc w:val="both"/>
      </w:pPr>
      <w:r>
        <w:rPr>
          <w:rFonts w:ascii="Century" w:hAnsi="Century"/>
          <w:sz w:val="28"/>
          <w:szCs w:val="28"/>
        </w:rPr>
        <w:tab/>
      </w:r>
      <w:hyperlink r:id="rId9">
        <w:r>
          <w:rPr>
            <w:rStyle w:val="InternetLink"/>
            <w:rFonts w:ascii="Century" w:hAnsi="Century"/>
            <w:sz w:val="28"/>
            <w:szCs w:val="28"/>
          </w:rPr>
          <w:t>sarah@holladaylawoffice.com</w:t>
        </w:r>
      </w:hyperlink>
      <w:r>
        <w:rPr>
          <w:rFonts w:ascii="Century" w:hAnsi="Century"/>
          <w:sz w:val="28"/>
          <w:szCs w:val="28"/>
        </w:rPr>
        <w:t xml:space="preserve"> </w:t>
      </w:r>
    </w:p>
    <w:p w14:paraId="0DF8739E" w14:textId="77777777" w:rsidR="00166D53" w:rsidRDefault="00067013">
      <w:pPr>
        <w:tabs>
          <w:tab w:val="left" w:pos="3420"/>
        </w:tabs>
        <w:ind w:firstLine="2880"/>
        <w:jc w:val="both"/>
        <w:rPr>
          <w:rFonts w:ascii="Century" w:hAnsi="Century"/>
          <w:color w:val="000000"/>
          <w:sz w:val="28"/>
          <w:szCs w:val="28"/>
        </w:rPr>
      </w:pPr>
      <w:r>
        <w:rPr>
          <w:rFonts w:ascii="Century" w:hAnsi="Century"/>
          <w:sz w:val="28"/>
          <w:szCs w:val="28"/>
        </w:rPr>
        <w:t>ATTORNEY FOR DEFENDANT-APPELLANT</w:t>
      </w:r>
    </w:p>
    <w:p w14:paraId="0DF8739F" w14:textId="77777777" w:rsidR="00166D53" w:rsidRDefault="00067013">
      <w:pPr>
        <w:rPr>
          <w:rFonts w:ascii="Century" w:hAnsi="Century"/>
          <w:b/>
          <w:bCs/>
          <w:sz w:val="28"/>
          <w:szCs w:val="28"/>
          <w:u w:val="single"/>
        </w:rPr>
      </w:pPr>
      <w:r>
        <w:br w:type="page"/>
      </w:r>
    </w:p>
    <w:p w14:paraId="0DF873A0" w14:textId="77777777" w:rsidR="00166D53" w:rsidRDefault="00067013">
      <w:pPr>
        <w:pStyle w:val="BodyTextIndent"/>
        <w:ind w:firstLine="0"/>
        <w:jc w:val="center"/>
        <w:rPr>
          <w:rFonts w:ascii="Century" w:hAnsi="Century"/>
          <w:b/>
          <w:bCs/>
          <w:sz w:val="28"/>
          <w:szCs w:val="28"/>
          <w:u w:val="single"/>
        </w:rPr>
      </w:pPr>
      <w:r>
        <w:rPr>
          <w:rFonts w:ascii="Century" w:hAnsi="Century"/>
          <w:b/>
          <w:bCs/>
          <w:sz w:val="28"/>
          <w:szCs w:val="28"/>
          <w:u w:val="single"/>
        </w:rPr>
        <w:lastRenderedPageBreak/>
        <w:t>CERTIFICATE OF COMPLIANCE WITH N.C. R. APP. P. 28(J)(2)</w:t>
      </w:r>
    </w:p>
    <w:p w14:paraId="0DF873A1" w14:textId="77777777" w:rsidR="00166D53" w:rsidRPr="003E183B" w:rsidRDefault="00067013">
      <w:pPr>
        <w:pStyle w:val="BodyTextIndent"/>
        <w:spacing w:line="240" w:lineRule="auto"/>
        <w:ind w:firstLine="0"/>
        <w:jc w:val="both"/>
        <w:rPr>
          <w:rFonts w:ascii="Century" w:hAnsi="Century"/>
          <w:sz w:val="28"/>
          <w:szCs w:val="28"/>
        </w:rPr>
      </w:pPr>
      <w:r>
        <w:rPr>
          <w:rFonts w:ascii="Century" w:hAnsi="Century"/>
          <w:sz w:val="28"/>
          <w:szCs w:val="28"/>
        </w:rPr>
        <w:tab/>
        <w:t xml:space="preserve">I hereby certify that Defendant-Appellant’s Brief </w:t>
      </w:r>
      <w:proofErr w:type="gramStart"/>
      <w:r>
        <w:rPr>
          <w:rFonts w:ascii="Century" w:hAnsi="Century"/>
          <w:sz w:val="28"/>
          <w:szCs w:val="28"/>
        </w:rPr>
        <w:t>is in compliance with</w:t>
      </w:r>
      <w:proofErr w:type="gramEnd"/>
      <w:r>
        <w:rPr>
          <w:rFonts w:ascii="Century" w:hAnsi="Century"/>
          <w:sz w:val="28"/>
          <w:szCs w:val="28"/>
        </w:rPr>
        <w:t xml:space="preserve"> Rule 28(j)(2) of the North Carolina Rules of Appellate Procedure as it is printed in fourteen-point Century font and the body of the brief, including footnotes and citations, contains no more than 8750 words as indicated by the </w:t>
      </w:r>
      <w:r w:rsidRPr="003E183B">
        <w:rPr>
          <w:rFonts w:ascii="Century" w:hAnsi="Century"/>
          <w:sz w:val="28"/>
          <w:szCs w:val="28"/>
        </w:rPr>
        <w:t>word-processing program used to prepare the brief.</w:t>
      </w:r>
    </w:p>
    <w:p w14:paraId="0DF873A2" w14:textId="77777777" w:rsidR="00166D53" w:rsidRPr="003E183B" w:rsidRDefault="00166D53">
      <w:pPr>
        <w:pStyle w:val="BodyTextIndent"/>
        <w:ind w:firstLine="0"/>
        <w:jc w:val="both"/>
        <w:rPr>
          <w:rFonts w:ascii="Century" w:hAnsi="Century"/>
          <w:sz w:val="28"/>
          <w:szCs w:val="28"/>
        </w:rPr>
      </w:pPr>
    </w:p>
    <w:p w14:paraId="0DF873A5" w14:textId="7E069791" w:rsidR="00166D53" w:rsidRPr="009433CB" w:rsidRDefault="00067013" w:rsidP="009433CB">
      <w:pPr>
        <w:pStyle w:val="BodyTextIndent2"/>
        <w:spacing w:line="240" w:lineRule="auto"/>
        <w:rPr>
          <w:rFonts w:ascii="Century" w:hAnsi="Century"/>
          <w:sz w:val="28"/>
          <w:szCs w:val="28"/>
        </w:rPr>
      </w:pPr>
      <w:r w:rsidRPr="003E183B">
        <w:rPr>
          <w:rFonts w:ascii="Century" w:hAnsi="Century"/>
          <w:sz w:val="28"/>
          <w:szCs w:val="28"/>
        </w:rPr>
        <w:t xml:space="preserve">This the </w:t>
      </w:r>
      <w:r w:rsidR="003E183B" w:rsidRPr="003E183B">
        <w:rPr>
          <w:rFonts w:ascii="Century" w:hAnsi="Century"/>
          <w:sz w:val="28"/>
          <w:szCs w:val="28"/>
        </w:rPr>
        <w:t>5</w:t>
      </w:r>
      <w:r w:rsidRPr="003E183B">
        <w:rPr>
          <w:rFonts w:ascii="Century" w:hAnsi="Century"/>
          <w:sz w:val="28"/>
          <w:szCs w:val="28"/>
          <w:vertAlign w:val="superscript"/>
        </w:rPr>
        <w:t>th</w:t>
      </w:r>
      <w:r w:rsidRPr="003E183B">
        <w:rPr>
          <w:rFonts w:ascii="Century" w:hAnsi="Century"/>
          <w:sz w:val="28"/>
          <w:szCs w:val="28"/>
        </w:rPr>
        <w:t xml:space="preserve"> day of January 20</w:t>
      </w:r>
      <w:r w:rsidR="003E183B" w:rsidRPr="003E183B">
        <w:rPr>
          <w:rFonts w:ascii="Century" w:hAnsi="Century"/>
          <w:sz w:val="28"/>
          <w:szCs w:val="28"/>
        </w:rPr>
        <w:t>22</w:t>
      </w:r>
      <w:r w:rsidRPr="003E183B">
        <w:rPr>
          <w:rFonts w:ascii="Century" w:hAnsi="Century"/>
          <w:sz w:val="28"/>
          <w:szCs w:val="28"/>
        </w:rPr>
        <w:t>.</w:t>
      </w:r>
    </w:p>
    <w:p w14:paraId="0DF873A6" w14:textId="77777777" w:rsidR="00166D53" w:rsidRPr="003E183B" w:rsidRDefault="00067013">
      <w:pPr>
        <w:ind w:left="3600"/>
        <w:jc w:val="both"/>
        <w:rPr>
          <w:rFonts w:ascii="Century" w:hAnsi="Century"/>
          <w:sz w:val="28"/>
          <w:szCs w:val="28"/>
          <w:u w:val="single"/>
        </w:rPr>
      </w:pPr>
      <w:r w:rsidRPr="003E183B">
        <w:rPr>
          <w:rFonts w:ascii="Century" w:hAnsi="Century"/>
          <w:sz w:val="28"/>
          <w:szCs w:val="28"/>
          <w:u w:val="single"/>
        </w:rPr>
        <w:t>By Electronic Submission:</w:t>
      </w:r>
    </w:p>
    <w:p w14:paraId="0DF873A7" w14:textId="77777777" w:rsidR="00166D53" w:rsidRPr="003E183B" w:rsidRDefault="00067013">
      <w:pPr>
        <w:ind w:firstLine="720"/>
        <w:jc w:val="both"/>
        <w:rPr>
          <w:rFonts w:ascii="Century" w:hAnsi="Century"/>
          <w:sz w:val="28"/>
          <w:szCs w:val="28"/>
        </w:rPr>
      </w:pPr>
      <w:r w:rsidRPr="003E183B">
        <w:rPr>
          <w:rFonts w:ascii="Century" w:hAnsi="Century"/>
          <w:sz w:val="28"/>
          <w:szCs w:val="28"/>
        </w:rPr>
        <w:tab/>
      </w:r>
      <w:r w:rsidRPr="003E183B">
        <w:rPr>
          <w:rFonts w:ascii="Century" w:hAnsi="Century"/>
          <w:sz w:val="28"/>
          <w:szCs w:val="28"/>
        </w:rPr>
        <w:tab/>
      </w:r>
      <w:r w:rsidRPr="003E183B">
        <w:rPr>
          <w:rFonts w:ascii="Century" w:hAnsi="Century"/>
          <w:sz w:val="28"/>
          <w:szCs w:val="28"/>
        </w:rPr>
        <w:tab/>
      </w:r>
      <w:r w:rsidRPr="003E183B">
        <w:rPr>
          <w:rFonts w:ascii="Century" w:hAnsi="Century"/>
          <w:sz w:val="28"/>
          <w:szCs w:val="28"/>
        </w:rPr>
        <w:tab/>
        <w:t>Sarah Holladay</w:t>
      </w:r>
    </w:p>
    <w:p w14:paraId="0DF873AF" w14:textId="7D56F891" w:rsidR="00166D53" w:rsidRPr="009433CB" w:rsidRDefault="00067013" w:rsidP="009433CB">
      <w:pPr>
        <w:ind w:left="2880" w:firstLine="720"/>
        <w:jc w:val="both"/>
        <w:rPr>
          <w:rFonts w:ascii="Century" w:hAnsi="Century"/>
          <w:sz w:val="28"/>
          <w:szCs w:val="28"/>
        </w:rPr>
      </w:pPr>
      <w:r w:rsidRPr="003E183B">
        <w:rPr>
          <w:rFonts w:ascii="Century" w:hAnsi="Century"/>
          <w:sz w:val="28"/>
          <w:szCs w:val="28"/>
        </w:rPr>
        <w:t>North Carolina State Bar Number 33987</w:t>
      </w:r>
    </w:p>
    <w:p w14:paraId="0DF873B1" w14:textId="5DF19162" w:rsidR="00166D53" w:rsidRDefault="00166D53">
      <w:pPr>
        <w:rPr>
          <w:rFonts w:ascii="Century" w:hAnsi="Century"/>
          <w:b/>
          <w:bCs/>
          <w:sz w:val="28"/>
          <w:szCs w:val="28"/>
          <w:u w:val="single"/>
        </w:rPr>
      </w:pPr>
    </w:p>
    <w:p w14:paraId="0DF873B2" w14:textId="25D38EB9" w:rsidR="00166D53" w:rsidRDefault="00067013">
      <w:pPr>
        <w:pStyle w:val="BodyTextIndent"/>
        <w:ind w:firstLine="0"/>
        <w:jc w:val="center"/>
        <w:rPr>
          <w:rFonts w:ascii="Century" w:hAnsi="Century"/>
          <w:b/>
          <w:bCs/>
          <w:sz w:val="28"/>
          <w:szCs w:val="28"/>
          <w:u w:val="single"/>
        </w:rPr>
      </w:pPr>
      <w:r>
        <w:rPr>
          <w:rFonts w:ascii="Century" w:hAnsi="Century"/>
          <w:b/>
          <w:bCs/>
          <w:sz w:val="28"/>
          <w:szCs w:val="28"/>
          <w:u w:val="single"/>
        </w:rPr>
        <w:t>CERTIFICATE OF FILING AND SERVICE</w:t>
      </w:r>
    </w:p>
    <w:p w14:paraId="0DF873B3" w14:textId="77777777" w:rsidR="00166D53" w:rsidRDefault="00067013">
      <w:pPr>
        <w:pStyle w:val="BodyTextIndent"/>
        <w:spacing w:line="240" w:lineRule="auto"/>
        <w:ind w:firstLine="0"/>
        <w:jc w:val="both"/>
        <w:rPr>
          <w:rFonts w:ascii="Century" w:hAnsi="Century"/>
          <w:sz w:val="28"/>
          <w:szCs w:val="28"/>
        </w:rPr>
      </w:pPr>
      <w:r>
        <w:rPr>
          <w:rFonts w:ascii="Century" w:hAnsi="Century"/>
          <w:sz w:val="28"/>
          <w:szCs w:val="28"/>
        </w:rPr>
        <w:tab/>
        <w:t>I hereby certify that the original Defendant-Appellant’s Brief has been filed, pursuant to Rule 26 of the North Carolina Rules of Appellate Procedure, by electronic means with the Clerk of the North Carolina Court of Appeals.</w:t>
      </w:r>
    </w:p>
    <w:p w14:paraId="0DF873B4" w14:textId="77777777" w:rsidR="00166D53" w:rsidRDefault="00166D53">
      <w:pPr>
        <w:pStyle w:val="BodyTextIndent"/>
        <w:spacing w:line="240" w:lineRule="auto"/>
        <w:ind w:firstLine="0"/>
        <w:jc w:val="both"/>
        <w:rPr>
          <w:rFonts w:ascii="Century" w:hAnsi="Century"/>
          <w:sz w:val="28"/>
          <w:szCs w:val="28"/>
        </w:rPr>
      </w:pPr>
    </w:p>
    <w:p w14:paraId="0DF873B5" w14:textId="68C389CC" w:rsidR="00166D53" w:rsidRPr="009B5456" w:rsidRDefault="00067013">
      <w:pPr>
        <w:ind w:firstLine="720"/>
        <w:jc w:val="both"/>
      </w:pPr>
      <w:r>
        <w:rPr>
          <w:rFonts w:ascii="Century" w:hAnsi="Century"/>
          <w:sz w:val="28"/>
          <w:szCs w:val="28"/>
        </w:rPr>
        <w:t xml:space="preserve">I further certify that a copy of </w:t>
      </w:r>
      <w:r w:rsidRPr="009B5456">
        <w:rPr>
          <w:rFonts w:ascii="Century" w:hAnsi="Century"/>
          <w:sz w:val="28"/>
          <w:szCs w:val="28"/>
        </w:rPr>
        <w:t xml:space="preserve">the above and foregoing Defendant-Appellant’s Brief has been duly served upon </w:t>
      </w:r>
      <w:r w:rsidR="008E3152" w:rsidRPr="009B5456">
        <w:rPr>
          <w:rFonts w:ascii="Century" w:hAnsi="Century"/>
          <w:sz w:val="28"/>
          <w:szCs w:val="28"/>
        </w:rPr>
        <w:t>Daniel O’Brien</w:t>
      </w:r>
      <w:r w:rsidRPr="009B5456">
        <w:rPr>
          <w:rFonts w:ascii="Century" w:hAnsi="Century"/>
          <w:sz w:val="28"/>
          <w:szCs w:val="28"/>
        </w:rPr>
        <w:t xml:space="preserve">, </w:t>
      </w:r>
      <w:r w:rsidR="009B5456" w:rsidRPr="009B5456">
        <w:rPr>
          <w:rFonts w:ascii="Century" w:hAnsi="Century"/>
          <w:sz w:val="28"/>
          <w:szCs w:val="28"/>
        </w:rPr>
        <w:t xml:space="preserve">Special Deputy </w:t>
      </w:r>
      <w:r w:rsidRPr="009B5456">
        <w:rPr>
          <w:rFonts w:ascii="Century" w:hAnsi="Century"/>
          <w:sz w:val="28"/>
          <w:szCs w:val="28"/>
        </w:rPr>
        <w:t xml:space="preserve">Attorney General, North Carolina Department of Justice, by electronic means by emailing it to </w:t>
      </w:r>
      <w:hyperlink r:id="rId10" w:history="1">
        <w:r w:rsidR="009B5456" w:rsidRPr="009B5456">
          <w:rPr>
            <w:rStyle w:val="Hyperlink"/>
            <w:rFonts w:ascii="Century" w:hAnsi="Century"/>
            <w:sz w:val="28"/>
            <w:szCs w:val="28"/>
          </w:rPr>
          <w:t>dobrien@ncdoj.gov</w:t>
        </w:r>
      </w:hyperlink>
      <w:r w:rsidRPr="009B5456">
        <w:rPr>
          <w:rFonts w:ascii="Century" w:hAnsi="Century"/>
          <w:sz w:val="28"/>
          <w:szCs w:val="28"/>
        </w:rPr>
        <w:t xml:space="preserve">. </w:t>
      </w:r>
    </w:p>
    <w:p w14:paraId="0DF873B6" w14:textId="77777777" w:rsidR="00166D53" w:rsidRPr="009B5456" w:rsidRDefault="00166D53">
      <w:pPr>
        <w:pStyle w:val="BodyTextIndent"/>
        <w:spacing w:line="240" w:lineRule="auto"/>
        <w:ind w:firstLine="2160"/>
        <w:jc w:val="both"/>
        <w:rPr>
          <w:rFonts w:ascii="Century" w:hAnsi="Century"/>
          <w:sz w:val="28"/>
          <w:szCs w:val="28"/>
        </w:rPr>
      </w:pPr>
    </w:p>
    <w:p w14:paraId="0DF873B7" w14:textId="77777777" w:rsidR="00166D53" w:rsidRPr="009B5456" w:rsidRDefault="00166D53">
      <w:pPr>
        <w:jc w:val="both"/>
        <w:rPr>
          <w:rFonts w:ascii="Century" w:hAnsi="Century"/>
          <w:sz w:val="28"/>
          <w:szCs w:val="28"/>
        </w:rPr>
      </w:pPr>
    </w:p>
    <w:p w14:paraId="0DF873B8" w14:textId="64643AF4" w:rsidR="00166D53" w:rsidRDefault="00067013">
      <w:pPr>
        <w:pStyle w:val="BodyTextIndent2"/>
        <w:spacing w:line="240" w:lineRule="auto"/>
        <w:rPr>
          <w:rFonts w:ascii="Century" w:hAnsi="Century"/>
          <w:sz w:val="28"/>
          <w:szCs w:val="28"/>
        </w:rPr>
      </w:pPr>
      <w:r w:rsidRPr="009B5456">
        <w:rPr>
          <w:rFonts w:ascii="Century" w:hAnsi="Century"/>
          <w:sz w:val="28"/>
          <w:szCs w:val="28"/>
        </w:rPr>
        <w:t xml:space="preserve">This the </w:t>
      </w:r>
      <w:r w:rsidR="003E183B" w:rsidRPr="009B5456">
        <w:rPr>
          <w:rFonts w:ascii="Century" w:hAnsi="Century"/>
          <w:sz w:val="28"/>
          <w:szCs w:val="28"/>
        </w:rPr>
        <w:t>5</w:t>
      </w:r>
      <w:r w:rsidRPr="009B5456">
        <w:rPr>
          <w:rFonts w:ascii="Century" w:hAnsi="Century"/>
          <w:sz w:val="28"/>
          <w:szCs w:val="28"/>
          <w:vertAlign w:val="superscript"/>
        </w:rPr>
        <w:t>th</w:t>
      </w:r>
      <w:r w:rsidRPr="009B5456">
        <w:rPr>
          <w:rFonts w:ascii="Century" w:hAnsi="Century"/>
          <w:sz w:val="28"/>
          <w:szCs w:val="28"/>
        </w:rPr>
        <w:t xml:space="preserve"> day of January 20</w:t>
      </w:r>
      <w:r w:rsidR="003E183B" w:rsidRPr="009B5456">
        <w:rPr>
          <w:rFonts w:ascii="Century" w:hAnsi="Century"/>
          <w:sz w:val="28"/>
          <w:szCs w:val="28"/>
        </w:rPr>
        <w:t>22</w:t>
      </w:r>
      <w:r w:rsidRPr="009B5456">
        <w:rPr>
          <w:rFonts w:ascii="Century" w:hAnsi="Century"/>
          <w:sz w:val="28"/>
          <w:szCs w:val="28"/>
        </w:rPr>
        <w:t>.</w:t>
      </w:r>
    </w:p>
    <w:p w14:paraId="0DF873B9" w14:textId="77777777" w:rsidR="00166D53" w:rsidRDefault="00166D53">
      <w:pPr>
        <w:pStyle w:val="BodyTextIndent"/>
        <w:ind w:firstLine="0"/>
        <w:rPr>
          <w:rFonts w:ascii="Century" w:hAnsi="Century"/>
          <w:b/>
          <w:bCs/>
          <w:sz w:val="28"/>
          <w:szCs w:val="28"/>
          <w:u w:val="single"/>
        </w:rPr>
      </w:pPr>
    </w:p>
    <w:p w14:paraId="0DF873BA" w14:textId="77777777" w:rsidR="00166D53" w:rsidRDefault="00166D53">
      <w:pPr>
        <w:ind w:left="3600"/>
        <w:jc w:val="both"/>
        <w:rPr>
          <w:rFonts w:ascii="Century" w:hAnsi="Century"/>
          <w:sz w:val="28"/>
          <w:szCs w:val="28"/>
          <w:u w:val="single"/>
        </w:rPr>
      </w:pPr>
    </w:p>
    <w:p w14:paraId="0DF873BB" w14:textId="77777777" w:rsidR="00166D53" w:rsidRDefault="00067013">
      <w:pPr>
        <w:ind w:left="3600"/>
        <w:jc w:val="both"/>
        <w:rPr>
          <w:rFonts w:ascii="Century" w:hAnsi="Century"/>
          <w:sz w:val="28"/>
          <w:szCs w:val="28"/>
          <w:u w:val="single"/>
        </w:rPr>
      </w:pPr>
      <w:r>
        <w:rPr>
          <w:rFonts w:ascii="Century" w:hAnsi="Century"/>
          <w:sz w:val="28"/>
          <w:szCs w:val="28"/>
          <w:u w:val="single"/>
        </w:rPr>
        <w:t>By Electronic Submission:</w:t>
      </w:r>
    </w:p>
    <w:p w14:paraId="0DF873BC" w14:textId="77777777" w:rsidR="00166D53" w:rsidRDefault="00067013">
      <w:pPr>
        <w:ind w:firstLine="720"/>
        <w:jc w:val="both"/>
        <w:rPr>
          <w:rFonts w:ascii="Century" w:hAnsi="Century"/>
          <w:sz w:val="28"/>
          <w:szCs w:val="28"/>
        </w:rPr>
      </w:pP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t>Sarah Holladay</w:t>
      </w:r>
    </w:p>
    <w:p w14:paraId="0DF873BD" w14:textId="77777777" w:rsidR="00166D53" w:rsidRDefault="00067013">
      <w:pPr>
        <w:ind w:left="2880" w:firstLine="720"/>
        <w:jc w:val="both"/>
        <w:rPr>
          <w:rFonts w:ascii="Century" w:hAnsi="Century"/>
          <w:sz w:val="28"/>
          <w:szCs w:val="28"/>
        </w:rPr>
      </w:pPr>
      <w:r>
        <w:rPr>
          <w:rFonts w:ascii="Century" w:hAnsi="Century"/>
          <w:sz w:val="28"/>
          <w:szCs w:val="28"/>
        </w:rPr>
        <w:t>North Carolina State Bar Number 33987</w:t>
      </w:r>
    </w:p>
    <w:p w14:paraId="0DF873BE" w14:textId="77777777" w:rsidR="00166D53" w:rsidRDefault="00166D53">
      <w:pPr>
        <w:spacing w:line="480" w:lineRule="auto"/>
      </w:pPr>
    </w:p>
    <w:sectPr w:rsidR="00166D53">
      <w:pgSz w:w="12240" w:h="15840"/>
      <w:pgMar w:top="1440" w:right="1440" w:bottom="1440" w:left="1440" w:header="72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43BE" w14:textId="77777777" w:rsidR="008934CF" w:rsidRDefault="008934CF">
      <w:pPr>
        <w:spacing w:line="240" w:lineRule="auto"/>
      </w:pPr>
      <w:r>
        <w:separator/>
      </w:r>
    </w:p>
  </w:endnote>
  <w:endnote w:type="continuationSeparator" w:id="0">
    <w:p w14:paraId="6F63C5E5" w14:textId="77777777" w:rsidR="008934CF" w:rsidRDefault="00893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BBAB" w14:textId="77777777" w:rsidR="008934CF" w:rsidRDefault="008934CF">
      <w:pPr>
        <w:spacing w:line="240" w:lineRule="auto"/>
      </w:pPr>
      <w:r>
        <w:separator/>
      </w:r>
    </w:p>
  </w:footnote>
  <w:footnote w:type="continuationSeparator" w:id="0">
    <w:p w14:paraId="2BB35A04" w14:textId="77777777" w:rsidR="008934CF" w:rsidRDefault="008934CF">
      <w:pPr>
        <w:spacing w:line="240" w:lineRule="auto"/>
      </w:pPr>
      <w:r>
        <w:continuationSeparator/>
      </w:r>
    </w:p>
  </w:footnote>
  <w:footnote w:id="1">
    <w:p w14:paraId="0F986FFC" w14:textId="71A685DB" w:rsidR="00711040" w:rsidRPr="00555249" w:rsidRDefault="00711040" w:rsidP="00B85D24">
      <w:pPr>
        <w:pStyle w:val="FootnoteText"/>
        <w:jc w:val="both"/>
        <w:rPr>
          <w:rFonts w:ascii="Century" w:hAnsi="Century"/>
          <w:sz w:val="28"/>
          <w:szCs w:val="28"/>
        </w:rPr>
      </w:pPr>
      <w:r w:rsidRPr="00555249">
        <w:rPr>
          <w:rStyle w:val="FootnoteReference"/>
          <w:rFonts w:ascii="Century" w:hAnsi="Century"/>
          <w:sz w:val="28"/>
          <w:szCs w:val="28"/>
        </w:rPr>
        <w:footnoteRef/>
      </w:r>
      <w:r w:rsidRPr="00555249">
        <w:rPr>
          <w:rFonts w:ascii="Century" w:hAnsi="Century"/>
          <w:sz w:val="28"/>
          <w:szCs w:val="28"/>
        </w:rPr>
        <w:t xml:space="preserve"> Mr. Perez is </w:t>
      </w:r>
      <w:r w:rsidR="009E2C36" w:rsidRPr="00555249">
        <w:rPr>
          <w:rFonts w:ascii="Century" w:hAnsi="Century"/>
          <w:sz w:val="28"/>
          <w:szCs w:val="28"/>
        </w:rPr>
        <w:t>roughly 5’6”</w:t>
      </w:r>
      <w:r w:rsidRPr="00555249">
        <w:rPr>
          <w:rFonts w:ascii="Century" w:hAnsi="Century"/>
          <w:sz w:val="28"/>
          <w:szCs w:val="28"/>
        </w:rPr>
        <w:t>. (T p 331)</w:t>
      </w:r>
    </w:p>
  </w:footnote>
  <w:footnote w:id="2">
    <w:p w14:paraId="21B4170B" w14:textId="7A9A0306" w:rsidR="00D15A3F" w:rsidRDefault="00D15A3F" w:rsidP="00B85D24">
      <w:pPr>
        <w:pStyle w:val="FootnoteText"/>
        <w:jc w:val="both"/>
      </w:pPr>
      <w:r w:rsidRPr="00555249">
        <w:rPr>
          <w:rStyle w:val="FootnoteReference"/>
          <w:rFonts w:ascii="Century" w:hAnsi="Century"/>
          <w:sz w:val="28"/>
          <w:szCs w:val="28"/>
        </w:rPr>
        <w:footnoteRef/>
      </w:r>
      <w:r w:rsidRPr="00555249">
        <w:rPr>
          <w:rFonts w:ascii="Century" w:hAnsi="Century"/>
          <w:sz w:val="28"/>
          <w:szCs w:val="28"/>
        </w:rPr>
        <w:t xml:space="preserve"> When Detective Steve Clinard first reviewed the surveillance video, he also believed Mr. Robinson had a weapon in his hand. </w:t>
      </w:r>
      <w:r w:rsidR="00CD66AD">
        <w:rPr>
          <w:rFonts w:ascii="Century" w:hAnsi="Century"/>
          <w:sz w:val="28"/>
          <w:szCs w:val="28"/>
        </w:rPr>
        <w:t xml:space="preserve">He changed his opinion a week before trial </w:t>
      </w:r>
      <w:r w:rsidR="00B85D24">
        <w:rPr>
          <w:rFonts w:ascii="Century" w:hAnsi="Century"/>
          <w:sz w:val="28"/>
          <w:szCs w:val="28"/>
        </w:rPr>
        <w:t xml:space="preserve">during a </w:t>
      </w:r>
      <w:r w:rsidR="00CD66AD">
        <w:rPr>
          <w:rFonts w:ascii="Century" w:hAnsi="Century"/>
          <w:sz w:val="28"/>
          <w:szCs w:val="28"/>
        </w:rPr>
        <w:t xml:space="preserve">meeting with the prosecutor. </w:t>
      </w:r>
      <w:r w:rsidRPr="00555249">
        <w:rPr>
          <w:rFonts w:ascii="Century" w:hAnsi="Century"/>
          <w:sz w:val="28"/>
          <w:szCs w:val="28"/>
        </w:rPr>
        <w:t>(T p</w:t>
      </w:r>
      <w:r w:rsidR="00CD66AD">
        <w:rPr>
          <w:rFonts w:ascii="Century" w:hAnsi="Century"/>
          <w:sz w:val="28"/>
          <w:szCs w:val="28"/>
        </w:rPr>
        <w:t>p</w:t>
      </w:r>
      <w:r w:rsidRPr="00555249">
        <w:rPr>
          <w:rFonts w:ascii="Century" w:hAnsi="Century"/>
          <w:sz w:val="28"/>
          <w:szCs w:val="28"/>
        </w:rPr>
        <w:t xml:space="preserve"> </w:t>
      </w:r>
      <w:r w:rsidR="00555249" w:rsidRPr="00555249">
        <w:rPr>
          <w:rFonts w:ascii="Century" w:hAnsi="Century"/>
          <w:sz w:val="28"/>
          <w:szCs w:val="28"/>
        </w:rPr>
        <w:t>152-53</w:t>
      </w:r>
      <w:r w:rsidR="00B85D24">
        <w:rPr>
          <w:rFonts w:ascii="Century" w:hAnsi="Century"/>
          <w:sz w:val="28"/>
          <w:szCs w:val="28"/>
        </w:rPr>
        <w:t>, 223-26</w:t>
      </w:r>
      <w:r w:rsidR="00555249" w:rsidRPr="00555249">
        <w:rPr>
          <w:rFonts w:ascii="Century" w:hAnsi="Century"/>
          <w:sz w:val="28"/>
          <w:szCs w:val="28"/>
        </w:rPr>
        <w:t>)</w:t>
      </w:r>
    </w:p>
  </w:footnote>
  <w:footnote w:id="3">
    <w:p w14:paraId="6B2D412C" w14:textId="430A2B2B" w:rsidR="00E229BF" w:rsidRDefault="00E229BF">
      <w:pPr>
        <w:pStyle w:val="FootnoteText"/>
      </w:pPr>
      <w:r>
        <w:rPr>
          <w:rStyle w:val="FootnoteReference"/>
        </w:rPr>
        <w:footnoteRef/>
      </w:r>
      <w:r>
        <w:t xml:space="preserve"> </w:t>
      </w:r>
      <w:r>
        <w:rPr>
          <w:rFonts w:ascii="Century" w:hAnsi="Century"/>
          <w:sz w:val="28"/>
          <w:szCs w:val="28"/>
        </w:rPr>
        <w:t>N.C.P.I. Crim. 206.17A contains a similar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73BF" w14:textId="77777777" w:rsidR="00166D53" w:rsidRDefault="00067013">
    <w:pPr>
      <w:pStyle w:val="Header"/>
    </w:pPr>
    <w:r>
      <w:rPr>
        <w:noProof/>
      </w:rPr>
      <mc:AlternateContent>
        <mc:Choice Requires="wps">
          <w:drawing>
            <wp:anchor distT="0" distB="0" distL="0" distR="0" simplePos="0" relativeHeight="8" behindDoc="0" locked="0" layoutInCell="1" allowOverlap="1" wp14:anchorId="0DF873C1" wp14:editId="5F2347BE">
              <wp:simplePos x="0" y="0"/>
              <wp:positionH relativeFrom="margin">
                <wp:posOffset>2895600</wp:posOffset>
              </wp:positionH>
              <wp:positionV relativeFrom="paragraph">
                <wp:posOffset>27940</wp:posOffset>
              </wp:positionV>
              <wp:extent cx="257175" cy="276225"/>
              <wp:effectExtent l="0" t="0" r="0" b="0"/>
              <wp:wrapSquare wrapText="largest"/>
              <wp:docPr id="1" name="Frame2"/>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rgbClr val="FFFFFF">
                          <a:alpha val="0"/>
                        </a:srgbClr>
                      </a:solidFill>
                    </wps:spPr>
                    <wps:txbx>
                      <w:txbxContent>
                        <w:p w14:paraId="0DF873C5" w14:textId="77777777" w:rsidR="00166D53" w:rsidRDefault="00067013">
                          <w:pPr>
                            <w:pStyle w:val="Header"/>
                          </w:pPr>
                          <w:r>
                            <w:rPr>
                              <w:rStyle w:val="PageNumber"/>
                              <w:sz w:val="28"/>
                              <w:szCs w:val="28"/>
                            </w:rPr>
                            <w:fldChar w:fldCharType="begin"/>
                          </w:r>
                          <w:r>
                            <w:rPr>
                              <w:rStyle w:val="PageNumber"/>
                              <w:sz w:val="28"/>
                              <w:szCs w:val="28"/>
                            </w:rPr>
                            <w:instrText>PAGE</w:instrText>
                          </w:r>
                          <w:r>
                            <w:rPr>
                              <w:rStyle w:val="PageNumber"/>
                              <w:sz w:val="28"/>
                              <w:szCs w:val="28"/>
                            </w:rPr>
                            <w:fldChar w:fldCharType="separate"/>
                          </w:r>
                          <w:r>
                            <w:rPr>
                              <w:rStyle w:val="PageNumber"/>
                              <w:sz w:val="28"/>
                              <w:szCs w:val="28"/>
                            </w:rPr>
                            <w:t>iii</w:t>
                          </w:r>
                          <w:r>
                            <w:rPr>
                              <w:rStyle w:val="PageNumber"/>
                              <w:sz w:val="28"/>
                              <w:szCs w:val="28"/>
                            </w:rPr>
                            <w:fldChar w:fldCharType="end"/>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0DF873C1" id="_x0000_t202" coordsize="21600,21600" o:spt="202" path="m,l,21600r21600,l21600,xe">
              <v:stroke joinstyle="miter"/>
              <v:path gradientshapeok="t" o:connecttype="rect"/>
            </v:shapetype>
            <v:shape id="Frame2" o:spid="_x0000_s1026" type="#_x0000_t202" style="position:absolute;margin-left:228pt;margin-top:2.2pt;width:20.25pt;height:21.75pt;z-index: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" stroked="f">
              <v:fill opacity="0"/>
              <v:textbox inset="0,0,0,0">
                <w:txbxContent>
                  <w:p w14:paraId="0DF873C5" w14:textId="77777777" w:rsidR="00166D53" w:rsidRDefault="00067013">
                    <w:pPr>
                      <w:pStyle w:val="Header"/>
                    </w:pPr>
                    <w:r>
                      <w:rPr>
                        <w:rStyle w:val="PageNumber"/>
                        <w:sz w:val="28"/>
                        <w:szCs w:val="28"/>
                      </w:rPr>
                      <w:fldChar w:fldCharType="begin"/>
                    </w:r>
                    <w:r>
                      <w:rPr>
                        <w:rStyle w:val="PageNumber"/>
                        <w:sz w:val="28"/>
                        <w:szCs w:val="28"/>
                      </w:rPr>
                      <w:instrText>PAGE</w:instrText>
                    </w:r>
                    <w:r>
                      <w:rPr>
                        <w:rStyle w:val="PageNumber"/>
                        <w:sz w:val="28"/>
                        <w:szCs w:val="28"/>
                      </w:rPr>
                      <w:fldChar w:fldCharType="separate"/>
                    </w:r>
                    <w:r>
                      <w:rPr>
                        <w:rStyle w:val="PageNumber"/>
                        <w:sz w:val="28"/>
                        <w:szCs w:val="28"/>
                      </w:rPr>
                      <w:t>iii</w:t>
                    </w:r>
                    <w:r>
                      <w:rPr>
                        <w:rStyle w:val="PageNumber"/>
                        <w:sz w:val="28"/>
                        <w:szCs w:val="28"/>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78A"/>
    <w:multiLevelType w:val="multilevel"/>
    <w:tmpl w:val="11B47C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600783"/>
    <w:multiLevelType w:val="multilevel"/>
    <w:tmpl w:val="9770115C"/>
    <w:lvl w:ilvl="0">
      <w:start w:val="1"/>
      <w:numFmt w:val="upperRoman"/>
      <w:lvlText w:val="%1."/>
      <w:lvlJc w:val="left"/>
      <w:pPr>
        <w:tabs>
          <w:tab w:val="num" w:pos="1260"/>
        </w:tabs>
        <w:ind w:left="1260" w:hanging="720"/>
      </w:pPr>
      <w:rPr>
        <w:rFonts w:ascii="Century" w:hAnsi="Century" w:cs="Times New Roman"/>
        <w:b/>
        <w:sz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15:restartNumberingAfterBreak="0">
    <w:nsid w:val="16AC77B1"/>
    <w:multiLevelType w:val="multilevel"/>
    <w:tmpl w:val="1C5E90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B5896"/>
    <w:multiLevelType w:val="hybridMultilevel"/>
    <w:tmpl w:val="067C10F6"/>
    <w:lvl w:ilvl="0" w:tplc="890C3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61060"/>
    <w:multiLevelType w:val="multilevel"/>
    <w:tmpl w:val="D108C1F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E7C4B22"/>
    <w:multiLevelType w:val="multilevel"/>
    <w:tmpl w:val="556467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53"/>
    <w:rsid w:val="00001F8F"/>
    <w:rsid w:val="000026D6"/>
    <w:rsid w:val="0000707C"/>
    <w:rsid w:val="000127EE"/>
    <w:rsid w:val="00016B93"/>
    <w:rsid w:val="000265E0"/>
    <w:rsid w:val="00030BA0"/>
    <w:rsid w:val="00031198"/>
    <w:rsid w:val="000334FB"/>
    <w:rsid w:val="000351C9"/>
    <w:rsid w:val="00044031"/>
    <w:rsid w:val="00051118"/>
    <w:rsid w:val="00052E14"/>
    <w:rsid w:val="00053C6D"/>
    <w:rsid w:val="0005462D"/>
    <w:rsid w:val="000550B7"/>
    <w:rsid w:val="00055FA3"/>
    <w:rsid w:val="00065529"/>
    <w:rsid w:val="00067013"/>
    <w:rsid w:val="000715C8"/>
    <w:rsid w:val="000765F7"/>
    <w:rsid w:val="00082F28"/>
    <w:rsid w:val="000838D1"/>
    <w:rsid w:val="0008629F"/>
    <w:rsid w:val="00086ACF"/>
    <w:rsid w:val="000878B3"/>
    <w:rsid w:val="00095DFE"/>
    <w:rsid w:val="000A176D"/>
    <w:rsid w:val="000A1C2F"/>
    <w:rsid w:val="000A7AFB"/>
    <w:rsid w:val="000B334E"/>
    <w:rsid w:val="000B7D07"/>
    <w:rsid w:val="000C262F"/>
    <w:rsid w:val="000C36E8"/>
    <w:rsid w:val="000C47D6"/>
    <w:rsid w:val="000C59D8"/>
    <w:rsid w:val="000D04D1"/>
    <w:rsid w:val="000D34BB"/>
    <w:rsid w:val="000D468A"/>
    <w:rsid w:val="000D64AC"/>
    <w:rsid w:val="000D73B4"/>
    <w:rsid w:val="000E07AB"/>
    <w:rsid w:val="000F0F58"/>
    <w:rsid w:val="0010091C"/>
    <w:rsid w:val="001009D7"/>
    <w:rsid w:val="001011D0"/>
    <w:rsid w:val="001022F4"/>
    <w:rsid w:val="0010788D"/>
    <w:rsid w:val="00116DB1"/>
    <w:rsid w:val="00134104"/>
    <w:rsid w:val="00137C54"/>
    <w:rsid w:val="00143AB0"/>
    <w:rsid w:val="00150537"/>
    <w:rsid w:val="00154916"/>
    <w:rsid w:val="00160940"/>
    <w:rsid w:val="00162A94"/>
    <w:rsid w:val="00166D53"/>
    <w:rsid w:val="00170460"/>
    <w:rsid w:val="00180FF1"/>
    <w:rsid w:val="001926D4"/>
    <w:rsid w:val="00194CD6"/>
    <w:rsid w:val="00194E16"/>
    <w:rsid w:val="001A7875"/>
    <w:rsid w:val="001B1855"/>
    <w:rsid w:val="001B2E37"/>
    <w:rsid w:val="001B709F"/>
    <w:rsid w:val="001B7B9F"/>
    <w:rsid w:val="001B7F37"/>
    <w:rsid w:val="001C34C8"/>
    <w:rsid w:val="001C3535"/>
    <w:rsid w:val="001C492A"/>
    <w:rsid w:val="001C639D"/>
    <w:rsid w:val="001D25DF"/>
    <w:rsid w:val="001D307A"/>
    <w:rsid w:val="001D7F03"/>
    <w:rsid w:val="001E1136"/>
    <w:rsid w:val="001E3DD9"/>
    <w:rsid w:val="001E605B"/>
    <w:rsid w:val="001E7218"/>
    <w:rsid w:val="001F2F5F"/>
    <w:rsid w:val="001F636B"/>
    <w:rsid w:val="0020233A"/>
    <w:rsid w:val="00202BAB"/>
    <w:rsid w:val="00206601"/>
    <w:rsid w:val="00210913"/>
    <w:rsid w:val="00211323"/>
    <w:rsid w:val="00211ABC"/>
    <w:rsid w:val="0021214A"/>
    <w:rsid w:val="00216DCC"/>
    <w:rsid w:val="00217051"/>
    <w:rsid w:val="00225007"/>
    <w:rsid w:val="00225D90"/>
    <w:rsid w:val="002301B2"/>
    <w:rsid w:val="00234A4A"/>
    <w:rsid w:val="002363EC"/>
    <w:rsid w:val="00251BCA"/>
    <w:rsid w:val="00251DA6"/>
    <w:rsid w:val="0025794A"/>
    <w:rsid w:val="00267BFA"/>
    <w:rsid w:val="00270AEA"/>
    <w:rsid w:val="00272E5F"/>
    <w:rsid w:val="0028580C"/>
    <w:rsid w:val="00286CB7"/>
    <w:rsid w:val="00287B71"/>
    <w:rsid w:val="0029470F"/>
    <w:rsid w:val="00297137"/>
    <w:rsid w:val="00297BDE"/>
    <w:rsid w:val="002A1CB0"/>
    <w:rsid w:val="002A5B5C"/>
    <w:rsid w:val="002B27FE"/>
    <w:rsid w:val="002B3E42"/>
    <w:rsid w:val="002B42CA"/>
    <w:rsid w:val="002B790E"/>
    <w:rsid w:val="002B7FD0"/>
    <w:rsid w:val="002E3C20"/>
    <w:rsid w:val="002F04B4"/>
    <w:rsid w:val="002F7CB4"/>
    <w:rsid w:val="0030074C"/>
    <w:rsid w:val="003010C6"/>
    <w:rsid w:val="00304CF4"/>
    <w:rsid w:val="00310331"/>
    <w:rsid w:val="00310EAD"/>
    <w:rsid w:val="00311F2A"/>
    <w:rsid w:val="00313800"/>
    <w:rsid w:val="00337022"/>
    <w:rsid w:val="00343337"/>
    <w:rsid w:val="003576D4"/>
    <w:rsid w:val="00367B1F"/>
    <w:rsid w:val="0037330B"/>
    <w:rsid w:val="003745C0"/>
    <w:rsid w:val="00377474"/>
    <w:rsid w:val="00392DDA"/>
    <w:rsid w:val="003A3855"/>
    <w:rsid w:val="003A3A19"/>
    <w:rsid w:val="003A5FDD"/>
    <w:rsid w:val="003B0348"/>
    <w:rsid w:val="003B1356"/>
    <w:rsid w:val="003B56B0"/>
    <w:rsid w:val="003C06CD"/>
    <w:rsid w:val="003C0CE7"/>
    <w:rsid w:val="003C0EF0"/>
    <w:rsid w:val="003C4398"/>
    <w:rsid w:val="003C6290"/>
    <w:rsid w:val="003C6A25"/>
    <w:rsid w:val="003C7C5D"/>
    <w:rsid w:val="003D469E"/>
    <w:rsid w:val="003D51F4"/>
    <w:rsid w:val="003D7026"/>
    <w:rsid w:val="003E183B"/>
    <w:rsid w:val="003E472D"/>
    <w:rsid w:val="004021AE"/>
    <w:rsid w:val="004113B5"/>
    <w:rsid w:val="00416083"/>
    <w:rsid w:val="00421407"/>
    <w:rsid w:val="00421861"/>
    <w:rsid w:val="00421A59"/>
    <w:rsid w:val="0042707B"/>
    <w:rsid w:val="004301E6"/>
    <w:rsid w:val="004341FA"/>
    <w:rsid w:val="0043469C"/>
    <w:rsid w:val="004365C6"/>
    <w:rsid w:val="004410BD"/>
    <w:rsid w:val="00442075"/>
    <w:rsid w:val="004431A9"/>
    <w:rsid w:val="00443435"/>
    <w:rsid w:val="00443969"/>
    <w:rsid w:val="004448DD"/>
    <w:rsid w:val="00454A91"/>
    <w:rsid w:val="004648EE"/>
    <w:rsid w:val="0046608D"/>
    <w:rsid w:val="0048116D"/>
    <w:rsid w:val="00484F9C"/>
    <w:rsid w:val="00486091"/>
    <w:rsid w:val="004865D0"/>
    <w:rsid w:val="00493D61"/>
    <w:rsid w:val="00495F18"/>
    <w:rsid w:val="004970D6"/>
    <w:rsid w:val="00497D8A"/>
    <w:rsid w:val="004A1FDC"/>
    <w:rsid w:val="004A25EF"/>
    <w:rsid w:val="004A2E74"/>
    <w:rsid w:val="004A3461"/>
    <w:rsid w:val="004A55D5"/>
    <w:rsid w:val="004A782A"/>
    <w:rsid w:val="004B0B93"/>
    <w:rsid w:val="004B2F92"/>
    <w:rsid w:val="004B4FBA"/>
    <w:rsid w:val="004B64FE"/>
    <w:rsid w:val="004B740A"/>
    <w:rsid w:val="004C416B"/>
    <w:rsid w:val="004D0329"/>
    <w:rsid w:val="004D44F8"/>
    <w:rsid w:val="004D741F"/>
    <w:rsid w:val="004E6D1C"/>
    <w:rsid w:val="004F0C93"/>
    <w:rsid w:val="004F2AF6"/>
    <w:rsid w:val="00501EAA"/>
    <w:rsid w:val="00506BFF"/>
    <w:rsid w:val="005113A7"/>
    <w:rsid w:val="005150C1"/>
    <w:rsid w:val="00516AB1"/>
    <w:rsid w:val="005172E4"/>
    <w:rsid w:val="005207C5"/>
    <w:rsid w:val="005207E8"/>
    <w:rsid w:val="00520E45"/>
    <w:rsid w:val="0052325D"/>
    <w:rsid w:val="005235C9"/>
    <w:rsid w:val="005253FA"/>
    <w:rsid w:val="00525DA5"/>
    <w:rsid w:val="0053023F"/>
    <w:rsid w:val="0053329C"/>
    <w:rsid w:val="00534B1D"/>
    <w:rsid w:val="005418D6"/>
    <w:rsid w:val="005431FA"/>
    <w:rsid w:val="00543399"/>
    <w:rsid w:val="00553A76"/>
    <w:rsid w:val="00555249"/>
    <w:rsid w:val="005556C1"/>
    <w:rsid w:val="0056064C"/>
    <w:rsid w:val="00563C00"/>
    <w:rsid w:val="00564CE6"/>
    <w:rsid w:val="0056633A"/>
    <w:rsid w:val="00571CA3"/>
    <w:rsid w:val="005728EF"/>
    <w:rsid w:val="00575655"/>
    <w:rsid w:val="005806C5"/>
    <w:rsid w:val="005837BA"/>
    <w:rsid w:val="00584C07"/>
    <w:rsid w:val="00597118"/>
    <w:rsid w:val="00597CCE"/>
    <w:rsid w:val="005A2E48"/>
    <w:rsid w:val="005B13B2"/>
    <w:rsid w:val="005C1DB8"/>
    <w:rsid w:val="005D2397"/>
    <w:rsid w:val="005D4249"/>
    <w:rsid w:val="005D518D"/>
    <w:rsid w:val="005D5F99"/>
    <w:rsid w:val="005E4B32"/>
    <w:rsid w:val="005F16FB"/>
    <w:rsid w:val="00600596"/>
    <w:rsid w:val="006009A3"/>
    <w:rsid w:val="006028A8"/>
    <w:rsid w:val="006029DE"/>
    <w:rsid w:val="00602EE9"/>
    <w:rsid w:val="00605DF8"/>
    <w:rsid w:val="00615BB3"/>
    <w:rsid w:val="00632327"/>
    <w:rsid w:val="006338A2"/>
    <w:rsid w:val="00635B45"/>
    <w:rsid w:val="00640339"/>
    <w:rsid w:val="00641939"/>
    <w:rsid w:val="006463DE"/>
    <w:rsid w:val="00652D55"/>
    <w:rsid w:val="00652EDF"/>
    <w:rsid w:val="00667748"/>
    <w:rsid w:val="00670F1B"/>
    <w:rsid w:val="00674DFB"/>
    <w:rsid w:val="00675A01"/>
    <w:rsid w:val="00682B8B"/>
    <w:rsid w:val="00683DD8"/>
    <w:rsid w:val="0069237A"/>
    <w:rsid w:val="006A4F53"/>
    <w:rsid w:val="006A4FEF"/>
    <w:rsid w:val="006A6267"/>
    <w:rsid w:val="006B3EB5"/>
    <w:rsid w:val="006B780C"/>
    <w:rsid w:val="006C61E9"/>
    <w:rsid w:val="006C6E82"/>
    <w:rsid w:val="006D2B35"/>
    <w:rsid w:val="006D706C"/>
    <w:rsid w:val="006E00DD"/>
    <w:rsid w:val="006E3A59"/>
    <w:rsid w:val="006E5C21"/>
    <w:rsid w:val="006F2AAB"/>
    <w:rsid w:val="00702855"/>
    <w:rsid w:val="00711040"/>
    <w:rsid w:val="007210CB"/>
    <w:rsid w:val="00726492"/>
    <w:rsid w:val="00726D30"/>
    <w:rsid w:val="0073616B"/>
    <w:rsid w:val="00740C53"/>
    <w:rsid w:val="0074132E"/>
    <w:rsid w:val="0075368D"/>
    <w:rsid w:val="0075466E"/>
    <w:rsid w:val="0075531D"/>
    <w:rsid w:val="00760C3B"/>
    <w:rsid w:val="00764490"/>
    <w:rsid w:val="00764AD6"/>
    <w:rsid w:val="00764C69"/>
    <w:rsid w:val="007673FA"/>
    <w:rsid w:val="00770DDB"/>
    <w:rsid w:val="007732F2"/>
    <w:rsid w:val="007750B9"/>
    <w:rsid w:val="00777265"/>
    <w:rsid w:val="0077730D"/>
    <w:rsid w:val="007842D9"/>
    <w:rsid w:val="007868F1"/>
    <w:rsid w:val="00794960"/>
    <w:rsid w:val="007A3724"/>
    <w:rsid w:val="007A6B69"/>
    <w:rsid w:val="007A715D"/>
    <w:rsid w:val="007B0408"/>
    <w:rsid w:val="007C0B8A"/>
    <w:rsid w:val="007C4BCF"/>
    <w:rsid w:val="007C4E4A"/>
    <w:rsid w:val="007D2B5B"/>
    <w:rsid w:val="007D3F17"/>
    <w:rsid w:val="007D5D72"/>
    <w:rsid w:val="007E1A27"/>
    <w:rsid w:val="007E1B97"/>
    <w:rsid w:val="007E665B"/>
    <w:rsid w:val="007F21A3"/>
    <w:rsid w:val="00804089"/>
    <w:rsid w:val="00813100"/>
    <w:rsid w:val="00826D69"/>
    <w:rsid w:val="00830BD1"/>
    <w:rsid w:val="00831DA4"/>
    <w:rsid w:val="008422D5"/>
    <w:rsid w:val="00844772"/>
    <w:rsid w:val="00846498"/>
    <w:rsid w:val="00850530"/>
    <w:rsid w:val="00863C9F"/>
    <w:rsid w:val="00864A4A"/>
    <w:rsid w:val="008657B3"/>
    <w:rsid w:val="00865973"/>
    <w:rsid w:val="00876986"/>
    <w:rsid w:val="0088039E"/>
    <w:rsid w:val="00881DBD"/>
    <w:rsid w:val="008853B5"/>
    <w:rsid w:val="008859A2"/>
    <w:rsid w:val="008934CF"/>
    <w:rsid w:val="00893775"/>
    <w:rsid w:val="0089761C"/>
    <w:rsid w:val="008A0198"/>
    <w:rsid w:val="008A6DEE"/>
    <w:rsid w:val="008B0C58"/>
    <w:rsid w:val="008B6AC4"/>
    <w:rsid w:val="008C155D"/>
    <w:rsid w:val="008C22BE"/>
    <w:rsid w:val="008C44FB"/>
    <w:rsid w:val="008C7862"/>
    <w:rsid w:val="008E0A0C"/>
    <w:rsid w:val="008E17ED"/>
    <w:rsid w:val="008E2D64"/>
    <w:rsid w:val="008E3152"/>
    <w:rsid w:val="008E4379"/>
    <w:rsid w:val="008F13C8"/>
    <w:rsid w:val="008F550A"/>
    <w:rsid w:val="00901ED8"/>
    <w:rsid w:val="009029A9"/>
    <w:rsid w:val="00912186"/>
    <w:rsid w:val="009133B2"/>
    <w:rsid w:val="009152AB"/>
    <w:rsid w:val="009168E8"/>
    <w:rsid w:val="00916B95"/>
    <w:rsid w:val="00916DDC"/>
    <w:rsid w:val="00920456"/>
    <w:rsid w:val="00921747"/>
    <w:rsid w:val="00924120"/>
    <w:rsid w:val="0092431F"/>
    <w:rsid w:val="00924954"/>
    <w:rsid w:val="00925172"/>
    <w:rsid w:val="00925EE6"/>
    <w:rsid w:val="00927BA6"/>
    <w:rsid w:val="009305DA"/>
    <w:rsid w:val="009433CB"/>
    <w:rsid w:val="00945B6F"/>
    <w:rsid w:val="009507BC"/>
    <w:rsid w:val="00955E7E"/>
    <w:rsid w:val="0095619D"/>
    <w:rsid w:val="00957649"/>
    <w:rsid w:val="009655ED"/>
    <w:rsid w:val="0096599D"/>
    <w:rsid w:val="0096612C"/>
    <w:rsid w:val="009670D4"/>
    <w:rsid w:val="009679C5"/>
    <w:rsid w:val="009741FE"/>
    <w:rsid w:val="00976459"/>
    <w:rsid w:val="009937AA"/>
    <w:rsid w:val="0099416B"/>
    <w:rsid w:val="009A2D8F"/>
    <w:rsid w:val="009A6876"/>
    <w:rsid w:val="009B0D77"/>
    <w:rsid w:val="009B1008"/>
    <w:rsid w:val="009B44D0"/>
    <w:rsid w:val="009B5456"/>
    <w:rsid w:val="009C63A1"/>
    <w:rsid w:val="009D08A0"/>
    <w:rsid w:val="009E0FC9"/>
    <w:rsid w:val="009E0FDC"/>
    <w:rsid w:val="009E2C36"/>
    <w:rsid w:val="009E47B0"/>
    <w:rsid w:val="009F0616"/>
    <w:rsid w:val="009F7F80"/>
    <w:rsid w:val="00A01595"/>
    <w:rsid w:val="00A034F5"/>
    <w:rsid w:val="00A04104"/>
    <w:rsid w:val="00A13FAB"/>
    <w:rsid w:val="00A1476E"/>
    <w:rsid w:val="00A1657C"/>
    <w:rsid w:val="00A22688"/>
    <w:rsid w:val="00A30D47"/>
    <w:rsid w:val="00A319B0"/>
    <w:rsid w:val="00A3303D"/>
    <w:rsid w:val="00A37264"/>
    <w:rsid w:val="00A37952"/>
    <w:rsid w:val="00A40AC5"/>
    <w:rsid w:val="00A44B4F"/>
    <w:rsid w:val="00A45247"/>
    <w:rsid w:val="00A53034"/>
    <w:rsid w:val="00A56586"/>
    <w:rsid w:val="00A643E6"/>
    <w:rsid w:val="00A754CF"/>
    <w:rsid w:val="00A7696D"/>
    <w:rsid w:val="00A847C2"/>
    <w:rsid w:val="00A94A8B"/>
    <w:rsid w:val="00AA028F"/>
    <w:rsid w:val="00AA52E7"/>
    <w:rsid w:val="00AA64DE"/>
    <w:rsid w:val="00AC4A97"/>
    <w:rsid w:val="00AC771B"/>
    <w:rsid w:val="00AC7988"/>
    <w:rsid w:val="00AD4C79"/>
    <w:rsid w:val="00AE5E18"/>
    <w:rsid w:val="00AE6F34"/>
    <w:rsid w:val="00AF31CE"/>
    <w:rsid w:val="00AF4273"/>
    <w:rsid w:val="00AF4A70"/>
    <w:rsid w:val="00AF5091"/>
    <w:rsid w:val="00AF538E"/>
    <w:rsid w:val="00AF5EB1"/>
    <w:rsid w:val="00B00062"/>
    <w:rsid w:val="00B000DF"/>
    <w:rsid w:val="00B003BE"/>
    <w:rsid w:val="00B0645C"/>
    <w:rsid w:val="00B10ECA"/>
    <w:rsid w:val="00B11669"/>
    <w:rsid w:val="00B13122"/>
    <w:rsid w:val="00B13652"/>
    <w:rsid w:val="00B16AFE"/>
    <w:rsid w:val="00B17B0D"/>
    <w:rsid w:val="00B244CE"/>
    <w:rsid w:val="00B26B2A"/>
    <w:rsid w:val="00B319EB"/>
    <w:rsid w:val="00B33A0C"/>
    <w:rsid w:val="00B3525F"/>
    <w:rsid w:val="00B35BB5"/>
    <w:rsid w:val="00B361B2"/>
    <w:rsid w:val="00B40085"/>
    <w:rsid w:val="00B42A41"/>
    <w:rsid w:val="00B42AD2"/>
    <w:rsid w:val="00B67636"/>
    <w:rsid w:val="00B67757"/>
    <w:rsid w:val="00B74A74"/>
    <w:rsid w:val="00B76494"/>
    <w:rsid w:val="00B7702F"/>
    <w:rsid w:val="00B85D24"/>
    <w:rsid w:val="00B8727A"/>
    <w:rsid w:val="00B900BA"/>
    <w:rsid w:val="00B9416F"/>
    <w:rsid w:val="00B945C8"/>
    <w:rsid w:val="00BB1D72"/>
    <w:rsid w:val="00BC1F59"/>
    <w:rsid w:val="00BC286D"/>
    <w:rsid w:val="00BD0A27"/>
    <w:rsid w:val="00BD1EF7"/>
    <w:rsid w:val="00BD46D7"/>
    <w:rsid w:val="00BD4B91"/>
    <w:rsid w:val="00BD650A"/>
    <w:rsid w:val="00BE4406"/>
    <w:rsid w:val="00BE4775"/>
    <w:rsid w:val="00BE6B7E"/>
    <w:rsid w:val="00BE79D8"/>
    <w:rsid w:val="00BF7D72"/>
    <w:rsid w:val="00C01205"/>
    <w:rsid w:val="00C02A11"/>
    <w:rsid w:val="00C02D44"/>
    <w:rsid w:val="00C036EE"/>
    <w:rsid w:val="00C06A5E"/>
    <w:rsid w:val="00C074D6"/>
    <w:rsid w:val="00C10F7E"/>
    <w:rsid w:val="00C10FB1"/>
    <w:rsid w:val="00C21E8D"/>
    <w:rsid w:val="00C25496"/>
    <w:rsid w:val="00C31F85"/>
    <w:rsid w:val="00C32685"/>
    <w:rsid w:val="00C34BF1"/>
    <w:rsid w:val="00C36627"/>
    <w:rsid w:val="00C3747A"/>
    <w:rsid w:val="00C41521"/>
    <w:rsid w:val="00C52123"/>
    <w:rsid w:val="00C574AF"/>
    <w:rsid w:val="00C57B45"/>
    <w:rsid w:val="00C62B48"/>
    <w:rsid w:val="00C6507E"/>
    <w:rsid w:val="00C70028"/>
    <w:rsid w:val="00C81AF4"/>
    <w:rsid w:val="00C87AC5"/>
    <w:rsid w:val="00C93810"/>
    <w:rsid w:val="00C948AD"/>
    <w:rsid w:val="00C9516C"/>
    <w:rsid w:val="00CA4ECF"/>
    <w:rsid w:val="00CB4849"/>
    <w:rsid w:val="00CB4A98"/>
    <w:rsid w:val="00CB7AF7"/>
    <w:rsid w:val="00CD6182"/>
    <w:rsid w:val="00CD66AD"/>
    <w:rsid w:val="00CD6DC2"/>
    <w:rsid w:val="00CE07FA"/>
    <w:rsid w:val="00CE3CD5"/>
    <w:rsid w:val="00CE5BBB"/>
    <w:rsid w:val="00CE7410"/>
    <w:rsid w:val="00CF25F1"/>
    <w:rsid w:val="00CF3FD1"/>
    <w:rsid w:val="00CF54D5"/>
    <w:rsid w:val="00CF5E83"/>
    <w:rsid w:val="00D06CCB"/>
    <w:rsid w:val="00D07AA8"/>
    <w:rsid w:val="00D15A3F"/>
    <w:rsid w:val="00D15E5C"/>
    <w:rsid w:val="00D177C3"/>
    <w:rsid w:val="00D17805"/>
    <w:rsid w:val="00D23349"/>
    <w:rsid w:val="00D24FBD"/>
    <w:rsid w:val="00D257E8"/>
    <w:rsid w:val="00D25EF5"/>
    <w:rsid w:val="00D30B05"/>
    <w:rsid w:val="00D31C3C"/>
    <w:rsid w:val="00D348B1"/>
    <w:rsid w:val="00D36E08"/>
    <w:rsid w:val="00D40AA4"/>
    <w:rsid w:val="00D41ABF"/>
    <w:rsid w:val="00D45678"/>
    <w:rsid w:val="00D51A6C"/>
    <w:rsid w:val="00D540AB"/>
    <w:rsid w:val="00D54FAB"/>
    <w:rsid w:val="00D5677A"/>
    <w:rsid w:val="00D72E08"/>
    <w:rsid w:val="00D73602"/>
    <w:rsid w:val="00D75363"/>
    <w:rsid w:val="00D952E7"/>
    <w:rsid w:val="00DA03D2"/>
    <w:rsid w:val="00DB0E51"/>
    <w:rsid w:val="00DB456B"/>
    <w:rsid w:val="00DC50A6"/>
    <w:rsid w:val="00DD04F8"/>
    <w:rsid w:val="00DD0E4B"/>
    <w:rsid w:val="00DD79B5"/>
    <w:rsid w:val="00DE4EA0"/>
    <w:rsid w:val="00DE769A"/>
    <w:rsid w:val="00DF1221"/>
    <w:rsid w:val="00DF12FC"/>
    <w:rsid w:val="00DF593E"/>
    <w:rsid w:val="00E006D0"/>
    <w:rsid w:val="00E01BA5"/>
    <w:rsid w:val="00E01DD2"/>
    <w:rsid w:val="00E035F0"/>
    <w:rsid w:val="00E07977"/>
    <w:rsid w:val="00E100E2"/>
    <w:rsid w:val="00E228F5"/>
    <w:rsid w:val="00E229BF"/>
    <w:rsid w:val="00E33E94"/>
    <w:rsid w:val="00E405BB"/>
    <w:rsid w:val="00E424CB"/>
    <w:rsid w:val="00E44B53"/>
    <w:rsid w:val="00E475C3"/>
    <w:rsid w:val="00E47CD4"/>
    <w:rsid w:val="00E56CA2"/>
    <w:rsid w:val="00E56EF3"/>
    <w:rsid w:val="00E61916"/>
    <w:rsid w:val="00E658D7"/>
    <w:rsid w:val="00E73C06"/>
    <w:rsid w:val="00E740C0"/>
    <w:rsid w:val="00E752CE"/>
    <w:rsid w:val="00E75A81"/>
    <w:rsid w:val="00E75F0E"/>
    <w:rsid w:val="00E76C40"/>
    <w:rsid w:val="00E77517"/>
    <w:rsid w:val="00E7774D"/>
    <w:rsid w:val="00E841B4"/>
    <w:rsid w:val="00E85A79"/>
    <w:rsid w:val="00E94EDA"/>
    <w:rsid w:val="00E952C5"/>
    <w:rsid w:val="00E96AC2"/>
    <w:rsid w:val="00EA2321"/>
    <w:rsid w:val="00EA23BF"/>
    <w:rsid w:val="00EA4915"/>
    <w:rsid w:val="00EA7FC2"/>
    <w:rsid w:val="00EB1124"/>
    <w:rsid w:val="00EB3E7D"/>
    <w:rsid w:val="00EB4173"/>
    <w:rsid w:val="00EB6B2B"/>
    <w:rsid w:val="00EC11F3"/>
    <w:rsid w:val="00EC16D9"/>
    <w:rsid w:val="00EC20D9"/>
    <w:rsid w:val="00EC24D0"/>
    <w:rsid w:val="00EC2E91"/>
    <w:rsid w:val="00ED1F16"/>
    <w:rsid w:val="00ED5A73"/>
    <w:rsid w:val="00ED7BD3"/>
    <w:rsid w:val="00EE03DF"/>
    <w:rsid w:val="00EE7D5A"/>
    <w:rsid w:val="00EF5308"/>
    <w:rsid w:val="00F02105"/>
    <w:rsid w:val="00F071C1"/>
    <w:rsid w:val="00F07C4A"/>
    <w:rsid w:val="00F07FBE"/>
    <w:rsid w:val="00F1090C"/>
    <w:rsid w:val="00F12AA3"/>
    <w:rsid w:val="00F147C3"/>
    <w:rsid w:val="00F20ECB"/>
    <w:rsid w:val="00F306D2"/>
    <w:rsid w:val="00F30BAC"/>
    <w:rsid w:val="00F314D3"/>
    <w:rsid w:val="00F40BAF"/>
    <w:rsid w:val="00F419F1"/>
    <w:rsid w:val="00F44875"/>
    <w:rsid w:val="00F57135"/>
    <w:rsid w:val="00F6117C"/>
    <w:rsid w:val="00F61AFD"/>
    <w:rsid w:val="00F6791F"/>
    <w:rsid w:val="00F7068E"/>
    <w:rsid w:val="00F70AD0"/>
    <w:rsid w:val="00F823EA"/>
    <w:rsid w:val="00F91160"/>
    <w:rsid w:val="00F92D27"/>
    <w:rsid w:val="00F945BD"/>
    <w:rsid w:val="00F95EBD"/>
    <w:rsid w:val="00F96A55"/>
    <w:rsid w:val="00FA13CF"/>
    <w:rsid w:val="00FA13DF"/>
    <w:rsid w:val="00FA2202"/>
    <w:rsid w:val="00FA55DA"/>
    <w:rsid w:val="00FA59E0"/>
    <w:rsid w:val="00FB1754"/>
    <w:rsid w:val="00FB463D"/>
    <w:rsid w:val="00FB612F"/>
    <w:rsid w:val="00FC2CD0"/>
    <w:rsid w:val="00FC7A39"/>
    <w:rsid w:val="00FD2BE3"/>
    <w:rsid w:val="00FD3958"/>
    <w:rsid w:val="00FD6AB7"/>
    <w:rsid w:val="00FE6B27"/>
    <w:rsid w:val="00FF1914"/>
    <w:rsid w:val="00FF2C06"/>
    <w:rsid w:val="00FF77F6"/>
    <w:rsid w:val="00FF7C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87301"/>
  <w15:docId w15:val="{AEEAB33E-F0DF-46A3-9CA3-881722ED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C1"/>
    <w:pPr>
      <w:spacing w:line="276" w:lineRule="auto"/>
    </w:pPr>
    <w:rPr>
      <w:sz w:val="24"/>
    </w:rPr>
  </w:style>
  <w:style w:type="paragraph" w:styleId="Heading1">
    <w:name w:val="heading 1"/>
    <w:basedOn w:val="Normal"/>
    <w:next w:val="Normal"/>
    <w:link w:val="Heading1Char"/>
    <w:uiPriority w:val="99"/>
    <w:qFormat/>
    <w:rsid w:val="00A253C1"/>
    <w:pPr>
      <w:keepNext/>
      <w:spacing w:line="240" w:lineRule="auto"/>
      <w:jc w:val="center"/>
      <w:outlineLvl w:val="0"/>
    </w:pPr>
    <w:rPr>
      <w:rFonts w:ascii="Courier New" w:eastAsia="Times New Roman" w:hAnsi="Courier New"/>
      <w:szCs w:val="24"/>
      <w:u w:val="single"/>
    </w:rPr>
  </w:style>
  <w:style w:type="paragraph" w:styleId="Heading2">
    <w:name w:val="heading 2"/>
    <w:basedOn w:val="Normal"/>
    <w:next w:val="Normal"/>
    <w:link w:val="Heading2Char"/>
    <w:uiPriority w:val="99"/>
    <w:qFormat/>
    <w:rsid w:val="00A253C1"/>
    <w:pPr>
      <w:keepNext/>
      <w:spacing w:line="240" w:lineRule="auto"/>
      <w:jc w:val="center"/>
      <w:outlineLvl w:val="1"/>
    </w:pPr>
    <w:rPr>
      <w:rFonts w:ascii="Courier New" w:eastAsia="Times New Roman" w:hAnsi="Courier New"/>
      <w:b/>
      <w:bCs/>
      <w:szCs w:val="24"/>
      <w:u w:val="single"/>
    </w:rPr>
  </w:style>
  <w:style w:type="paragraph" w:styleId="Heading3">
    <w:name w:val="heading 3"/>
    <w:basedOn w:val="Normal"/>
    <w:next w:val="Normal"/>
    <w:link w:val="Heading3Char"/>
    <w:uiPriority w:val="99"/>
    <w:qFormat/>
    <w:rsid w:val="00A253C1"/>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A253C1"/>
    <w:rPr>
      <w:rFonts w:ascii="Courier New" w:hAnsi="Courier New" w:cs="Times New Roman"/>
      <w:sz w:val="24"/>
      <w:szCs w:val="24"/>
      <w:u w:val="single"/>
    </w:rPr>
  </w:style>
  <w:style w:type="character" w:customStyle="1" w:styleId="Heading2Char">
    <w:name w:val="Heading 2 Char"/>
    <w:basedOn w:val="DefaultParagraphFont"/>
    <w:link w:val="Heading2"/>
    <w:uiPriority w:val="99"/>
    <w:qFormat/>
    <w:locked/>
    <w:rsid w:val="00A253C1"/>
    <w:rPr>
      <w:rFonts w:ascii="Courier New" w:hAnsi="Courier New" w:cs="Times New Roman"/>
      <w:b/>
      <w:bCs/>
      <w:sz w:val="24"/>
      <w:szCs w:val="24"/>
      <w:u w:val="single"/>
    </w:rPr>
  </w:style>
  <w:style w:type="character" w:customStyle="1" w:styleId="Heading3Char">
    <w:name w:val="Heading 3 Char"/>
    <w:basedOn w:val="DefaultParagraphFont"/>
    <w:link w:val="Heading3"/>
    <w:uiPriority w:val="99"/>
    <w:semiHidden/>
    <w:qFormat/>
    <w:locked/>
    <w:rsid w:val="00A253C1"/>
    <w:rPr>
      <w:rFonts w:ascii="Cambria" w:hAnsi="Cambria" w:cs="Times New Roman"/>
      <w:b/>
      <w:bCs/>
      <w:color w:val="4F81BD"/>
    </w:rPr>
  </w:style>
  <w:style w:type="character" w:customStyle="1" w:styleId="BodyTextIndentChar">
    <w:name w:val="Body Text Indent Char"/>
    <w:basedOn w:val="DefaultParagraphFont"/>
    <w:link w:val="BodyTextIndent"/>
    <w:uiPriority w:val="99"/>
    <w:qFormat/>
    <w:locked/>
    <w:rsid w:val="00A253C1"/>
    <w:rPr>
      <w:rFonts w:ascii="Courier New" w:hAnsi="Courier New" w:cs="Times New Roman"/>
      <w:sz w:val="24"/>
      <w:szCs w:val="24"/>
    </w:rPr>
  </w:style>
  <w:style w:type="character" w:customStyle="1" w:styleId="HeaderChar">
    <w:name w:val="Header Char"/>
    <w:basedOn w:val="DefaultParagraphFont"/>
    <w:link w:val="Header"/>
    <w:uiPriority w:val="99"/>
    <w:qFormat/>
    <w:locked/>
    <w:rsid w:val="00A253C1"/>
    <w:rPr>
      <w:rFonts w:eastAsia="Times New Roman" w:cs="Times New Roman"/>
      <w:sz w:val="24"/>
      <w:szCs w:val="24"/>
    </w:rPr>
  </w:style>
  <w:style w:type="character" w:styleId="PageNumber">
    <w:name w:val="page number"/>
    <w:basedOn w:val="DefaultParagraphFont"/>
    <w:uiPriority w:val="99"/>
    <w:qFormat/>
    <w:rsid w:val="00A253C1"/>
    <w:rPr>
      <w:rFonts w:cs="Times New Roman"/>
    </w:rPr>
  </w:style>
  <w:style w:type="character" w:customStyle="1" w:styleId="BodyTextIndent2Char">
    <w:name w:val="Body Text Indent 2 Char"/>
    <w:basedOn w:val="DefaultParagraphFont"/>
    <w:link w:val="BodyTextIndent2"/>
    <w:uiPriority w:val="99"/>
    <w:qFormat/>
    <w:locked/>
    <w:rsid w:val="00A253C1"/>
    <w:rPr>
      <w:rFonts w:cs="Times New Roman"/>
    </w:rPr>
  </w:style>
  <w:style w:type="character" w:customStyle="1" w:styleId="InternetLink">
    <w:name w:val="Internet Link"/>
    <w:basedOn w:val="DefaultParagraphFont"/>
    <w:uiPriority w:val="99"/>
    <w:rsid w:val="00A253C1"/>
    <w:rPr>
      <w:rFonts w:cs="Times New Roman"/>
      <w:color w:val="0000FF"/>
      <w:u w:val="single"/>
    </w:rPr>
  </w:style>
  <w:style w:type="character" w:customStyle="1" w:styleId="QuoteChar">
    <w:name w:val="Quote Char"/>
    <w:basedOn w:val="DefaultParagraphFont"/>
    <w:link w:val="Quote"/>
    <w:uiPriority w:val="99"/>
    <w:qFormat/>
    <w:locked/>
    <w:rsid w:val="00A253C1"/>
    <w:rPr>
      <w:rFonts w:eastAsia="Times New Roman" w:cs="Times New Roman"/>
      <w:sz w:val="28"/>
      <w:szCs w:val="28"/>
    </w:rPr>
  </w:style>
  <w:style w:type="character" w:customStyle="1" w:styleId="BodyTextChar">
    <w:name w:val="Body Text Char"/>
    <w:basedOn w:val="DefaultParagraphFont"/>
    <w:link w:val="BodyText"/>
    <w:uiPriority w:val="99"/>
    <w:semiHidden/>
    <w:qFormat/>
    <w:locked/>
    <w:rsid w:val="00A253C1"/>
    <w:rPr>
      <w:rFonts w:cs="Times New Roman"/>
    </w:rPr>
  </w:style>
  <w:style w:type="character" w:styleId="CommentReference">
    <w:name w:val="annotation reference"/>
    <w:basedOn w:val="DefaultParagraphFont"/>
    <w:uiPriority w:val="99"/>
    <w:semiHidden/>
    <w:qFormat/>
    <w:rsid w:val="00A253C1"/>
    <w:rPr>
      <w:rFonts w:cs="Times New Roman"/>
      <w:sz w:val="16"/>
      <w:szCs w:val="16"/>
    </w:rPr>
  </w:style>
  <w:style w:type="character" w:customStyle="1" w:styleId="CommentTextChar">
    <w:name w:val="Comment Text Char"/>
    <w:basedOn w:val="DefaultParagraphFont"/>
    <w:link w:val="CommentText"/>
    <w:uiPriority w:val="99"/>
    <w:semiHidden/>
    <w:qFormat/>
    <w:locked/>
    <w:rsid w:val="00A253C1"/>
    <w:rPr>
      <w:rFonts w:cs="Times New Roman"/>
      <w:sz w:val="20"/>
      <w:szCs w:val="20"/>
    </w:rPr>
  </w:style>
  <w:style w:type="character" w:customStyle="1" w:styleId="CommentSubjectChar">
    <w:name w:val="Comment Subject Char"/>
    <w:basedOn w:val="CommentTextChar"/>
    <w:link w:val="CommentSubject"/>
    <w:uiPriority w:val="99"/>
    <w:semiHidden/>
    <w:qFormat/>
    <w:locked/>
    <w:rsid w:val="00A253C1"/>
    <w:rPr>
      <w:rFonts w:cs="Times New Roman"/>
      <w:b/>
      <w:bCs/>
      <w:sz w:val="20"/>
      <w:szCs w:val="20"/>
    </w:rPr>
  </w:style>
  <w:style w:type="character" w:customStyle="1" w:styleId="BalloonTextChar">
    <w:name w:val="Balloon Text Char"/>
    <w:basedOn w:val="DefaultParagraphFont"/>
    <w:link w:val="BalloonText"/>
    <w:uiPriority w:val="99"/>
    <w:semiHidden/>
    <w:qFormat/>
    <w:locked/>
    <w:rsid w:val="00A253C1"/>
    <w:rPr>
      <w:rFonts w:ascii="Tahoma" w:hAnsi="Tahoma" w:cs="Tahoma"/>
      <w:sz w:val="16"/>
      <w:szCs w:val="16"/>
    </w:rPr>
  </w:style>
  <w:style w:type="character" w:customStyle="1" w:styleId="FooterChar">
    <w:name w:val="Footer Char"/>
    <w:basedOn w:val="DefaultParagraphFont"/>
    <w:link w:val="Footer"/>
    <w:uiPriority w:val="99"/>
    <w:qFormat/>
    <w:rsid w:val="00A253C1"/>
    <w:rPr>
      <w:sz w:val="24"/>
    </w:rPr>
  </w:style>
  <w:style w:type="character" w:styleId="Mention">
    <w:name w:val="Mention"/>
    <w:basedOn w:val="DefaultParagraphFont"/>
    <w:uiPriority w:val="99"/>
    <w:semiHidden/>
    <w:unhideWhenUsed/>
    <w:qFormat/>
    <w:rsid w:val="00ED2212"/>
    <w:rPr>
      <w:color w:val="2B579A"/>
      <w:shd w:val="clear" w:color="auto" w:fill="E6E6E6"/>
    </w:rPr>
  </w:style>
  <w:style w:type="character" w:customStyle="1" w:styleId="FootnoteTextChar">
    <w:name w:val="Footnote Text Char"/>
    <w:basedOn w:val="DefaultParagraphFont"/>
    <w:link w:val="FootnoteText"/>
    <w:uiPriority w:val="99"/>
    <w:semiHidden/>
    <w:qFormat/>
    <w:rsid w:val="00653823"/>
    <w:rPr>
      <w:sz w:val="20"/>
      <w:szCs w:val="20"/>
    </w:rPr>
  </w:style>
  <w:style w:type="character" w:customStyle="1" w:styleId="FootnoteCharacters">
    <w:name w:val="Footnote Characters"/>
    <w:basedOn w:val="DefaultParagraphFont"/>
    <w:uiPriority w:val="99"/>
    <w:semiHidden/>
    <w:unhideWhenUsed/>
    <w:qFormat/>
    <w:rsid w:val="00653823"/>
    <w:rPr>
      <w:vertAlign w:val="superscript"/>
    </w:rPr>
  </w:style>
  <w:style w:type="character" w:customStyle="1" w:styleId="FootnoteAnchor">
    <w:name w:val="Footnote Anchor"/>
    <w:rPr>
      <w:vertAlign w:val="superscript"/>
    </w:rPr>
  </w:style>
  <w:style w:type="character" w:customStyle="1" w:styleId="ListLabel1">
    <w:name w:val="ListLabel 1"/>
    <w:qFormat/>
    <w:rPr>
      <w:rFonts w:ascii="Century" w:hAnsi="Century" w:cs="Times New Roman"/>
      <w:b/>
      <w:sz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ascii="Century" w:hAnsi="Century"/>
      <w:sz w:val="28"/>
      <w:szCs w:val="28"/>
    </w:rPr>
  </w:style>
  <w:style w:type="character" w:customStyle="1" w:styleId="ListLabel12">
    <w:name w:val="ListLabel 12"/>
    <w:qFormat/>
    <w:rPr>
      <w:rFonts w:ascii="Century" w:hAnsi="Century"/>
      <w:i/>
      <w:sz w:val="28"/>
      <w:szCs w:val="28"/>
    </w:rPr>
  </w:style>
  <w:style w:type="character" w:customStyle="1" w:styleId="ListLabel13">
    <w:name w:val="ListLabel 13"/>
    <w:qFormat/>
    <w:rPr>
      <w:rFonts w:ascii="Century" w:hAnsi="Century"/>
      <w:sz w:val="28"/>
      <w:szCs w:val="28"/>
    </w:rPr>
  </w:style>
  <w:style w:type="character" w:customStyle="1" w:styleId="ListLabel14">
    <w:name w:val="ListLabel 14"/>
    <w:qFormat/>
    <w:rPr>
      <w:rFonts w:ascii="Century" w:hAnsi="Century"/>
      <w:sz w:val="28"/>
      <w:szCs w:val="28"/>
      <w:highlight w:val="yello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rsid w:val="00A253C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odyTextIndent">
    <w:name w:val="Body Text Indent"/>
    <w:basedOn w:val="Normal"/>
    <w:link w:val="BodyTextIndentChar"/>
    <w:uiPriority w:val="99"/>
    <w:rsid w:val="00A253C1"/>
    <w:pPr>
      <w:spacing w:line="480" w:lineRule="auto"/>
      <w:ind w:firstLine="720"/>
    </w:pPr>
    <w:rPr>
      <w:rFonts w:ascii="Courier New" w:eastAsia="Times New Roman" w:hAnsi="Courier New"/>
      <w:szCs w:val="24"/>
    </w:rPr>
  </w:style>
  <w:style w:type="paragraph" w:styleId="Header">
    <w:name w:val="header"/>
    <w:basedOn w:val="Normal"/>
    <w:link w:val="HeaderChar"/>
    <w:uiPriority w:val="99"/>
    <w:rsid w:val="00A253C1"/>
    <w:pPr>
      <w:tabs>
        <w:tab w:val="center" w:pos="4320"/>
        <w:tab w:val="right" w:pos="8640"/>
      </w:tabs>
      <w:spacing w:line="240" w:lineRule="auto"/>
    </w:pPr>
    <w:rPr>
      <w:rFonts w:eastAsia="Times New Roman"/>
      <w:szCs w:val="24"/>
    </w:rPr>
  </w:style>
  <w:style w:type="paragraph" w:styleId="BlockText">
    <w:name w:val="Block Text"/>
    <w:basedOn w:val="Normal"/>
    <w:uiPriority w:val="99"/>
    <w:qFormat/>
    <w:rsid w:val="00A253C1"/>
    <w:pPr>
      <w:spacing w:line="240" w:lineRule="auto"/>
      <w:ind w:left="720" w:right="180" w:hanging="720"/>
      <w:jc w:val="both"/>
    </w:pPr>
    <w:rPr>
      <w:rFonts w:ascii="Courier New" w:eastAsia="Times New Roman" w:hAnsi="Courier New"/>
      <w:szCs w:val="24"/>
    </w:rPr>
  </w:style>
  <w:style w:type="paragraph" w:styleId="BodyTextIndent2">
    <w:name w:val="Body Text Indent 2"/>
    <w:basedOn w:val="Normal"/>
    <w:link w:val="BodyTextIndent2Char"/>
    <w:uiPriority w:val="99"/>
    <w:qFormat/>
    <w:rsid w:val="00A253C1"/>
    <w:pPr>
      <w:spacing w:after="120" w:line="480" w:lineRule="auto"/>
      <w:ind w:left="360"/>
    </w:pPr>
  </w:style>
  <w:style w:type="paragraph" w:styleId="Quote">
    <w:name w:val="Quote"/>
    <w:basedOn w:val="BodyTextIndent"/>
    <w:link w:val="QuoteChar"/>
    <w:uiPriority w:val="99"/>
    <w:qFormat/>
    <w:rsid w:val="00A253C1"/>
    <w:pPr>
      <w:spacing w:line="240" w:lineRule="auto"/>
      <w:ind w:left="720" w:right="720" w:firstLine="0"/>
      <w:textAlignment w:val="baseline"/>
    </w:pPr>
    <w:rPr>
      <w:rFonts w:ascii="Times New Roman" w:hAnsi="Times New Roman"/>
      <w:sz w:val="28"/>
      <w:szCs w:val="28"/>
    </w:rPr>
  </w:style>
  <w:style w:type="paragraph" w:styleId="CommentText">
    <w:name w:val="annotation text"/>
    <w:basedOn w:val="Normal"/>
    <w:link w:val="CommentTextChar"/>
    <w:uiPriority w:val="99"/>
    <w:semiHidden/>
    <w:qFormat/>
    <w:rsid w:val="00A253C1"/>
    <w:pPr>
      <w:spacing w:line="240" w:lineRule="auto"/>
    </w:pPr>
    <w:rPr>
      <w:sz w:val="20"/>
      <w:szCs w:val="20"/>
    </w:rPr>
  </w:style>
  <w:style w:type="paragraph" w:styleId="CommentSubject">
    <w:name w:val="annotation subject"/>
    <w:basedOn w:val="CommentText"/>
    <w:link w:val="CommentSubjectChar"/>
    <w:uiPriority w:val="99"/>
    <w:semiHidden/>
    <w:qFormat/>
    <w:rsid w:val="00A253C1"/>
    <w:rPr>
      <w:b/>
      <w:bCs/>
    </w:rPr>
  </w:style>
  <w:style w:type="paragraph" w:styleId="BalloonText">
    <w:name w:val="Balloon Text"/>
    <w:basedOn w:val="Normal"/>
    <w:link w:val="BalloonTextChar"/>
    <w:uiPriority w:val="99"/>
    <w:semiHidden/>
    <w:qFormat/>
    <w:rsid w:val="00A253C1"/>
    <w:pPr>
      <w:spacing w:line="240" w:lineRule="auto"/>
    </w:pPr>
    <w:rPr>
      <w:rFonts w:ascii="Tahoma" w:hAnsi="Tahoma" w:cs="Tahoma"/>
      <w:sz w:val="16"/>
      <w:szCs w:val="16"/>
    </w:rPr>
  </w:style>
  <w:style w:type="paragraph" w:styleId="ListParagraph">
    <w:name w:val="List Paragraph"/>
    <w:basedOn w:val="Normal"/>
    <w:uiPriority w:val="34"/>
    <w:qFormat/>
    <w:rsid w:val="00A253C1"/>
    <w:pPr>
      <w:ind w:left="720"/>
      <w:contextualSpacing/>
    </w:pPr>
  </w:style>
  <w:style w:type="paragraph" w:styleId="Revision">
    <w:name w:val="Revision"/>
    <w:uiPriority w:val="99"/>
    <w:semiHidden/>
    <w:qFormat/>
    <w:rsid w:val="00A253C1"/>
    <w:rPr>
      <w:sz w:val="24"/>
    </w:rPr>
  </w:style>
  <w:style w:type="paragraph" w:styleId="TableofAuthorities">
    <w:name w:val="table of authorities"/>
    <w:basedOn w:val="Normal"/>
    <w:next w:val="Normal"/>
    <w:uiPriority w:val="99"/>
    <w:semiHidden/>
    <w:unhideWhenUsed/>
    <w:qFormat/>
    <w:rsid w:val="00A253C1"/>
    <w:pPr>
      <w:ind w:left="240" w:hanging="240"/>
    </w:pPr>
  </w:style>
  <w:style w:type="paragraph" w:customStyle="1" w:styleId="BATOAPageHeading">
    <w:name w:val="BA TOA Page Heading"/>
    <w:basedOn w:val="Normal"/>
    <w:qFormat/>
    <w:rsid w:val="00A253C1"/>
    <w:pPr>
      <w:keepNext/>
      <w:keepLines/>
      <w:tabs>
        <w:tab w:val="right" w:pos="9360"/>
      </w:tabs>
      <w:spacing w:line="240" w:lineRule="auto"/>
      <w:jc w:val="right"/>
    </w:pPr>
    <w:rPr>
      <w:rFonts w:eastAsia="Times New Roman"/>
      <w:b/>
      <w:szCs w:val="24"/>
    </w:rPr>
  </w:style>
  <w:style w:type="paragraph" w:customStyle="1" w:styleId="BATOAHeading">
    <w:name w:val="BA TOA Heading"/>
    <w:basedOn w:val="Normal"/>
    <w:qFormat/>
    <w:rsid w:val="00A253C1"/>
    <w:pPr>
      <w:keepNext/>
      <w:keepLines/>
      <w:spacing w:after="240" w:line="240" w:lineRule="auto"/>
    </w:pPr>
    <w:rPr>
      <w:rFonts w:eastAsia="Times New Roman"/>
      <w:b/>
      <w:smallCaps/>
      <w:szCs w:val="24"/>
    </w:rPr>
  </w:style>
  <w:style w:type="paragraph" w:customStyle="1" w:styleId="BATOAEntry">
    <w:name w:val="BA TOA Entry"/>
    <w:basedOn w:val="Normal"/>
    <w:qFormat/>
    <w:rsid w:val="00A253C1"/>
    <w:pPr>
      <w:keepLines/>
      <w:tabs>
        <w:tab w:val="right" w:leader="dot" w:pos="9360"/>
      </w:tabs>
      <w:spacing w:after="240" w:line="240" w:lineRule="auto"/>
      <w:ind w:left="360" w:right="720" w:hanging="360"/>
    </w:pPr>
    <w:rPr>
      <w:rFonts w:eastAsia="Times New Roman"/>
      <w:szCs w:val="24"/>
    </w:rPr>
  </w:style>
  <w:style w:type="paragraph" w:customStyle="1" w:styleId="BADraft">
    <w:name w:val="BA Draft"/>
    <w:basedOn w:val="BodyText"/>
    <w:qFormat/>
    <w:rsid w:val="00A253C1"/>
    <w:pPr>
      <w:keepLines/>
      <w:widowControl w:val="0"/>
      <w:spacing w:after="0" w:line="240" w:lineRule="auto"/>
    </w:pPr>
    <w:rPr>
      <w:rFonts w:eastAsia="Times New Roman"/>
      <w:szCs w:val="24"/>
    </w:rPr>
  </w:style>
  <w:style w:type="paragraph" w:customStyle="1" w:styleId="BATOATitle">
    <w:name w:val="BA TOA Title"/>
    <w:basedOn w:val="Normal"/>
    <w:qFormat/>
    <w:rsid w:val="00A253C1"/>
    <w:pPr>
      <w:keepNext/>
      <w:spacing w:before="120" w:after="240" w:line="240" w:lineRule="auto"/>
      <w:jc w:val="center"/>
    </w:pPr>
    <w:rPr>
      <w:rFonts w:eastAsia="Times New Roman"/>
      <w:b/>
      <w:caps/>
      <w:szCs w:val="24"/>
      <w:u w:val="single"/>
    </w:rPr>
  </w:style>
  <w:style w:type="paragraph" w:styleId="Footer">
    <w:name w:val="footer"/>
    <w:basedOn w:val="Normal"/>
    <w:link w:val="FooterChar"/>
    <w:uiPriority w:val="99"/>
    <w:unhideWhenUsed/>
    <w:rsid w:val="00A253C1"/>
    <w:pPr>
      <w:tabs>
        <w:tab w:val="center" w:pos="4680"/>
        <w:tab w:val="right" w:pos="9360"/>
      </w:tabs>
      <w:spacing w:line="240" w:lineRule="auto"/>
    </w:pPr>
  </w:style>
  <w:style w:type="paragraph" w:styleId="FootnoteText">
    <w:name w:val="footnote text"/>
    <w:basedOn w:val="Normal"/>
    <w:link w:val="FootnoteTextChar"/>
    <w:uiPriority w:val="99"/>
    <w:semiHidden/>
    <w:unhideWhenUsed/>
    <w:rsid w:val="00653823"/>
    <w:pPr>
      <w:spacing w:line="240" w:lineRule="auto"/>
    </w:pPr>
    <w:rPr>
      <w:sz w:val="20"/>
      <w:szCs w:val="20"/>
    </w:rPr>
  </w:style>
  <w:style w:type="paragraph" w:customStyle="1" w:styleId="FrameContents">
    <w:name w:val="Frame Contents"/>
    <w:basedOn w:val="Normal"/>
    <w:qFormat/>
  </w:style>
  <w:style w:type="character" w:styleId="FootnoteReference">
    <w:name w:val="footnote reference"/>
    <w:basedOn w:val="DefaultParagraphFont"/>
    <w:uiPriority w:val="99"/>
    <w:semiHidden/>
    <w:unhideWhenUsed/>
    <w:rsid w:val="006009A3"/>
    <w:rPr>
      <w:vertAlign w:val="superscript"/>
    </w:rPr>
  </w:style>
  <w:style w:type="character" w:styleId="Hyperlink">
    <w:name w:val="Hyperlink"/>
    <w:basedOn w:val="DefaultParagraphFont"/>
    <w:uiPriority w:val="99"/>
    <w:locked/>
    <w:rsid w:val="009B5456"/>
    <w:rPr>
      <w:color w:val="0000FF" w:themeColor="hyperlink"/>
      <w:u w:val="single"/>
    </w:rPr>
  </w:style>
  <w:style w:type="character" w:styleId="UnresolvedMention">
    <w:name w:val="Unresolved Mention"/>
    <w:basedOn w:val="DefaultParagraphFont"/>
    <w:uiPriority w:val="99"/>
    <w:semiHidden/>
    <w:unhideWhenUsed/>
    <w:rsid w:val="009B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brien@ncdoj.gov" TargetMode="External"/><Relationship Id="rId4" Type="http://schemas.openxmlformats.org/officeDocument/2006/relationships/settings" Target="settings.xml"/><Relationship Id="rId9" Type="http://schemas.openxmlformats.org/officeDocument/2006/relationships/hyperlink" Target="mailto:sarah@holladayla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01D6-9159-404E-A6F3-8FA3E3EC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dc:description/>
  <cp:lastModifiedBy>Gomez, Anne M.</cp:lastModifiedBy>
  <cp:revision>2</cp:revision>
  <cp:lastPrinted>2022-01-05T23:04:00Z</cp:lastPrinted>
  <dcterms:created xsi:type="dcterms:W3CDTF">2022-01-06T20:42:00Z</dcterms:created>
  <dcterms:modified xsi:type="dcterms:W3CDTF">2022-01-06T20:42:00Z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_CurrentTOAMode">
    <vt:lpwstr>BA Mode</vt:lpwstr>
  </property>
  <property fmtid="{D5CDD505-2E9C-101B-9397-08002B2CF9AE}" pid="4" name="BA_LastBuildDate">
    <vt:lpwstr>01/30/2014 11:43 AM</vt:lpwstr>
  </property>
  <property fmtid="{D5CDD505-2E9C-101B-9397-08002B2CF9AE}" pid="5" name="BA_LastScanDate">
    <vt:lpwstr>01/30/2014 11:43 AM</vt:lpwstr>
  </property>
  <property fmtid="{D5CDD505-2E9C-101B-9397-08002B2CF9AE}" pid="6" name="BA_LastScanVersion">
    <vt:lpwstr>02.07.0028</vt:lpwstr>
  </property>
  <property fmtid="{D5CDD505-2E9C-101B-9397-08002B2CF9AE}" pid="7" name="BA_LastSessionVersion">
    <vt:lpwstr>02.07.0300</vt:lpwstr>
  </property>
  <property fmtid="{D5CDD505-2E9C-101B-9397-08002B2CF9AE}" pid="8" name="BA_SchemeName">
    <vt:lpwstr>Sample Common</vt:lpwstr>
  </property>
  <property fmtid="{D5CDD505-2E9C-101B-9397-08002B2CF9AE}" pid="9" name="Company">
    <vt:lpwstr>Microsoft</vt:lpwstr>
  </property>
  <property fmtid="{D5CDD505-2E9C-101B-9397-08002B2CF9AE}" pid="10" name="DocSecurity">
    <vt:i4>0</vt:i4>
  </property>
  <property fmtid="{D5CDD505-2E9C-101B-9397-08002B2CF9AE}" pid="11" name="HyperlinksChanged">
    <vt:bool>false</vt:bool>
  </property>
  <property fmtid="{D5CDD505-2E9C-101B-9397-08002B2CF9AE}" pid="12" name="LinksUpToDate">
    <vt:bool>false</vt:bool>
  </property>
  <property fmtid="{D5CDD505-2E9C-101B-9397-08002B2CF9AE}" pid="13" name="ScaleCrop">
    <vt:bool>false</vt:bool>
  </property>
  <property fmtid="{D5CDD505-2E9C-101B-9397-08002B2CF9AE}" pid="14" name="ShareDoc">
    <vt:bool>false</vt:bool>
  </property>
</Properties>
</file>