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9F86" w14:textId="360F5DB7" w:rsidR="007B0F13" w:rsidRPr="0057700D" w:rsidRDefault="007B0F13" w:rsidP="007B0F13">
      <w:pPr>
        <w:autoSpaceDE w:val="0"/>
        <w:autoSpaceDN w:val="0"/>
        <w:adjustRightInd w:val="0"/>
        <w:spacing w:after="0" w:line="240" w:lineRule="auto"/>
        <w:rPr>
          <w:rFonts w:ascii="Century Schoolbook" w:eastAsia="Calibri" w:hAnsi="Century Schoolbook" w:cs="Times New Roman"/>
          <w:sz w:val="26"/>
          <w:szCs w:val="26"/>
        </w:rPr>
      </w:pPr>
      <w:r w:rsidRPr="00D04662">
        <w:rPr>
          <w:rFonts w:ascii="Century Schoolbook" w:eastAsia="Calibri" w:hAnsi="Century Schoolbook" w:cs="Times New Roman"/>
          <w:sz w:val="26"/>
          <w:szCs w:val="26"/>
        </w:rPr>
        <w:t>No.</w:t>
      </w:r>
      <w:r w:rsidR="003E5DF4" w:rsidRPr="00D04662">
        <w:rPr>
          <w:rFonts w:ascii="Century Schoolbook" w:eastAsia="Calibri" w:hAnsi="Century Schoolbook" w:cs="Times New Roman"/>
          <w:sz w:val="26"/>
          <w:szCs w:val="26"/>
        </w:rPr>
        <w:t xml:space="preserve"> 197PA20-2</w:t>
      </w:r>
      <w:r w:rsidR="003E5DF4" w:rsidRPr="00D04662">
        <w:rPr>
          <w:rFonts w:ascii="Century Schoolbook" w:eastAsia="Calibri" w:hAnsi="Century Schoolbook" w:cs="Times New Roman"/>
          <w:sz w:val="26"/>
          <w:szCs w:val="26"/>
        </w:rPr>
        <w:tab/>
      </w:r>
      <w:r w:rsidRPr="00D04662">
        <w:rPr>
          <w:rFonts w:ascii="Century Schoolbook" w:eastAsia="Calibri" w:hAnsi="Century Schoolbook" w:cs="Times New Roman"/>
          <w:sz w:val="26"/>
          <w:szCs w:val="26"/>
        </w:rPr>
        <w:tab/>
      </w:r>
      <w:r w:rsidRPr="00D04662">
        <w:rPr>
          <w:rFonts w:ascii="Century Schoolbook" w:eastAsia="Calibri" w:hAnsi="Century Schoolbook" w:cs="Times New Roman"/>
          <w:sz w:val="26"/>
          <w:szCs w:val="26"/>
        </w:rPr>
        <w:tab/>
      </w:r>
      <w:r w:rsidRPr="00D04662">
        <w:rPr>
          <w:rFonts w:ascii="Century Schoolbook" w:eastAsia="Calibri" w:hAnsi="Century Schoolbook" w:cs="Times New Roman"/>
          <w:sz w:val="26"/>
          <w:szCs w:val="26"/>
        </w:rPr>
        <w:tab/>
      </w:r>
      <w:r w:rsidRPr="00D04662">
        <w:rPr>
          <w:rFonts w:ascii="Century Schoolbook" w:eastAsia="Calibri" w:hAnsi="Century Schoolbook" w:cs="Times New Roman"/>
          <w:sz w:val="26"/>
          <w:szCs w:val="26"/>
        </w:rPr>
        <w:tab/>
      </w:r>
      <w:r w:rsidRPr="00D04662">
        <w:rPr>
          <w:rFonts w:ascii="Century Schoolbook" w:eastAsia="Calibri" w:hAnsi="Century Schoolbook" w:cs="Times New Roman"/>
          <w:sz w:val="26"/>
          <w:szCs w:val="26"/>
        </w:rPr>
        <w:tab/>
      </w:r>
      <w:r w:rsidRPr="0057700D">
        <w:rPr>
          <w:rFonts w:ascii="Century Schoolbook" w:eastAsia="Calibri" w:hAnsi="Century Schoolbook" w:cs="Times New Roman"/>
          <w:sz w:val="26"/>
          <w:szCs w:val="26"/>
        </w:rPr>
        <w:tab/>
      </w:r>
      <w:r w:rsidRPr="0057700D">
        <w:rPr>
          <w:rFonts w:ascii="Century Schoolbook" w:eastAsia="Calibri" w:hAnsi="Century Schoolbook" w:cs="Times New Roman"/>
          <w:sz w:val="26"/>
          <w:szCs w:val="26"/>
        </w:rPr>
        <w:tab/>
        <w:t>DISTRICT 10</w:t>
      </w:r>
    </w:p>
    <w:p w14:paraId="3A3AB4D1" w14:textId="77777777" w:rsidR="007B0F13" w:rsidRPr="0057700D" w:rsidRDefault="007B0F13" w:rsidP="007B0F13">
      <w:pPr>
        <w:autoSpaceDE w:val="0"/>
        <w:autoSpaceDN w:val="0"/>
        <w:adjustRightInd w:val="0"/>
        <w:spacing w:after="0" w:line="240" w:lineRule="auto"/>
        <w:rPr>
          <w:rFonts w:ascii="Century Schoolbook" w:eastAsia="Calibri" w:hAnsi="Century Schoolbook" w:cs="Times New Roman"/>
          <w:sz w:val="26"/>
          <w:szCs w:val="26"/>
        </w:rPr>
      </w:pPr>
    </w:p>
    <w:p w14:paraId="7937874B" w14:textId="4D3956C4" w:rsidR="007B0F13" w:rsidRPr="0057700D" w:rsidRDefault="007B0F13" w:rsidP="007B0F13">
      <w:pPr>
        <w:autoSpaceDE w:val="0"/>
        <w:autoSpaceDN w:val="0"/>
        <w:adjustRightInd w:val="0"/>
        <w:spacing w:after="0" w:line="240" w:lineRule="auto"/>
        <w:jc w:val="center"/>
        <w:rPr>
          <w:rFonts w:ascii="Century Schoolbook" w:eastAsia="Calibri" w:hAnsi="Century Schoolbook" w:cs="Times New Roman"/>
          <w:sz w:val="26"/>
          <w:szCs w:val="26"/>
        </w:rPr>
      </w:pPr>
    </w:p>
    <w:p w14:paraId="2BC2825C" w14:textId="77777777" w:rsidR="00934651" w:rsidRPr="0057700D" w:rsidRDefault="00934651" w:rsidP="007B0F13">
      <w:pPr>
        <w:autoSpaceDE w:val="0"/>
        <w:autoSpaceDN w:val="0"/>
        <w:adjustRightInd w:val="0"/>
        <w:spacing w:after="0" w:line="240" w:lineRule="auto"/>
        <w:jc w:val="center"/>
        <w:rPr>
          <w:rFonts w:ascii="Century Schoolbook" w:eastAsia="Calibri" w:hAnsi="Century Schoolbook" w:cs="Times New Roman"/>
          <w:sz w:val="26"/>
          <w:szCs w:val="26"/>
        </w:rPr>
      </w:pPr>
    </w:p>
    <w:p w14:paraId="624E527D" w14:textId="77777777" w:rsidR="007B0F13" w:rsidRPr="0057700D" w:rsidRDefault="007B0F13" w:rsidP="007B0F13">
      <w:pPr>
        <w:autoSpaceDE w:val="0"/>
        <w:autoSpaceDN w:val="0"/>
        <w:adjustRightInd w:val="0"/>
        <w:spacing w:after="0" w:line="240" w:lineRule="auto"/>
        <w:jc w:val="center"/>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SUPREME COURT OF NORTH CAROLINA</w:t>
      </w:r>
    </w:p>
    <w:p w14:paraId="71BF6431" w14:textId="77777777" w:rsidR="007B0F13" w:rsidRPr="0057700D" w:rsidRDefault="007B0F13" w:rsidP="007B0F13">
      <w:pPr>
        <w:autoSpaceDE w:val="0"/>
        <w:autoSpaceDN w:val="0"/>
        <w:adjustRightInd w:val="0"/>
        <w:spacing w:after="0" w:line="240" w:lineRule="auto"/>
        <w:jc w:val="center"/>
        <w:rPr>
          <w:rFonts w:ascii="Century Schoolbook" w:eastAsia="Calibri" w:hAnsi="Century Schoolbook" w:cs="Times New Roman"/>
          <w:sz w:val="26"/>
          <w:szCs w:val="26"/>
        </w:rPr>
      </w:pPr>
    </w:p>
    <w:p w14:paraId="5673A363" w14:textId="77777777" w:rsidR="007B0F13" w:rsidRPr="0057700D" w:rsidRDefault="007B0F13" w:rsidP="007B0F13">
      <w:pPr>
        <w:spacing w:after="0" w:line="240" w:lineRule="auto"/>
        <w:jc w:val="center"/>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 * * * * * * * * * * * * * * * * * * * * * * * * * * * * *</w:t>
      </w:r>
    </w:p>
    <w:p w14:paraId="2D4FE2E9" w14:textId="77777777" w:rsidR="007B0F13" w:rsidRPr="0057700D" w:rsidRDefault="007B0F13" w:rsidP="007B0F13">
      <w:pPr>
        <w:spacing w:after="0" w:line="240" w:lineRule="auto"/>
        <w:rPr>
          <w:rFonts w:ascii="Century Schoolbook" w:eastAsia="Times New Roman" w:hAnsi="Century Schoolbook" w:cs="Times New Roman"/>
          <w:sz w:val="26"/>
          <w:szCs w:val="26"/>
        </w:rPr>
      </w:pPr>
    </w:p>
    <w:p w14:paraId="6CC0C53B" w14:textId="193D9D2C" w:rsidR="007B0F13" w:rsidRPr="0057700D" w:rsidRDefault="007B0F13" w:rsidP="0057700D">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 xml:space="preserve">STATE OF NORTH CAROLINA   </w:t>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t>)</w:t>
      </w:r>
      <w:r w:rsidRPr="0057700D">
        <w:rPr>
          <w:rFonts w:ascii="Century Schoolbook" w:eastAsia="Times New Roman" w:hAnsi="Century Schoolbook" w:cs="Times New Roman"/>
          <w:sz w:val="26"/>
          <w:szCs w:val="26"/>
        </w:rPr>
        <w:tab/>
      </w:r>
      <w:r w:rsidR="0057700D">
        <w:rPr>
          <w:rFonts w:ascii="Century Schoolbook" w:eastAsia="Times New Roman" w:hAnsi="Century Schoolbook" w:cs="Times New Roman"/>
          <w:sz w:val="26"/>
          <w:szCs w:val="26"/>
        </w:rPr>
        <w:tab/>
      </w:r>
    </w:p>
    <w:p w14:paraId="3A5B584D" w14:textId="77777777" w:rsidR="007B0F13" w:rsidRPr="0057700D" w:rsidRDefault="007B0F13" w:rsidP="007B0F13">
      <w:pPr>
        <w:spacing w:after="0" w:line="240" w:lineRule="auto"/>
        <w:ind w:left="4320"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w:t>
      </w:r>
    </w:p>
    <w:p w14:paraId="5D576327" w14:textId="77777777" w:rsidR="007B0F13" w:rsidRPr="0057700D" w:rsidRDefault="007B0F13" w:rsidP="007B0F13">
      <w:pPr>
        <w:spacing w:after="0" w:line="240" w:lineRule="auto"/>
        <w:ind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v.</w:t>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t>)</w:t>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u w:val="single"/>
        </w:rPr>
        <w:t>From Wake County</w:t>
      </w:r>
    </w:p>
    <w:p w14:paraId="7C83BF8F" w14:textId="77777777" w:rsidR="007B0F13" w:rsidRPr="0057700D" w:rsidRDefault="007B0F13" w:rsidP="007B0F13">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t>)</w:t>
      </w:r>
      <w:r w:rsidRPr="0057700D">
        <w:rPr>
          <w:rFonts w:ascii="Century Schoolbook" w:eastAsia="Times New Roman" w:hAnsi="Century Schoolbook" w:cs="Times New Roman"/>
          <w:sz w:val="26"/>
          <w:szCs w:val="26"/>
        </w:rPr>
        <w:tab/>
      </w:r>
    </w:p>
    <w:p w14:paraId="6558BC78" w14:textId="526EC6AB" w:rsidR="007B0F13" w:rsidRPr="0057700D" w:rsidRDefault="007B0F13" w:rsidP="007B0F13">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JEREMY JOHNSON</w:t>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t>)</w:t>
      </w:r>
      <w:r w:rsidRPr="0057700D">
        <w:rPr>
          <w:rFonts w:ascii="Century Schoolbook" w:eastAsia="Times New Roman" w:hAnsi="Century Schoolbook" w:cs="Times New Roman"/>
          <w:spacing w:val="-5"/>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p>
    <w:p w14:paraId="18433A9D" w14:textId="77777777" w:rsidR="007B0F13" w:rsidRPr="0057700D" w:rsidRDefault="007B0F13" w:rsidP="007B0F13">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p>
    <w:p w14:paraId="662C458A" w14:textId="77777777" w:rsidR="007B0F13" w:rsidRPr="0057700D" w:rsidRDefault="007B0F13" w:rsidP="007B0F13">
      <w:pPr>
        <w:spacing w:after="0" w:line="240" w:lineRule="auto"/>
        <w:rPr>
          <w:rFonts w:ascii="Century Schoolbook" w:eastAsia="Calibri" w:hAnsi="Century Schoolbook" w:cs="Times New Roman"/>
          <w:sz w:val="26"/>
          <w:szCs w:val="26"/>
        </w:rPr>
      </w:pPr>
    </w:p>
    <w:p w14:paraId="4B74BB4A" w14:textId="77777777" w:rsidR="007B0F13" w:rsidRPr="0057700D" w:rsidRDefault="007B0F13" w:rsidP="007B0F13">
      <w:pPr>
        <w:spacing w:after="0" w:line="240" w:lineRule="auto"/>
        <w:jc w:val="center"/>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 * * * * * * * * * * * * * * * * * * * * * * * * * * * *</w:t>
      </w:r>
    </w:p>
    <w:p w14:paraId="5841DEE5" w14:textId="77777777" w:rsidR="007B0F13" w:rsidRPr="0057700D" w:rsidRDefault="007B0F13" w:rsidP="007B0F13">
      <w:pPr>
        <w:spacing w:after="0" w:line="240" w:lineRule="auto"/>
        <w:jc w:val="center"/>
        <w:rPr>
          <w:rFonts w:ascii="Century Schoolbook" w:eastAsia="Calibri" w:hAnsi="Century Schoolbook" w:cs="Times New Roman"/>
          <w:sz w:val="26"/>
          <w:szCs w:val="26"/>
        </w:rPr>
      </w:pPr>
    </w:p>
    <w:p w14:paraId="0EB93D55" w14:textId="6465818E" w:rsidR="007B0F13" w:rsidRPr="0057700D" w:rsidRDefault="003C232B" w:rsidP="007B0F13">
      <w:pPr>
        <w:spacing w:after="0" w:line="240" w:lineRule="auto"/>
        <w:jc w:val="center"/>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DEFENDANT-APPELLANT’S NEW BRIEF </w:t>
      </w:r>
      <w:r w:rsidR="007B0F13" w:rsidRPr="0057700D">
        <w:rPr>
          <w:rFonts w:ascii="Calibri" w:eastAsia="Calibri" w:hAnsi="Calibri" w:cs="Times New Roman"/>
        </w:rPr>
        <w:t xml:space="preserve"> </w:t>
      </w:r>
    </w:p>
    <w:p w14:paraId="7372B021" w14:textId="77777777" w:rsidR="007B0F13" w:rsidRPr="0057700D" w:rsidRDefault="007B0F13" w:rsidP="007B0F13">
      <w:pPr>
        <w:spacing w:after="0" w:line="240" w:lineRule="auto"/>
        <w:jc w:val="center"/>
        <w:rPr>
          <w:rFonts w:ascii="Century Schoolbook" w:eastAsia="Calibri" w:hAnsi="Century Schoolbook" w:cs="Times New Roman"/>
          <w:sz w:val="26"/>
          <w:szCs w:val="26"/>
        </w:rPr>
      </w:pPr>
    </w:p>
    <w:p w14:paraId="11DBE26B" w14:textId="77777777" w:rsidR="007B0F13" w:rsidRPr="0057700D" w:rsidRDefault="007B0F13" w:rsidP="007B0F13">
      <w:pPr>
        <w:spacing w:after="0" w:line="240" w:lineRule="auto"/>
        <w:jc w:val="center"/>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 * * * * * * * * * * * * * * * * * * * * * * * * * * * *</w:t>
      </w:r>
    </w:p>
    <w:p w14:paraId="3B89E33C" w14:textId="77777777" w:rsidR="007B0F13" w:rsidRPr="0057700D" w:rsidRDefault="007B0F13" w:rsidP="007B0F13">
      <w:pPr>
        <w:autoSpaceDE w:val="0"/>
        <w:autoSpaceDN w:val="0"/>
        <w:adjustRightInd w:val="0"/>
        <w:spacing w:after="0" w:line="240" w:lineRule="auto"/>
        <w:rPr>
          <w:rFonts w:ascii="Century Schoolbook" w:eastAsia="Calibri" w:hAnsi="Century Schoolbook" w:cs="Times New Roman"/>
          <w:sz w:val="26"/>
          <w:szCs w:val="26"/>
        </w:rPr>
        <w:sectPr w:rsidR="007B0F13" w:rsidRPr="0057700D" w:rsidSect="00835CEF">
          <w:headerReference w:type="default" r:id="rId8"/>
          <w:footerReference w:type="default" r:id="rId9"/>
          <w:headerReference w:type="first" r:id="rId10"/>
          <w:pgSz w:w="12240" w:h="15840"/>
          <w:pgMar w:top="1440" w:right="1440" w:bottom="1440" w:left="1440" w:header="720" w:footer="720" w:gutter="0"/>
          <w:pgNumType w:fmt="numberInDash" w:start="1"/>
          <w:cols w:space="720"/>
          <w:titlePg/>
          <w:docGrid w:linePitch="360"/>
        </w:sectPr>
      </w:pPr>
    </w:p>
    <w:p w14:paraId="33DF4FC3" w14:textId="77777777" w:rsidR="007B0F13" w:rsidRPr="0057700D" w:rsidRDefault="007B0F13" w:rsidP="007B0F13">
      <w:pPr>
        <w:autoSpaceDE w:val="0"/>
        <w:autoSpaceDN w:val="0"/>
        <w:adjustRightInd w:val="0"/>
        <w:spacing w:after="0" w:line="240" w:lineRule="auto"/>
        <w:jc w:val="center"/>
        <w:rPr>
          <w:rFonts w:ascii="Century Schoolbook" w:eastAsia="Calibri" w:hAnsi="Century Schoolbook" w:cs="Times New Roman"/>
          <w:b/>
          <w:bCs/>
          <w:sz w:val="26"/>
          <w:szCs w:val="26"/>
          <w:u w:val="single"/>
        </w:rPr>
      </w:pPr>
      <w:r w:rsidRPr="0057700D">
        <w:rPr>
          <w:rFonts w:ascii="Century Schoolbook" w:eastAsia="Calibri" w:hAnsi="Century Schoolbook" w:cs="Times New Roman"/>
          <w:b/>
          <w:bCs/>
          <w:sz w:val="26"/>
          <w:szCs w:val="26"/>
          <w:u w:val="single"/>
        </w:rPr>
        <w:lastRenderedPageBreak/>
        <w:t>INDEX</w:t>
      </w:r>
    </w:p>
    <w:p w14:paraId="1903B2F3" w14:textId="77777777" w:rsidR="007B0F13" w:rsidRPr="0057700D" w:rsidRDefault="007B0F13" w:rsidP="007B0F13">
      <w:pPr>
        <w:autoSpaceDE w:val="0"/>
        <w:autoSpaceDN w:val="0"/>
        <w:adjustRightInd w:val="0"/>
        <w:spacing w:after="0" w:line="240" w:lineRule="auto"/>
        <w:jc w:val="center"/>
        <w:rPr>
          <w:rFonts w:ascii="Century Schoolbook" w:eastAsia="Calibri" w:hAnsi="Century Schoolbook" w:cs="Times New Roman"/>
          <w:sz w:val="26"/>
          <w:szCs w:val="26"/>
        </w:rPr>
      </w:pPr>
    </w:p>
    <w:p w14:paraId="3DF4D637" w14:textId="2C30830C" w:rsidR="007B0F13" w:rsidRPr="0057700D" w:rsidRDefault="007B0F13"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TABLE OF AUTHORITIES</w:t>
      </w:r>
      <w:r w:rsidRPr="0057700D">
        <w:rPr>
          <w:rFonts w:ascii="Century Schoolbook" w:eastAsia="Calibri" w:hAnsi="Century Schoolbook" w:cs="Times New Roman"/>
          <w:sz w:val="26"/>
          <w:szCs w:val="26"/>
        </w:rPr>
        <w:tab/>
        <w:t>ii</w:t>
      </w:r>
      <w:r w:rsidR="00BC575A" w:rsidRPr="0057700D">
        <w:rPr>
          <w:rFonts w:ascii="Century Schoolbook" w:eastAsia="Calibri" w:hAnsi="Century Schoolbook" w:cs="Times New Roman"/>
          <w:sz w:val="26"/>
          <w:szCs w:val="26"/>
        </w:rPr>
        <w:t>i</w:t>
      </w:r>
    </w:p>
    <w:p w14:paraId="74CACFD3" w14:textId="77777777" w:rsidR="007B0F13" w:rsidRPr="0057700D" w:rsidRDefault="007B0F13"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p>
    <w:p w14:paraId="5425CFBB" w14:textId="0C86B5C1" w:rsidR="007B0F13" w:rsidRPr="0057700D" w:rsidRDefault="003D2C49"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ISSUE PRESENTED</w:t>
      </w:r>
      <w:r w:rsidRPr="0057700D">
        <w:rPr>
          <w:rFonts w:ascii="Century Schoolbook" w:eastAsia="Calibri" w:hAnsi="Century Schoolbook" w:cs="Times New Roman"/>
          <w:sz w:val="26"/>
          <w:szCs w:val="26"/>
        </w:rPr>
        <w:tab/>
        <w:t>1</w:t>
      </w:r>
    </w:p>
    <w:p w14:paraId="401E5F56" w14:textId="683C38E3" w:rsidR="003D2C49" w:rsidRPr="0057700D" w:rsidRDefault="003D2C49"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p>
    <w:p w14:paraId="695F43B7" w14:textId="26F75A5F" w:rsidR="003D2C49" w:rsidRPr="0057700D" w:rsidRDefault="003D2C49"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STATEMENT OF THE CASE</w:t>
      </w:r>
      <w:r w:rsidRPr="0057700D">
        <w:rPr>
          <w:rFonts w:ascii="Century Schoolbook" w:eastAsia="Calibri" w:hAnsi="Century Schoolbook" w:cs="Times New Roman"/>
          <w:sz w:val="26"/>
          <w:szCs w:val="26"/>
        </w:rPr>
        <w:tab/>
        <w:t>2</w:t>
      </w:r>
    </w:p>
    <w:p w14:paraId="7A52BD42" w14:textId="53338982" w:rsidR="003D2C49" w:rsidRPr="0057700D" w:rsidRDefault="003D2C49"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p>
    <w:p w14:paraId="4C20FCE9" w14:textId="77777777" w:rsidR="00E76E60" w:rsidRPr="0057700D" w:rsidRDefault="003D2C49"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STATEMENT OF GROUNDS FOR APPELLATE </w:t>
      </w:r>
    </w:p>
    <w:p w14:paraId="7B2F15DE" w14:textId="28934E2A" w:rsidR="003D2C49" w:rsidRPr="0057700D" w:rsidRDefault="003D2C49"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REVIEW</w:t>
      </w:r>
      <w:r w:rsidRPr="0057700D">
        <w:rPr>
          <w:rFonts w:ascii="Century Schoolbook" w:eastAsia="Calibri" w:hAnsi="Century Schoolbook" w:cs="Times New Roman"/>
          <w:sz w:val="26"/>
          <w:szCs w:val="26"/>
        </w:rPr>
        <w:tab/>
      </w:r>
      <w:r w:rsidR="00E76E60" w:rsidRPr="0057700D">
        <w:rPr>
          <w:rFonts w:ascii="Century Schoolbook" w:eastAsia="Calibri" w:hAnsi="Century Schoolbook" w:cs="Times New Roman"/>
          <w:sz w:val="26"/>
          <w:szCs w:val="26"/>
        </w:rPr>
        <w:t>3</w:t>
      </w:r>
    </w:p>
    <w:p w14:paraId="295C9C93" w14:textId="60EF8BBE" w:rsidR="003D2C49" w:rsidRPr="0057700D" w:rsidRDefault="003D2C49"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p>
    <w:p w14:paraId="60D0D7C8" w14:textId="2DFB346A" w:rsidR="003D2C49" w:rsidRPr="0057700D" w:rsidRDefault="003D2C49"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STATEMENT OF FACTS</w:t>
      </w:r>
      <w:r w:rsidRPr="0057700D">
        <w:rPr>
          <w:rFonts w:ascii="Century Schoolbook" w:eastAsia="Calibri" w:hAnsi="Century Schoolbook" w:cs="Times New Roman"/>
          <w:sz w:val="26"/>
          <w:szCs w:val="26"/>
        </w:rPr>
        <w:tab/>
        <w:t>3</w:t>
      </w:r>
    </w:p>
    <w:p w14:paraId="19169795" w14:textId="12C1F723" w:rsidR="002E0D30" w:rsidRPr="0057700D" w:rsidRDefault="002E0D30"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p>
    <w:p w14:paraId="1E78A03F" w14:textId="66E630C2" w:rsidR="002E0D30" w:rsidRPr="0057700D" w:rsidRDefault="002E0D30" w:rsidP="002E0D30">
      <w:pPr>
        <w:tabs>
          <w:tab w:val="right" w:leader="dot" w:pos="7200"/>
        </w:tabs>
        <w:autoSpaceDE w:val="0"/>
        <w:autoSpaceDN w:val="0"/>
        <w:adjustRightInd w:val="0"/>
        <w:spacing w:after="0" w:line="240" w:lineRule="auto"/>
        <w:ind w:left="806" w:right="720" w:hanging="806"/>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ARGUMENT</w:t>
      </w:r>
      <w:r w:rsidRPr="0057700D">
        <w:rPr>
          <w:rFonts w:ascii="Century Schoolbook" w:eastAsia="Calibri" w:hAnsi="Century Schoolbook" w:cs="Times New Roman"/>
          <w:sz w:val="26"/>
          <w:szCs w:val="26"/>
        </w:rPr>
        <w:tab/>
        <w:t>10</w:t>
      </w:r>
    </w:p>
    <w:p w14:paraId="5C822726" w14:textId="0824CA21" w:rsidR="002E0D30" w:rsidRPr="0057700D" w:rsidRDefault="002E0D30" w:rsidP="002E0D30">
      <w:pPr>
        <w:tabs>
          <w:tab w:val="right" w:leader="dot" w:pos="7200"/>
        </w:tabs>
        <w:autoSpaceDE w:val="0"/>
        <w:autoSpaceDN w:val="0"/>
        <w:adjustRightInd w:val="0"/>
        <w:spacing w:after="0" w:line="240" w:lineRule="auto"/>
        <w:ind w:left="806" w:right="720" w:hanging="806"/>
        <w:rPr>
          <w:rFonts w:ascii="Century Schoolbook" w:eastAsia="Calibri" w:hAnsi="Century Schoolbook" w:cs="Times New Roman"/>
          <w:sz w:val="26"/>
          <w:szCs w:val="26"/>
        </w:rPr>
      </w:pPr>
    </w:p>
    <w:p w14:paraId="7F2B1750" w14:textId="38FB01B8" w:rsidR="002E0D30" w:rsidRPr="0057700D" w:rsidRDefault="002E0D30" w:rsidP="002E0D30">
      <w:pPr>
        <w:tabs>
          <w:tab w:val="right" w:leader="dot" w:pos="7200"/>
        </w:tabs>
        <w:autoSpaceDE w:val="0"/>
        <w:autoSpaceDN w:val="0"/>
        <w:adjustRightInd w:val="0"/>
        <w:spacing w:after="0" w:line="240" w:lineRule="auto"/>
        <w:ind w:left="1440" w:right="720" w:hanging="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I.</w:t>
      </w:r>
      <w:r w:rsidRPr="0057700D">
        <w:rPr>
          <w:rFonts w:ascii="Century Schoolbook" w:eastAsia="Calibri" w:hAnsi="Century Schoolbook" w:cs="Times New Roman"/>
          <w:sz w:val="26"/>
          <w:szCs w:val="26"/>
        </w:rPr>
        <w:tab/>
      </w:r>
      <w:r w:rsidR="00C16DA0" w:rsidRPr="0057700D">
        <w:rPr>
          <w:rFonts w:ascii="Century Schoolbook" w:eastAsia="Calibri" w:hAnsi="Century Schoolbook" w:cs="Times New Roman"/>
          <w:sz w:val="26"/>
          <w:szCs w:val="26"/>
        </w:rPr>
        <w:t>Mr. Johnson presented a prima facie case of discrimination.  Because the State failed to offer a race-neutral explanation, the equal protection violation was established</w:t>
      </w:r>
      <w:r w:rsidRPr="0057700D">
        <w:rPr>
          <w:rFonts w:ascii="Century Schoolbook" w:eastAsia="Calibri" w:hAnsi="Century Schoolbook" w:cs="Times New Roman"/>
          <w:sz w:val="26"/>
          <w:szCs w:val="26"/>
        </w:rPr>
        <w:tab/>
        <w:t xml:space="preserve"> 10</w:t>
      </w:r>
    </w:p>
    <w:p w14:paraId="49596E26" w14:textId="06E37968" w:rsidR="002E0D30" w:rsidRPr="0057700D" w:rsidRDefault="002E0D30" w:rsidP="002E0D30">
      <w:pPr>
        <w:tabs>
          <w:tab w:val="right" w:leader="dot" w:pos="7200"/>
        </w:tabs>
        <w:autoSpaceDE w:val="0"/>
        <w:autoSpaceDN w:val="0"/>
        <w:adjustRightInd w:val="0"/>
        <w:spacing w:after="0" w:line="240" w:lineRule="auto"/>
        <w:ind w:left="1440" w:right="720" w:hanging="720"/>
        <w:rPr>
          <w:rFonts w:ascii="Century Schoolbook" w:eastAsia="Calibri" w:hAnsi="Century Schoolbook" w:cs="Times New Roman"/>
          <w:sz w:val="26"/>
          <w:szCs w:val="26"/>
        </w:rPr>
      </w:pPr>
    </w:p>
    <w:p w14:paraId="5FB536D6" w14:textId="04BD0001" w:rsidR="002E0D30" w:rsidRPr="0057700D" w:rsidRDefault="002E0D30" w:rsidP="002E0D30">
      <w:pPr>
        <w:tabs>
          <w:tab w:val="right" w:leader="dot" w:pos="7200"/>
        </w:tabs>
        <w:autoSpaceDE w:val="0"/>
        <w:autoSpaceDN w:val="0"/>
        <w:adjustRightInd w:val="0"/>
        <w:spacing w:after="0" w:line="240" w:lineRule="auto"/>
        <w:ind w:left="2160" w:right="720" w:hanging="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A.</w:t>
      </w:r>
      <w:r w:rsidRPr="0057700D">
        <w:rPr>
          <w:rFonts w:ascii="Century Schoolbook" w:eastAsia="Calibri" w:hAnsi="Century Schoolbook" w:cs="Times New Roman"/>
          <w:sz w:val="26"/>
          <w:szCs w:val="26"/>
        </w:rPr>
        <w:tab/>
        <w:t>Equal Protection principles</w:t>
      </w:r>
      <w:r w:rsidRPr="0057700D">
        <w:rPr>
          <w:rFonts w:ascii="Century Schoolbook" w:eastAsia="Calibri" w:hAnsi="Century Schoolbook" w:cs="Times New Roman"/>
          <w:sz w:val="26"/>
          <w:szCs w:val="26"/>
        </w:rPr>
        <w:tab/>
        <w:t>11</w:t>
      </w:r>
    </w:p>
    <w:p w14:paraId="61B5DB43" w14:textId="5CC0A43C" w:rsidR="002E0D30" w:rsidRPr="0057700D" w:rsidRDefault="002E0D30" w:rsidP="002E0D30">
      <w:pPr>
        <w:tabs>
          <w:tab w:val="right" w:leader="dot" w:pos="7200"/>
        </w:tabs>
        <w:autoSpaceDE w:val="0"/>
        <w:autoSpaceDN w:val="0"/>
        <w:adjustRightInd w:val="0"/>
        <w:spacing w:after="0" w:line="240" w:lineRule="auto"/>
        <w:ind w:left="2160" w:right="720" w:hanging="720"/>
        <w:rPr>
          <w:rFonts w:ascii="Century Schoolbook" w:eastAsia="Calibri" w:hAnsi="Century Schoolbook" w:cs="Times New Roman"/>
          <w:sz w:val="26"/>
          <w:szCs w:val="26"/>
        </w:rPr>
      </w:pPr>
    </w:p>
    <w:p w14:paraId="65697C45" w14:textId="3437077E" w:rsidR="002E0D30" w:rsidRPr="0057700D" w:rsidRDefault="002E0D30" w:rsidP="002E0D30">
      <w:pPr>
        <w:tabs>
          <w:tab w:val="right" w:leader="dot" w:pos="7200"/>
        </w:tabs>
        <w:autoSpaceDE w:val="0"/>
        <w:autoSpaceDN w:val="0"/>
        <w:adjustRightInd w:val="0"/>
        <w:spacing w:after="0" w:line="240" w:lineRule="auto"/>
        <w:ind w:left="2160" w:right="720" w:hanging="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B.</w:t>
      </w:r>
      <w:r w:rsidRPr="0057700D">
        <w:rPr>
          <w:rFonts w:ascii="Century Schoolbook" w:eastAsia="Calibri" w:hAnsi="Century Schoolbook" w:cs="Times New Roman"/>
          <w:sz w:val="26"/>
          <w:szCs w:val="26"/>
        </w:rPr>
        <w:tab/>
        <w:t>Mr. Johnson met the prima facie requirement</w:t>
      </w:r>
      <w:r w:rsidRPr="0057700D">
        <w:rPr>
          <w:rFonts w:ascii="Century Schoolbook" w:eastAsia="Calibri" w:hAnsi="Century Schoolbook" w:cs="Times New Roman"/>
          <w:sz w:val="26"/>
          <w:szCs w:val="26"/>
        </w:rPr>
        <w:tab/>
        <w:t>14</w:t>
      </w:r>
    </w:p>
    <w:p w14:paraId="3E272C33" w14:textId="7FD7844A" w:rsidR="002E0D30" w:rsidRPr="0057700D" w:rsidRDefault="002E0D30" w:rsidP="002E0D30">
      <w:pPr>
        <w:tabs>
          <w:tab w:val="right" w:leader="dot" w:pos="7200"/>
        </w:tabs>
        <w:autoSpaceDE w:val="0"/>
        <w:autoSpaceDN w:val="0"/>
        <w:adjustRightInd w:val="0"/>
        <w:spacing w:after="0" w:line="240" w:lineRule="auto"/>
        <w:ind w:left="2160" w:right="720" w:hanging="720"/>
        <w:rPr>
          <w:rFonts w:ascii="Century Schoolbook" w:eastAsia="Calibri" w:hAnsi="Century Schoolbook" w:cs="Times New Roman"/>
          <w:sz w:val="26"/>
          <w:szCs w:val="26"/>
        </w:rPr>
      </w:pPr>
    </w:p>
    <w:p w14:paraId="09FB18A7" w14:textId="4303516C" w:rsidR="002E0D30" w:rsidRPr="0057700D" w:rsidRDefault="002E0D3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1.</w:t>
      </w:r>
      <w:r w:rsidRPr="0057700D">
        <w:rPr>
          <w:rFonts w:ascii="Century Schoolbook" w:eastAsia="Calibri" w:hAnsi="Century Schoolbook" w:cs="Times New Roman"/>
          <w:sz w:val="26"/>
          <w:szCs w:val="26"/>
        </w:rPr>
        <w:tab/>
        <w:t>Mr. Johnson’s data was sufficient</w:t>
      </w:r>
      <w:r w:rsidRPr="0057700D">
        <w:rPr>
          <w:rFonts w:ascii="Century Schoolbook" w:eastAsia="Calibri" w:hAnsi="Century Schoolbook" w:cs="Times New Roman"/>
          <w:sz w:val="26"/>
          <w:szCs w:val="26"/>
        </w:rPr>
        <w:tab/>
        <w:t>14</w:t>
      </w:r>
    </w:p>
    <w:p w14:paraId="71577C71" w14:textId="444DDD95" w:rsidR="002E0D30" w:rsidRPr="0057700D" w:rsidRDefault="002E0D3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sz w:val="26"/>
          <w:szCs w:val="26"/>
        </w:rPr>
      </w:pPr>
    </w:p>
    <w:p w14:paraId="7A3A7192" w14:textId="1516CEE0" w:rsidR="002E0D30" w:rsidRPr="0057700D" w:rsidRDefault="002E0D3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2.</w:t>
      </w:r>
      <w:r w:rsidRPr="0057700D">
        <w:rPr>
          <w:rFonts w:ascii="Century Schoolbook" w:eastAsia="Calibri" w:hAnsi="Century Schoolbook" w:cs="Times New Roman"/>
          <w:sz w:val="26"/>
          <w:szCs w:val="26"/>
        </w:rPr>
        <w:tab/>
        <w:t>It is the respondent’s burden to present responsive data</w:t>
      </w:r>
      <w:r w:rsidRPr="0057700D">
        <w:rPr>
          <w:rFonts w:ascii="Century Schoolbook" w:eastAsia="Calibri" w:hAnsi="Century Schoolbook" w:cs="Times New Roman"/>
          <w:sz w:val="26"/>
          <w:szCs w:val="26"/>
        </w:rPr>
        <w:tab/>
        <w:t>17</w:t>
      </w:r>
    </w:p>
    <w:p w14:paraId="270B3454" w14:textId="73E342E5" w:rsidR="002E0D30" w:rsidRPr="0057700D" w:rsidRDefault="002E0D3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sz w:val="26"/>
          <w:szCs w:val="26"/>
        </w:rPr>
      </w:pPr>
    </w:p>
    <w:p w14:paraId="708A36DC" w14:textId="6580E05C" w:rsidR="002E0D30" w:rsidRPr="0057700D" w:rsidRDefault="002E0D3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3.</w:t>
      </w:r>
      <w:r w:rsidRPr="0057700D">
        <w:rPr>
          <w:rFonts w:ascii="Century Schoolbook" w:eastAsia="Calibri" w:hAnsi="Century Schoolbook" w:cs="Times New Roman"/>
          <w:sz w:val="26"/>
          <w:szCs w:val="26"/>
        </w:rPr>
        <w:tab/>
        <w:t xml:space="preserve">The </w:t>
      </w:r>
      <w:r w:rsidRPr="0057700D">
        <w:rPr>
          <w:rFonts w:ascii="Century Schoolbook" w:eastAsia="Calibri" w:hAnsi="Century Schoolbook" w:cs="Times New Roman"/>
          <w:i/>
          <w:iCs/>
          <w:sz w:val="26"/>
          <w:szCs w:val="26"/>
        </w:rPr>
        <w:t>Chavez</w:t>
      </w:r>
      <w:r w:rsidRPr="0057700D">
        <w:rPr>
          <w:rFonts w:ascii="Century Schoolbook" w:eastAsia="Calibri" w:hAnsi="Century Schoolbook" w:cs="Times New Roman"/>
          <w:sz w:val="26"/>
          <w:szCs w:val="26"/>
        </w:rPr>
        <w:t xml:space="preserve"> opinion is inapt</w:t>
      </w:r>
      <w:r w:rsidRPr="0057700D">
        <w:rPr>
          <w:rFonts w:ascii="Century Schoolbook" w:eastAsia="Calibri" w:hAnsi="Century Schoolbook" w:cs="Times New Roman"/>
          <w:sz w:val="26"/>
          <w:szCs w:val="26"/>
        </w:rPr>
        <w:tab/>
        <w:t>18</w:t>
      </w:r>
    </w:p>
    <w:p w14:paraId="1C2C147F" w14:textId="621B1544" w:rsidR="002E0D30" w:rsidRPr="0057700D" w:rsidRDefault="002E0D3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sz w:val="26"/>
          <w:szCs w:val="26"/>
        </w:rPr>
      </w:pPr>
    </w:p>
    <w:p w14:paraId="440BB655" w14:textId="5D74FD33" w:rsidR="002E0D30" w:rsidRPr="0057700D" w:rsidRDefault="002E0D3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4.</w:t>
      </w:r>
      <w:r w:rsidRPr="0057700D">
        <w:rPr>
          <w:rFonts w:ascii="Century Schoolbook" w:eastAsia="Calibri" w:hAnsi="Century Schoolbook" w:cs="Times New Roman"/>
          <w:sz w:val="26"/>
          <w:szCs w:val="26"/>
        </w:rPr>
        <w:tab/>
        <w:t>The panel’s issues with the data were off-base</w:t>
      </w:r>
      <w:r w:rsidRPr="0057700D">
        <w:rPr>
          <w:rFonts w:ascii="Century Schoolbook" w:eastAsia="Calibri" w:hAnsi="Century Schoolbook" w:cs="Times New Roman"/>
          <w:sz w:val="26"/>
          <w:szCs w:val="26"/>
        </w:rPr>
        <w:tab/>
        <w:t>19</w:t>
      </w:r>
    </w:p>
    <w:p w14:paraId="6C22839D" w14:textId="03200212" w:rsidR="002E0D30" w:rsidRPr="0057700D" w:rsidRDefault="002E0D3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sz w:val="26"/>
          <w:szCs w:val="26"/>
        </w:rPr>
      </w:pPr>
    </w:p>
    <w:p w14:paraId="7DFC0C88" w14:textId="6AE51EC2" w:rsidR="002E0D30" w:rsidRPr="0057700D" w:rsidRDefault="002E0D3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bCs/>
          <w:iCs/>
          <w:sz w:val="26"/>
          <w:szCs w:val="26"/>
        </w:rPr>
      </w:pPr>
      <w:r w:rsidRPr="0057700D">
        <w:rPr>
          <w:rFonts w:ascii="Century Schoolbook" w:eastAsia="Calibri" w:hAnsi="Century Schoolbook" w:cs="Times New Roman"/>
          <w:sz w:val="26"/>
          <w:szCs w:val="26"/>
        </w:rPr>
        <w:t>5.</w:t>
      </w:r>
      <w:r w:rsidRPr="0057700D">
        <w:rPr>
          <w:rFonts w:ascii="Century Schoolbook" w:eastAsia="Calibri" w:hAnsi="Century Schoolbook" w:cs="Times New Roman"/>
          <w:sz w:val="26"/>
          <w:szCs w:val="26"/>
        </w:rPr>
        <w:tab/>
      </w:r>
      <w:r w:rsidRPr="0057700D">
        <w:rPr>
          <w:rFonts w:ascii="Century Schoolbook" w:eastAsia="Calibri" w:hAnsi="Century Schoolbook" w:cs="Times New Roman"/>
          <w:bCs/>
          <w:iCs/>
          <w:sz w:val="26"/>
          <w:szCs w:val="26"/>
        </w:rPr>
        <w:t>The statistics supported discriminatory purpose</w:t>
      </w:r>
      <w:r w:rsidRPr="0057700D">
        <w:rPr>
          <w:rFonts w:ascii="Century Schoolbook" w:eastAsia="Calibri" w:hAnsi="Century Schoolbook" w:cs="Times New Roman"/>
          <w:bCs/>
          <w:iCs/>
          <w:sz w:val="26"/>
          <w:szCs w:val="26"/>
        </w:rPr>
        <w:tab/>
        <w:t>22</w:t>
      </w:r>
    </w:p>
    <w:p w14:paraId="72D9F980" w14:textId="2F459B9D" w:rsidR="001F2EB0" w:rsidRPr="0057700D" w:rsidRDefault="001F2EB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bCs/>
          <w:iCs/>
          <w:sz w:val="26"/>
          <w:szCs w:val="26"/>
        </w:rPr>
      </w:pPr>
    </w:p>
    <w:p w14:paraId="1C6F901B" w14:textId="3DD31601" w:rsidR="001F2EB0" w:rsidRPr="0057700D" w:rsidRDefault="001F2EB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sz w:val="26"/>
          <w:szCs w:val="26"/>
        </w:rPr>
      </w:pPr>
      <w:r w:rsidRPr="0057700D">
        <w:rPr>
          <w:rFonts w:ascii="Century Schoolbook" w:eastAsia="Calibri" w:hAnsi="Century Schoolbook" w:cs="Times New Roman"/>
          <w:bCs/>
          <w:iCs/>
          <w:sz w:val="26"/>
          <w:szCs w:val="26"/>
        </w:rPr>
        <w:lastRenderedPageBreak/>
        <w:t>6.</w:t>
      </w:r>
      <w:r w:rsidRPr="0057700D">
        <w:rPr>
          <w:rFonts w:ascii="Century Schoolbook" w:eastAsia="Calibri" w:hAnsi="Century Schoolbook" w:cs="Times New Roman"/>
          <w:bCs/>
          <w:iCs/>
          <w:sz w:val="26"/>
          <w:szCs w:val="26"/>
        </w:rPr>
        <w:tab/>
      </w:r>
      <w:r w:rsidRPr="0057700D">
        <w:rPr>
          <w:rFonts w:ascii="Century Schoolbook" w:eastAsia="Calibri" w:hAnsi="Century Schoolbook" w:cs="Times New Roman"/>
          <w:sz w:val="26"/>
          <w:szCs w:val="26"/>
        </w:rPr>
        <w:t>Issues not addressed by the panel</w:t>
      </w:r>
      <w:r w:rsidRPr="0057700D">
        <w:rPr>
          <w:rFonts w:ascii="Century Schoolbook" w:eastAsia="Calibri" w:hAnsi="Century Schoolbook" w:cs="Times New Roman"/>
          <w:sz w:val="26"/>
          <w:szCs w:val="26"/>
        </w:rPr>
        <w:tab/>
        <w:t>22</w:t>
      </w:r>
    </w:p>
    <w:p w14:paraId="65FFE8C5" w14:textId="2591C78D" w:rsidR="001F2EB0" w:rsidRPr="0057700D" w:rsidRDefault="001F2EB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sz w:val="26"/>
          <w:szCs w:val="26"/>
        </w:rPr>
      </w:pPr>
    </w:p>
    <w:p w14:paraId="64A13AF8" w14:textId="16A1F08A" w:rsidR="001F2EB0" w:rsidRPr="0057700D" w:rsidRDefault="001F2EB0"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7.</w:t>
      </w:r>
      <w:r w:rsidRPr="0057700D">
        <w:rPr>
          <w:rFonts w:ascii="Century Schoolbook" w:eastAsia="Calibri" w:hAnsi="Century Schoolbook" w:cs="Times New Roman"/>
          <w:sz w:val="26"/>
          <w:szCs w:val="26"/>
        </w:rPr>
        <w:tab/>
      </w:r>
      <w:r w:rsidR="00DB3125" w:rsidRPr="0057700D">
        <w:rPr>
          <w:rFonts w:ascii="Century Schoolbook" w:eastAsia="Calibri" w:hAnsi="Century Schoolbook" w:cs="Times New Roman"/>
          <w:sz w:val="26"/>
          <w:szCs w:val="26"/>
        </w:rPr>
        <w:t>The ‘other evidence’ supported discriminatory purpose</w:t>
      </w:r>
      <w:r w:rsidR="00DB3125" w:rsidRPr="0057700D">
        <w:rPr>
          <w:rFonts w:ascii="Century Schoolbook" w:eastAsia="Calibri" w:hAnsi="Century Schoolbook" w:cs="Times New Roman"/>
          <w:sz w:val="26"/>
          <w:szCs w:val="26"/>
        </w:rPr>
        <w:tab/>
        <w:t>25</w:t>
      </w:r>
    </w:p>
    <w:p w14:paraId="5D9594FB" w14:textId="4E813986" w:rsidR="00DB3125" w:rsidRPr="0057700D" w:rsidRDefault="00DB3125" w:rsidP="002E0D30">
      <w:pPr>
        <w:tabs>
          <w:tab w:val="right" w:leader="dot" w:pos="7200"/>
        </w:tabs>
        <w:autoSpaceDE w:val="0"/>
        <w:autoSpaceDN w:val="0"/>
        <w:adjustRightInd w:val="0"/>
        <w:spacing w:after="0" w:line="240" w:lineRule="auto"/>
        <w:ind w:left="2880" w:right="720" w:hanging="720"/>
        <w:rPr>
          <w:rFonts w:ascii="Century Schoolbook" w:eastAsia="Calibri" w:hAnsi="Century Schoolbook" w:cs="Times New Roman"/>
          <w:sz w:val="26"/>
          <w:szCs w:val="26"/>
        </w:rPr>
      </w:pPr>
    </w:p>
    <w:p w14:paraId="71AB3E9D" w14:textId="14AF8986" w:rsidR="00DB3125" w:rsidRPr="0057700D" w:rsidRDefault="00DB3125" w:rsidP="00DB3125">
      <w:pPr>
        <w:tabs>
          <w:tab w:val="right" w:leader="dot" w:pos="7200"/>
        </w:tabs>
        <w:autoSpaceDE w:val="0"/>
        <w:autoSpaceDN w:val="0"/>
        <w:adjustRightInd w:val="0"/>
        <w:spacing w:after="0" w:line="240" w:lineRule="auto"/>
        <w:ind w:left="2160" w:right="720" w:hanging="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C.</w:t>
      </w:r>
      <w:r w:rsidRPr="0057700D">
        <w:rPr>
          <w:rFonts w:ascii="Century Schoolbook" w:eastAsia="Calibri" w:hAnsi="Century Schoolbook" w:cs="Times New Roman"/>
          <w:sz w:val="26"/>
          <w:szCs w:val="26"/>
        </w:rPr>
        <w:tab/>
        <w:t>The State failed to rebut the presumption of discrimination</w:t>
      </w:r>
      <w:r w:rsidRPr="0057700D">
        <w:rPr>
          <w:rFonts w:ascii="Century Schoolbook" w:eastAsia="Calibri" w:hAnsi="Century Schoolbook" w:cs="Times New Roman"/>
          <w:sz w:val="26"/>
          <w:szCs w:val="26"/>
        </w:rPr>
        <w:tab/>
        <w:t>30</w:t>
      </w:r>
    </w:p>
    <w:p w14:paraId="2D3B8BF5" w14:textId="60750B45" w:rsidR="00387284" w:rsidRPr="0057700D" w:rsidRDefault="00387284" w:rsidP="00DB3125">
      <w:pPr>
        <w:tabs>
          <w:tab w:val="right" w:leader="dot" w:pos="7200"/>
        </w:tabs>
        <w:autoSpaceDE w:val="0"/>
        <w:autoSpaceDN w:val="0"/>
        <w:adjustRightInd w:val="0"/>
        <w:spacing w:after="0" w:line="240" w:lineRule="auto"/>
        <w:ind w:left="2160" w:right="720" w:hanging="720"/>
        <w:rPr>
          <w:rFonts w:ascii="Century Schoolbook" w:eastAsia="Calibri" w:hAnsi="Century Schoolbook" w:cs="Times New Roman"/>
          <w:sz w:val="26"/>
          <w:szCs w:val="26"/>
        </w:rPr>
      </w:pPr>
    </w:p>
    <w:p w14:paraId="053E4B09" w14:textId="77777777" w:rsidR="00387284" w:rsidRPr="0057700D" w:rsidRDefault="00387284" w:rsidP="00DB3125">
      <w:pPr>
        <w:tabs>
          <w:tab w:val="right" w:leader="dot" w:pos="7200"/>
        </w:tabs>
        <w:autoSpaceDE w:val="0"/>
        <w:autoSpaceDN w:val="0"/>
        <w:adjustRightInd w:val="0"/>
        <w:spacing w:after="0" w:line="240" w:lineRule="auto"/>
        <w:ind w:left="2160" w:right="720" w:hanging="720"/>
        <w:rPr>
          <w:rFonts w:ascii="Century Schoolbook" w:eastAsia="Calibri" w:hAnsi="Century Schoolbook" w:cs="Times New Roman"/>
          <w:sz w:val="26"/>
          <w:szCs w:val="26"/>
        </w:rPr>
      </w:pPr>
    </w:p>
    <w:p w14:paraId="4F65940D" w14:textId="77777777" w:rsidR="00DB3125" w:rsidRPr="0057700D" w:rsidRDefault="00DB3125" w:rsidP="00DB3125">
      <w:pPr>
        <w:tabs>
          <w:tab w:val="right" w:leader="dot" w:pos="7200"/>
        </w:tabs>
        <w:autoSpaceDE w:val="0"/>
        <w:autoSpaceDN w:val="0"/>
        <w:adjustRightInd w:val="0"/>
        <w:spacing w:after="0" w:line="240" w:lineRule="auto"/>
        <w:ind w:left="2160" w:right="720" w:hanging="720"/>
        <w:rPr>
          <w:rFonts w:ascii="Century Schoolbook" w:eastAsia="Calibri" w:hAnsi="Century Schoolbook" w:cs="Times New Roman"/>
          <w:sz w:val="26"/>
          <w:szCs w:val="26"/>
        </w:rPr>
      </w:pPr>
    </w:p>
    <w:p w14:paraId="5719FAEB" w14:textId="16AB4A7A" w:rsidR="00DB3125" w:rsidRPr="0057700D" w:rsidRDefault="00DB3125" w:rsidP="00DB3125">
      <w:pPr>
        <w:tabs>
          <w:tab w:val="right" w:leader="dot" w:pos="7200"/>
        </w:tabs>
        <w:autoSpaceDE w:val="0"/>
        <w:autoSpaceDN w:val="0"/>
        <w:adjustRightInd w:val="0"/>
        <w:spacing w:after="0" w:line="240" w:lineRule="auto"/>
        <w:ind w:left="720" w:right="720" w:hanging="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CONCLUSION</w:t>
      </w:r>
      <w:r w:rsidRPr="0057700D">
        <w:rPr>
          <w:rFonts w:ascii="Century Schoolbook" w:eastAsia="Calibri" w:hAnsi="Century Schoolbook" w:cs="Times New Roman"/>
          <w:sz w:val="26"/>
          <w:szCs w:val="26"/>
        </w:rPr>
        <w:tab/>
        <w:t>32</w:t>
      </w:r>
    </w:p>
    <w:p w14:paraId="368C6ED5" w14:textId="77777777" w:rsidR="00DB3125" w:rsidRPr="0057700D" w:rsidRDefault="00DB3125" w:rsidP="00DB3125">
      <w:pPr>
        <w:tabs>
          <w:tab w:val="right" w:leader="dot" w:pos="7200"/>
        </w:tabs>
        <w:autoSpaceDE w:val="0"/>
        <w:autoSpaceDN w:val="0"/>
        <w:adjustRightInd w:val="0"/>
        <w:spacing w:after="0" w:line="240" w:lineRule="auto"/>
        <w:ind w:left="720" w:right="720" w:hanging="720"/>
        <w:rPr>
          <w:rFonts w:ascii="Century Schoolbook" w:eastAsia="Calibri" w:hAnsi="Century Schoolbook" w:cs="Times New Roman"/>
          <w:sz w:val="26"/>
          <w:szCs w:val="26"/>
        </w:rPr>
      </w:pPr>
    </w:p>
    <w:p w14:paraId="7485730E" w14:textId="538B50CD" w:rsidR="00DB3125" w:rsidRPr="0057700D" w:rsidRDefault="00DB3125" w:rsidP="00DB3125">
      <w:pPr>
        <w:tabs>
          <w:tab w:val="right" w:leader="dot" w:pos="7200"/>
        </w:tabs>
        <w:autoSpaceDE w:val="0"/>
        <w:autoSpaceDN w:val="0"/>
        <w:adjustRightInd w:val="0"/>
        <w:spacing w:after="0" w:line="240" w:lineRule="auto"/>
        <w:ind w:left="720" w:right="720" w:hanging="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CERTIFICATE OF SERVICE</w:t>
      </w:r>
      <w:r w:rsidRPr="0057700D">
        <w:rPr>
          <w:rFonts w:ascii="Century Schoolbook" w:eastAsia="Calibri" w:hAnsi="Century Schoolbook" w:cs="Times New Roman"/>
          <w:sz w:val="26"/>
          <w:szCs w:val="26"/>
        </w:rPr>
        <w:tab/>
        <w:t xml:space="preserve">33  </w:t>
      </w:r>
    </w:p>
    <w:p w14:paraId="4E88A970" w14:textId="3E9BD99F" w:rsidR="00DB3125" w:rsidRPr="0057700D" w:rsidRDefault="00DB3125" w:rsidP="00DB3125">
      <w:pPr>
        <w:tabs>
          <w:tab w:val="right" w:leader="dot" w:pos="7200"/>
        </w:tabs>
        <w:autoSpaceDE w:val="0"/>
        <w:autoSpaceDN w:val="0"/>
        <w:adjustRightInd w:val="0"/>
        <w:spacing w:after="0" w:line="240" w:lineRule="auto"/>
        <w:ind w:left="2160" w:right="720" w:hanging="720"/>
        <w:rPr>
          <w:rFonts w:ascii="Century Schoolbook" w:eastAsia="Calibri" w:hAnsi="Century Schoolbook" w:cs="Times New Roman"/>
          <w:sz w:val="26"/>
          <w:szCs w:val="26"/>
        </w:rPr>
      </w:pPr>
    </w:p>
    <w:p w14:paraId="75A7A955" w14:textId="3C1806A8" w:rsidR="002E0D30" w:rsidRPr="0057700D" w:rsidRDefault="002E0D30" w:rsidP="002E0D30">
      <w:pPr>
        <w:tabs>
          <w:tab w:val="right" w:leader="dot" w:pos="7200"/>
        </w:tabs>
        <w:autoSpaceDE w:val="0"/>
        <w:autoSpaceDN w:val="0"/>
        <w:adjustRightInd w:val="0"/>
        <w:spacing w:after="0" w:line="240" w:lineRule="auto"/>
        <w:ind w:left="2160" w:right="720" w:hanging="720"/>
        <w:rPr>
          <w:rFonts w:ascii="Century Schoolbook" w:eastAsia="Calibri" w:hAnsi="Century Schoolbook" w:cs="Times New Roman"/>
          <w:sz w:val="26"/>
          <w:szCs w:val="26"/>
        </w:rPr>
      </w:pPr>
    </w:p>
    <w:p w14:paraId="00C440B7" w14:textId="77777777" w:rsidR="002E0D30" w:rsidRPr="0057700D" w:rsidRDefault="002E0D30" w:rsidP="002E0D30">
      <w:pPr>
        <w:tabs>
          <w:tab w:val="right" w:leader="dot" w:pos="7200"/>
        </w:tabs>
        <w:autoSpaceDE w:val="0"/>
        <w:autoSpaceDN w:val="0"/>
        <w:adjustRightInd w:val="0"/>
        <w:spacing w:after="0" w:line="240" w:lineRule="auto"/>
        <w:ind w:left="2160" w:right="720" w:hanging="720"/>
        <w:rPr>
          <w:rFonts w:ascii="Century Schoolbook" w:eastAsia="Calibri" w:hAnsi="Century Schoolbook" w:cs="Times New Roman"/>
          <w:sz w:val="26"/>
          <w:szCs w:val="26"/>
        </w:rPr>
      </w:pPr>
    </w:p>
    <w:p w14:paraId="39132D9B" w14:textId="77777777" w:rsidR="002E0D30" w:rsidRPr="0057700D" w:rsidRDefault="002E0D30" w:rsidP="002E0D30">
      <w:pPr>
        <w:tabs>
          <w:tab w:val="right" w:leader="dot" w:pos="7200"/>
        </w:tabs>
        <w:autoSpaceDE w:val="0"/>
        <w:autoSpaceDN w:val="0"/>
        <w:adjustRightInd w:val="0"/>
        <w:spacing w:after="0" w:line="240" w:lineRule="auto"/>
        <w:ind w:left="2160" w:right="720" w:hanging="720"/>
        <w:rPr>
          <w:rFonts w:ascii="Century Schoolbook" w:eastAsia="Calibri" w:hAnsi="Century Schoolbook" w:cs="Times New Roman"/>
          <w:sz w:val="26"/>
          <w:szCs w:val="26"/>
        </w:rPr>
      </w:pPr>
    </w:p>
    <w:p w14:paraId="2E16DFDF" w14:textId="77777777" w:rsidR="002E0D30" w:rsidRPr="0057700D" w:rsidRDefault="002E0D30" w:rsidP="002E0D30">
      <w:pPr>
        <w:tabs>
          <w:tab w:val="right" w:leader="dot" w:pos="7200"/>
        </w:tabs>
        <w:autoSpaceDE w:val="0"/>
        <w:autoSpaceDN w:val="0"/>
        <w:adjustRightInd w:val="0"/>
        <w:spacing w:after="0" w:line="240" w:lineRule="auto"/>
        <w:ind w:left="1440" w:right="720" w:hanging="720"/>
        <w:rPr>
          <w:rFonts w:ascii="Century Schoolbook" w:eastAsia="Calibri" w:hAnsi="Century Schoolbook" w:cs="Times New Roman"/>
          <w:sz w:val="26"/>
          <w:szCs w:val="26"/>
        </w:rPr>
      </w:pPr>
    </w:p>
    <w:p w14:paraId="04FFF364" w14:textId="332A5B90" w:rsidR="002E0D30" w:rsidRPr="0057700D" w:rsidRDefault="002E0D30" w:rsidP="002E0D30">
      <w:pPr>
        <w:tabs>
          <w:tab w:val="right" w:leader="dot" w:pos="7200"/>
        </w:tabs>
        <w:autoSpaceDE w:val="0"/>
        <w:autoSpaceDN w:val="0"/>
        <w:adjustRightInd w:val="0"/>
        <w:spacing w:after="0" w:line="240" w:lineRule="auto"/>
        <w:ind w:left="1440" w:right="720" w:hanging="720"/>
        <w:rPr>
          <w:rFonts w:ascii="Century Schoolbook" w:eastAsia="Calibri" w:hAnsi="Century Schoolbook" w:cs="Times New Roman"/>
          <w:sz w:val="26"/>
          <w:szCs w:val="26"/>
        </w:rPr>
      </w:pPr>
    </w:p>
    <w:p w14:paraId="066B07FE" w14:textId="466AA9C6" w:rsidR="002E0D30" w:rsidRPr="0057700D" w:rsidRDefault="002E0D30" w:rsidP="002E0D30">
      <w:pPr>
        <w:tabs>
          <w:tab w:val="right" w:leader="dot" w:pos="7200"/>
        </w:tabs>
        <w:autoSpaceDE w:val="0"/>
        <w:autoSpaceDN w:val="0"/>
        <w:adjustRightInd w:val="0"/>
        <w:spacing w:after="0" w:line="240" w:lineRule="auto"/>
        <w:ind w:left="720" w:right="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 </w:t>
      </w:r>
    </w:p>
    <w:p w14:paraId="11E777A0" w14:textId="77E4F7BC" w:rsidR="00E76E60" w:rsidRPr="0057700D" w:rsidRDefault="00E76E60"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p>
    <w:p w14:paraId="2600D37F" w14:textId="77777777" w:rsidR="00E76E60" w:rsidRPr="0057700D" w:rsidRDefault="00E76E60" w:rsidP="007B0F13">
      <w:pPr>
        <w:tabs>
          <w:tab w:val="right" w:leader="dot" w:pos="7200"/>
        </w:tabs>
        <w:autoSpaceDE w:val="0"/>
        <w:autoSpaceDN w:val="0"/>
        <w:adjustRightInd w:val="0"/>
        <w:spacing w:after="0" w:line="240" w:lineRule="auto"/>
        <w:rPr>
          <w:rFonts w:ascii="Century Schoolbook" w:eastAsia="Calibri" w:hAnsi="Century Schoolbook" w:cs="Times New Roman"/>
          <w:sz w:val="26"/>
          <w:szCs w:val="26"/>
        </w:rPr>
      </w:pPr>
    </w:p>
    <w:p w14:paraId="499F1F96" w14:textId="77777777" w:rsidR="007B0F13" w:rsidRPr="0057700D" w:rsidRDefault="007B0F13" w:rsidP="007B0F13">
      <w:pPr>
        <w:autoSpaceDE w:val="0"/>
        <w:autoSpaceDN w:val="0"/>
        <w:adjustRightInd w:val="0"/>
        <w:spacing w:after="0" w:line="240" w:lineRule="auto"/>
        <w:jc w:val="center"/>
        <w:rPr>
          <w:rFonts w:ascii="Century Schoolbook" w:eastAsia="Calibri" w:hAnsi="Century Schoolbook" w:cs="Times New Roman"/>
          <w:sz w:val="26"/>
          <w:szCs w:val="26"/>
        </w:rPr>
      </w:pPr>
    </w:p>
    <w:p w14:paraId="788B917C" w14:textId="77777777" w:rsidR="007B0F13" w:rsidRPr="0057700D" w:rsidRDefault="007B0F13" w:rsidP="007B0F13">
      <w:pPr>
        <w:autoSpaceDE w:val="0"/>
        <w:autoSpaceDN w:val="0"/>
        <w:adjustRightInd w:val="0"/>
        <w:spacing w:after="0" w:line="240" w:lineRule="auto"/>
        <w:jc w:val="center"/>
        <w:rPr>
          <w:rFonts w:ascii="Century Schoolbook" w:eastAsia="Calibri" w:hAnsi="Century Schoolbook" w:cs="Times New Roman"/>
          <w:sz w:val="26"/>
          <w:szCs w:val="26"/>
        </w:rPr>
        <w:sectPr w:rsidR="007B0F13" w:rsidRPr="0057700D" w:rsidSect="00BC575A">
          <w:headerReference w:type="first" r:id="rId11"/>
          <w:pgSz w:w="12240" w:h="15840"/>
          <w:pgMar w:top="1440" w:right="2520" w:bottom="1440" w:left="2520" w:header="720" w:footer="720" w:gutter="0"/>
          <w:pgNumType w:fmt="lowerRoman" w:start="1"/>
          <w:cols w:space="720"/>
          <w:titlePg/>
          <w:docGrid w:linePitch="360"/>
        </w:sectPr>
      </w:pPr>
    </w:p>
    <w:p w14:paraId="1D5933A4" w14:textId="4DB7485B" w:rsidR="007B0F13" w:rsidRPr="0057700D" w:rsidRDefault="007B0F13" w:rsidP="007B0F13">
      <w:pPr>
        <w:autoSpaceDE w:val="0"/>
        <w:autoSpaceDN w:val="0"/>
        <w:adjustRightInd w:val="0"/>
        <w:spacing w:after="0" w:line="240" w:lineRule="auto"/>
        <w:jc w:val="center"/>
        <w:rPr>
          <w:rFonts w:ascii="Century Schoolbook" w:eastAsia="Calibri" w:hAnsi="Century Schoolbook" w:cs="Times New Roman"/>
          <w:b/>
          <w:bCs/>
          <w:sz w:val="26"/>
          <w:szCs w:val="26"/>
          <w:u w:val="single"/>
        </w:rPr>
      </w:pPr>
      <w:r w:rsidRPr="0057700D">
        <w:rPr>
          <w:rFonts w:ascii="Century Schoolbook" w:eastAsia="Calibri" w:hAnsi="Century Schoolbook" w:cs="Times New Roman"/>
          <w:b/>
          <w:bCs/>
          <w:sz w:val="26"/>
          <w:szCs w:val="26"/>
          <w:u w:val="single"/>
        </w:rPr>
        <w:lastRenderedPageBreak/>
        <w:t>TABLE OF AUTHORITIES</w:t>
      </w:r>
    </w:p>
    <w:p w14:paraId="0B5FA367" w14:textId="6F0C5FCF" w:rsidR="00FD461B" w:rsidRPr="0057700D" w:rsidRDefault="00FD461B" w:rsidP="007B0F13">
      <w:pPr>
        <w:autoSpaceDE w:val="0"/>
        <w:autoSpaceDN w:val="0"/>
        <w:adjustRightInd w:val="0"/>
        <w:spacing w:after="0" w:line="240" w:lineRule="auto"/>
        <w:jc w:val="center"/>
        <w:rPr>
          <w:rFonts w:ascii="Century Schoolbook" w:eastAsia="Calibri" w:hAnsi="Century Schoolbook" w:cs="Times New Roman"/>
          <w:b/>
          <w:bCs/>
          <w:sz w:val="26"/>
          <w:szCs w:val="26"/>
          <w:u w:val="single"/>
        </w:rPr>
      </w:pPr>
    </w:p>
    <w:p w14:paraId="0D5BAE7F" w14:textId="77777777" w:rsidR="00FD461B" w:rsidRPr="0057700D" w:rsidRDefault="00FD461B" w:rsidP="00C64941">
      <w:pPr>
        <w:pStyle w:val="TOAHeading"/>
        <w:tabs>
          <w:tab w:val="right" w:leader="dot" w:pos="7200"/>
        </w:tabs>
        <w:ind w:left="720" w:hanging="720"/>
        <w:rPr>
          <w:rFonts w:asciiTheme="minorHAnsi" w:eastAsiaTheme="minorEastAsia" w:hAnsiTheme="minorHAnsi" w:cstheme="minorBidi"/>
          <w:b w:val="0"/>
          <w:bCs w:val="0"/>
          <w:noProof/>
          <w:sz w:val="22"/>
          <w:szCs w:val="22"/>
        </w:rPr>
      </w:pPr>
      <w:r w:rsidRPr="0057700D">
        <w:rPr>
          <w:rFonts w:eastAsia="Calibri"/>
          <w:b w:val="0"/>
          <w:bCs w:val="0"/>
          <w:szCs w:val="26"/>
        </w:rPr>
        <w:fldChar w:fldCharType="begin"/>
      </w:r>
      <w:r w:rsidRPr="0057700D">
        <w:rPr>
          <w:rFonts w:eastAsia="Calibri"/>
          <w:b w:val="0"/>
          <w:bCs w:val="0"/>
          <w:szCs w:val="26"/>
        </w:rPr>
        <w:instrText xml:space="preserve"> TOA \h \c "1" \p </w:instrText>
      </w:r>
      <w:r w:rsidRPr="0057700D">
        <w:rPr>
          <w:rFonts w:eastAsia="Calibri"/>
          <w:b w:val="0"/>
          <w:bCs w:val="0"/>
          <w:szCs w:val="26"/>
        </w:rPr>
        <w:fldChar w:fldCharType="separate"/>
      </w:r>
      <w:r w:rsidRPr="0057700D">
        <w:rPr>
          <w:noProof/>
        </w:rPr>
        <w:t>Cases</w:t>
      </w:r>
    </w:p>
    <w:p w14:paraId="6EE78A08" w14:textId="77777777" w:rsidR="00C64941" w:rsidRPr="0057700D" w:rsidRDefault="00C64941" w:rsidP="00C64941">
      <w:pPr>
        <w:pStyle w:val="TableofAuthorities"/>
        <w:jc w:val="left"/>
        <w:rPr>
          <w:rFonts w:eastAsia="Times New Roman"/>
          <w:i/>
          <w:iCs/>
          <w:noProof/>
        </w:rPr>
      </w:pPr>
    </w:p>
    <w:p w14:paraId="4A400582" w14:textId="77777777" w:rsidR="00C64941" w:rsidRPr="0057700D" w:rsidRDefault="00FD461B" w:rsidP="00C64941">
      <w:pPr>
        <w:pStyle w:val="TableofAuthorities"/>
        <w:jc w:val="left"/>
        <w:rPr>
          <w:rFonts w:eastAsia="Times New Roman"/>
          <w:noProof/>
        </w:rPr>
      </w:pPr>
      <w:r w:rsidRPr="0057700D">
        <w:rPr>
          <w:rFonts w:eastAsia="Times New Roman"/>
          <w:i/>
          <w:iCs/>
          <w:noProof/>
        </w:rPr>
        <w:t>Batson v. Kentucky</w:t>
      </w:r>
      <w:r w:rsidRPr="0057700D">
        <w:rPr>
          <w:rFonts w:eastAsia="Times New Roman"/>
          <w:noProof/>
        </w:rPr>
        <w:t xml:space="preserve">, </w:t>
      </w:r>
    </w:p>
    <w:p w14:paraId="1141E63A" w14:textId="15202565" w:rsidR="00FD461B" w:rsidRPr="0057700D" w:rsidRDefault="00C64941" w:rsidP="00C64941">
      <w:pPr>
        <w:pStyle w:val="TableofAuthorities"/>
        <w:jc w:val="left"/>
        <w:rPr>
          <w:noProof/>
        </w:rPr>
      </w:pPr>
      <w:r w:rsidRPr="0057700D">
        <w:rPr>
          <w:rFonts w:eastAsia="Times New Roman"/>
          <w:noProof/>
        </w:rPr>
        <w:tab/>
      </w:r>
      <w:r w:rsidR="00FD461B" w:rsidRPr="0057700D">
        <w:rPr>
          <w:rFonts w:eastAsia="Times New Roman"/>
          <w:noProof/>
        </w:rPr>
        <w:t>476 U.S. 79 (1986)</w:t>
      </w:r>
      <w:r w:rsidR="00FD461B" w:rsidRPr="0057700D">
        <w:rPr>
          <w:noProof/>
        </w:rPr>
        <w:tab/>
      </w:r>
      <w:r w:rsidR="00FD461B" w:rsidRPr="0057700D">
        <w:rPr>
          <w:i/>
          <w:iCs/>
          <w:noProof/>
        </w:rPr>
        <w:t>passim</w:t>
      </w:r>
    </w:p>
    <w:p w14:paraId="022EAAE4" w14:textId="77777777" w:rsidR="00C64941" w:rsidRPr="0057700D" w:rsidRDefault="00C64941" w:rsidP="00C64941">
      <w:pPr>
        <w:pStyle w:val="TableofAuthorities"/>
        <w:jc w:val="left"/>
        <w:rPr>
          <w:i/>
          <w:iCs/>
          <w:noProof/>
        </w:rPr>
      </w:pPr>
    </w:p>
    <w:p w14:paraId="03624436" w14:textId="77777777" w:rsidR="00C64941" w:rsidRPr="0057700D" w:rsidRDefault="00FD461B" w:rsidP="00C64941">
      <w:pPr>
        <w:pStyle w:val="TableofAuthorities"/>
        <w:jc w:val="left"/>
        <w:rPr>
          <w:i/>
          <w:iCs/>
          <w:noProof/>
        </w:rPr>
      </w:pPr>
      <w:r w:rsidRPr="0057700D">
        <w:rPr>
          <w:i/>
          <w:iCs/>
          <w:noProof/>
        </w:rPr>
        <w:t xml:space="preserve">Chavez v. Ill. State Police, </w:t>
      </w:r>
    </w:p>
    <w:p w14:paraId="6D504AC3" w14:textId="6BDF701B" w:rsidR="00FD461B" w:rsidRPr="0057700D" w:rsidRDefault="00C64941" w:rsidP="00C64941">
      <w:pPr>
        <w:pStyle w:val="TableofAuthorities"/>
        <w:jc w:val="left"/>
        <w:rPr>
          <w:noProof/>
        </w:rPr>
      </w:pPr>
      <w:r w:rsidRPr="0057700D">
        <w:rPr>
          <w:i/>
          <w:iCs/>
          <w:noProof/>
        </w:rPr>
        <w:tab/>
      </w:r>
      <w:r w:rsidR="00FD461B" w:rsidRPr="0057700D">
        <w:rPr>
          <w:noProof/>
        </w:rPr>
        <w:t>251 F.3d 612 (7th Cir. 2001)</w:t>
      </w:r>
      <w:r w:rsidR="00FD461B" w:rsidRPr="0057700D">
        <w:rPr>
          <w:noProof/>
        </w:rPr>
        <w:tab/>
        <w:t>18, 19</w:t>
      </w:r>
    </w:p>
    <w:p w14:paraId="6F38CD84" w14:textId="77777777" w:rsidR="00C64941" w:rsidRPr="0057700D" w:rsidRDefault="00C64941" w:rsidP="00C64941">
      <w:pPr>
        <w:pStyle w:val="TableofAuthorities"/>
        <w:jc w:val="left"/>
        <w:rPr>
          <w:i/>
          <w:iCs/>
          <w:noProof/>
        </w:rPr>
      </w:pPr>
    </w:p>
    <w:p w14:paraId="2D0954BC" w14:textId="44FB9358" w:rsidR="00C64941" w:rsidRPr="0057700D" w:rsidRDefault="00FD461B" w:rsidP="00C64941">
      <w:pPr>
        <w:pStyle w:val="TableofAuthorities"/>
        <w:jc w:val="left"/>
        <w:rPr>
          <w:noProof/>
        </w:rPr>
      </w:pPr>
      <w:r w:rsidRPr="0057700D">
        <w:rPr>
          <w:i/>
          <w:iCs/>
          <w:noProof/>
        </w:rPr>
        <w:t>Com</w:t>
      </w:r>
      <w:r w:rsidR="00AC27E3">
        <w:rPr>
          <w:i/>
          <w:iCs/>
          <w:noProof/>
        </w:rPr>
        <w:t>monwealth</w:t>
      </w:r>
      <w:r w:rsidRPr="0057700D">
        <w:rPr>
          <w:i/>
          <w:iCs/>
          <w:noProof/>
        </w:rPr>
        <w:t xml:space="preserve"> v. Warren</w:t>
      </w:r>
      <w:r w:rsidRPr="0057700D">
        <w:rPr>
          <w:noProof/>
        </w:rPr>
        <w:t xml:space="preserve">, </w:t>
      </w:r>
    </w:p>
    <w:p w14:paraId="3C50FCD9" w14:textId="418E2356" w:rsidR="00FD461B" w:rsidRPr="0057700D" w:rsidRDefault="00C64941" w:rsidP="00C64941">
      <w:pPr>
        <w:pStyle w:val="TableofAuthorities"/>
        <w:jc w:val="left"/>
        <w:rPr>
          <w:noProof/>
        </w:rPr>
      </w:pPr>
      <w:r w:rsidRPr="0057700D">
        <w:rPr>
          <w:noProof/>
        </w:rPr>
        <w:tab/>
      </w:r>
      <w:r w:rsidR="00615E09">
        <w:rPr>
          <w:noProof/>
        </w:rPr>
        <w:t>475 Mass. 530</w:t>
      </w:r>
      <w:r w:rsidR="00F73A22">
        <w:rPr>
          <w:noProof/>
        </w:rPr>
        <w:t xml:space="preserve"> </w:t>
      </w:r>
      <w:r w:rsidR="00FD461B" w:rsidRPr="0057700D">
        <w:rPr>
          <w:noProof/>
        </w:rPr>
        <w:t>(2016)</w:t>
      </w:r>
      <w:r w:rsidR="00FD461B" w:rsidRPr="0057700D">
        <w:rPr>
          <w:noProof/>
        </w:rPr>
        <w:tab/>
        <w:t>29</w:t>
      </w:r>
    </w:p>
    <w:p w14:paraId="0A77E374" w14:textId="77777777" w:rsidR="00C64941" w:rsidRPr="0057700D" w:rsidRDefault="00C64941" w:rsidP="00C64941">
      <w:pPr>
        <w:pStyle w:val="TableofAuthorities"/>
        <w:jc w:val="left"/>
        <w:rPr>
          <w:i/>
          <w:iCs/>
          <w:noProof/>
        </w:rPr>
      </w:pPr>
    </w:p>
    <w:p w14:paraId="69CE2941" w14:textId="77777777" w:rsidR="00C64941" w:rsidRPr="0057700D" w:rsidRDefault="00FD461B" w:rsidP="00C64941">
      <w:pPr>
        <w:pStyle w:val="TableofAuthorities"/>
        <w:jc w:val="left"/>
        <w:rPr>
          <w:noProof/>
        </w:rPr>
      </w:pPr>
      <w:r w:rsidRPr="0057700D">
        <w:rPr>
          <w:i/>
          <w:iCs/>
          <w:noProof/>
        </w:rPr>
        <w:t>Commonwealth v. Franklin</w:t>
      </w:r>
      <w:r w:rsidRPr="0057700D">
        <w:rPr>
          <w:noProof/>
        </w:rPr>
        <w:t xml:space="preserve">, </w:t>
      </w:r>
    </w:p>
    <w:p w14:paraId="0A00DACA" w14:textId="20FA8955" w:rsidR="00FD461B" w:rsidRPr="0057700D" w:rsidRDefault="00C64941" w:rsidP="00C64941">
      <w:pPr>
        <w:pStyle w:val="TableofAuthorities"/>
        <w:jc w:val="left"/>
        <w:rPr>
          <w:noProof/>
        </w:rPr>
      </w:pPr>
      <w:r w:rsidRPr="0057700D">
        <w:rPr>
          <w:noProof/>
        </w:rPr>
        <w:tab/>
      </w:r>
      <w:r w:rsidR="00FD461B" w:rsidRPr="0057700D">
        <w:rPr>
          <w:noProof/>
        </w:rPr>
        <w:t>376 Mass. 885 (1978)</w:t>
      </w:r>
      <w:r w:rsidR="00FD461B" w:rsidRPr="0057700D">
        <w:rPr>
          <w:noProof/>
        </w:rPr>
        <w:tab/>
        <w:t>18</w:t>
      </w:r>
    </w:p>
    <w:p w14:paraId="03F3DA8F" w14:textId="77777777" w:rsidR="00C64941" w:rsidRPr="0057700D" w:rsidRDefault="00C64941" w:rsidP="00C64941">
      <w:pPr>
        <w:pStyle w:val="TableofAuthorities"/>
        <w:jc w:val="left"/>
        <w:rPr>
          <w:rFonts w:eastAsia="Times New Roman"/>
          <w:i/>
          <w:iCs/>
          <w:noProof/>
        </w:rPr>
      </w:pPr>
    </w:p>
    <w:p w14:paraId="4C337CD6" w14:textId="77777777" w:rsidR="00C64941" w:rsidRPr="0057700D" w:rsidRDefault="00FD461B" w:rsidP="00C64941">
      <w:pPr>
        <w:pStyle w:val="TableofAuthorities"/>
        <w:jc w:val="left"/>
        <w:rPr>
          <w:rFonts w:eastAsia="Times New Roman"/>
          <w:i/>
          <w:iCs/>
          <w:noProof/>
        </w:rPr>
      </w:pPr>
      <w:r w:rsidRPr="0057700D">
        <w:rPr>
          <w:rFonts w:eastAsia="Times New Roman"/>
          <w:i/>
          <w:iCs/>
          <w:noProof/>
        </w:rPr>
        <w:t xml:space="preserve">Holmes v. Moore, </w:t>
      </w:r>
    </w:p>
    <w:p w14:paraId="5DD63592" w14:textId="447FF7E1" w:rsidR="00FD461B" w:rsidRPr="0057700D" w:rsidRDefault="00C64941" w:rsidP="00C64941">
      <w:pPr>
        <w:pStyle w:val="TableofAuthorities"/>
        <w:jc w:val="left"/>
        <w:rPr>
          <w:noProof/>
        </w:rPr>
      </w:pPr>
      <w:r w:rsidRPr="0057700D">
        <w:rPr>
          <w:rFonts w:eastAsia="Times New Roman"/>
          <w:i/>
          <w:iCs/>
          <w:noProof/>
        </w:rPr>
        <w:tab/>
      </w:r>
      <w:r w:rsidR="00FD461B" w:rsidRPr="0057700D">
        <w:rPr>
          <w:rFonts w:eastAsia="Times New Roman"/>
          <w:noProof/>
        </w:rPr>
        <w:t>270 N.C. App. 7 (2020)</w:t>
      </w:r>
      <w:r w:rsidR="00FD461B" w:rsidRPr="0057700D">
        <w:rPr>
          <w:noProof/>
        </w:rPr>
        <w:tab/>
        <w:t>12</w:t>
      </w:r>
    </w:p>
    <w:p w14:paraId="4D47AB7F" w14:textId="77777777" w:rsidR="00C64941" w:rsidRPr="0057700D" w:rsidRDefault="00C64941" w:rsidP="00C64941">
      <w:pPr>
        <w:pStyle w:val="TableofAuthorities"/>
        <w:jc w:val="left"/>
        <w:rPr>
          <w:i/>
          <w:iCs/>
          <w:noProof/>
        </w:rPr>
      </w:pPr>
    </w:p>
    <w:p w14:paraId="33DA2D45" w14:textId="77777777" w:rsidR="00C64941" w:rsidRPr="0057700D" w:rsidRDefault="00FD461B" w:rsidP="00C64941">
      <w:pPr>
        <w:pStyle w:val="TableofAuthorities"/>
        <w:jc w:val="left"/>
        <w:rPr>
          <w:noProof/>
        </w:rPr>
      </w:pPr>
      <w:r w:rsidRPr="0057700D">
        <w:rPr>
          <w:i/>
          <w:iCs/>
          <w:noProof/>
        </w:rPr>
        <w:t>Hubbard v. Holmes</w:t>
      </w:r>
      <w:r w:rsidRPr="0057700D">
        <w:rPr>
          <w:noProof/>
        </w:rPr>
        <w:t xml:space="preserve">, </w:t>
      </w:r>
    </w:p>
    <w:p w14:paraId="7DD21919" w14:textId="36049C1D" w:rsidR="00FD461B" w:rsidRPr="0057700D" w:rsidRDefault="00C64941" w:rsidP="00C64941">
      <w:pPr>
        <w:pStyle w:val="TableofAuthorities"/>
        <w:jc w:val="left"/>
        <w:rPr>
          <w:noProof/>
        </w:rPr>
      </w:pPr>
      <w:r w:rsidRPr="0057700D">
        <w:rPr>
          <w:noProof/>
        </w:rPr>
        <w:tab/>
      </w:r>
      <w:r w:rsidR="00FD461B" w:rsidRPr="0057700D">
        <w:rPr>
          <w:noProof/>
        </w:rPr>
        <w:t>2018 U.S. Dist. LEXIS 67278 (W.D.</w:t>
      </w:r>
      <w:r w:rsidR="00C21844" w:rsidRPr="0057700D">
        <w:rPr>
          <w:noProof/>
        </w:rPr>
        <w:t xml:space="preserve"> </w:t>
      </w:r>
      <w:r w:rsidR="00FD461B" w:rsidRPr="0057700D">
        <w:rPr>
          <w:noProof/>
        </w:rPr>
        <w:t>Va. 2018)</w:t>
      </w:r>
      <w:r w:rsidR="00FD461B" w:rsidRPr="0057700D">
        <w:rPr>
          <w:noProof/>
        </w:rPr>
        <w:tab/>
        <w:t>24</w:t>
      </w:r>
    </w:p>
    <w:p w14:paraId="5E3836E7" w14:textId="77777777" w:rsidR="00C64941" w:rsidRPr="0057700D" w:rsidRDefault="00C64941" w:rsidP="00C64941">
      <w:pPr>
        <w:pStyle w:val="TableofAuthorities"/>
        <w:jc w:val="left"/>
        <w:rPr>
          <w:rFonts w:eastAsia="Times New Roman"/>
          <w:i/>
          <w:iCs/>
          <w:noProof/>
        </w:rPr>
      </w:pPr>
    </w:p>
    <w:p w14:paraId="6E6413A0" w14:textId="77777777" w:rsidR="00C64941" w:rsidRPr="0057700D" w:rsidRDefault="00FD461B" w:rsidP="00C64941">
      <w:pPr>
        <w:pStyle w:val="TableofAuthorities"/>
        <w:jc w:val="left"/>
        <w:rPr>
          <w:rFonts w:eastAsia="Times New Roman"/>
          <w:noProof/>
        </w:rPr>
      </w:pPr>
      <w:r w:rsidRPr="0057700D">
        <w:rPr>
          <w:rFonts w:eastAsia="Times New Roman"/>
          <w:i/>
          <w:iCs/>
          <w:noProof/>
        </w:rPr>
        <w:t>Johnson v. California</w:t>
      </w:r>
      <w:r w:rsidRPr="0057700D">
        <w:rPr>
          <w:rFonts w:eastAsia="Times New Roman"/>
          <w:noProof/>
        </w:rPr>
        <w:t xml:space="preserve">, </w:t>
      </w:r>
    </w:p>
    <w:p w14:paraId="0019C5FA" w14:textId="45656538" w:rsidR="00FD461B" w:rsidRPr="0057700D" w:rsidRDefault="00C64941" w:rsidP="00C64941">
      <w:pPr>
        <w:pStyle w:val="TableofAuthorities"/>
        <w:jc w:val="left"/>
        <w:rPr>
          <w:noProof/>
        </w:rPr>
      </w:pPr>
      <w:r w:rsidRPr="0057700D">
        <w:rPr>
          <w:rFonts w:eastAsia="Times New Roman"/>
          <w:noProof/>
        </w:rPr>
        <w:tab/>
      </w:r>
      <w:r w:rsidR="00FD461B" w:rsidRPr="0057700D">
        <w:rPr>
          <w:rFonts w:eastAsia="Times New Roman"/>
          <w:noProof/>
        </w:rPr>
        <w:t>545 U.S. 162 (2005)</w:t>
      </w:r>
      <w:r w:rsidR="00FD461B" w:rsidRPr="0057700D">
        <w:rPr>
          <w:noProof/>
        </w:rPr>
        <w:tab/>
        <w:t>13</w:t>
      </w:r>
    </w:p>
    <w:p w14:paraId="4D402C0F" w14:textId="77777777" w:rsidR="00C64941" w:rsidRPr="0057700D" w:rsidRDefault="00C64941" w:rsidP="00C64941">
      <w:pPr>
        <w:pStyle w:val="TableofAuthorities"/>
        <w:jc w:val="left"/>
        <w:rPr>
          <w:i/>
          <w:iCs/>
          <w:noProof/>
        </w:rPr>
      </w:pPr>
    </w:p>
    <w:p w14:paraId="7CF2DE10" w14:textId="77777777" w:rsidR="00C64941" w:rsidRPr="0057700D" w:rsidRDefault="00FD461B" w:rsidP="00C64941">
      <w:pPr>
        <w:pStyle w:val="TableofAuthorities"/>
        <w:jc w:val="left"/>
        <w:rPr>
          <w:noProof/>
        </w:rPr>
      </w:pPr>
      <w:r w:rsidRPr="0057700D">
        <w:rPr>
          <w:i/>
          <w:iCs/>
          <w:noProof/>
        </w:rPr>
        <w:t>Johnson v. Holmes</w:t>
      </w:r>
      <w:r w:rsidRPr="0057700D">
        <w:rPr>
          <w:noProof/>
        </w:rPr>
        <w:t xml:space="preserve">, </w:t>
      </w:r>
    </w:p>
    <w:p w14:paraId="77CCBEE4" w14:textId="7D74EEBC" w:rsidR="00FD461B" w:rsidRPr="0057700D" w:rsidRDefault="00C64941" w:rsidP="00C64941">
      <w:pPr>
        <w:pStyle w:val="TableofAuthorities"/>
        <w:jc w:val="left"/>
        <w:rPr>
          <w:noProof/>
        </w:rPr>
      </w:pPr>
      <w:r w:rsidRPr="0057700D">
        <w:rPr>
          <w:noProof/>
        </w:rPr>
        <w:tab/>
      </w:r>
      <w:r w:rsidR="00FD461B" w:rsidRPr="0057700D">
        <w:rPr>
          <w:noProof/>
        </w:rPr>
        <w:t>782 F.</w:t>
      </w:r>
      <w:r w:rsidR="00136DF1" w:rsidRPr="0057700D">
        <w:rPr>
          <w:noProof/>
        </w:rPr>
        <w:t xml:space="preserve"> </w:t>
      </w:r>
      <w:r w:rsidR="00FD461B" w:rsidRPr="0057700D">
        <w:rPr>
          <w:noProof/>
        </w:rPr>
        <w:t>App’x 269 (4</w:t>
      </w:r>
      <w:r w:rsidR="00FD461B" w:rsidRPr="0057700D">
        <w:rPr>
          <w:noProof/>
          <w:vertAlign w:val="superscript"/>
        </w:rPr>
        <w:t>th</w:t>
      </w:r>
      <w:r w:rsidR="00FD461B" w:rsidRPr="0057700D">
        <w:rPr>
          <w:noProof/>
        </w:rPr>
        <w:t xml:space="preserve"> Cir. 2019)</w:t>
      </w:r>
      <w:r w:rsidR="00FD461B" w:rsidRPr="0057700D">
        <w:rPr>
          <w:noProof/>
        </w:rPr>
        <w:tab/>
        <w:t>24</w:t>
      </w:r>
    </w:p>
    <w:p w14:paraId="0A02FFBB" w14:textId="77777777" w:rsidR="00C64941" w:rsidRPr="0057700D" w:rsidRDefault="00C64941" w:rsidP="00C64941">
      <w:pPr>
        <w:pStyle w:val="TableofAuthorities"/>
        <w:jc w:val="left"/>
        <w:rPr>
          <w:i/>
          <w:iCs/>
          <w:noProof/>
        </w:rPr>
      </w:pPr>
    </w:p>
    <w:p w14:paraId="19430EBB" w14:textId="77777777" w:rsidR="00C64941" w:rsidRPr="0057700D" w:rsidRDefault="00FD461B" w:rsidP="00C64941">
      <w:pPr>
        <w:pStyle w:val="TableofAuthorities"/>
        <w:jc w:val="left"/>
        <w:rPr>
          <w:noProof/>
        </w:rPr>
      </w:pPr>
      <w:r w:rsidRPr="0057700D">
        <w:rPr>
          <w:i/>
          <w:iCs/>
          <w:noProof/>
        </w:rPr>
        <w:t>McKleskey v. Kemp</w:t>
      </w:r>
      <w:r w:rsidRPr="0057700D">
        <w:rPr>
          <w:noProof/>
        </w:rPr>
        <w:t xml:space="preserve">, </w:t>
      </w:r>
    </w:p>
    <w:p w14:paraId="04C41E14" w14:textId="29A63AA2" w:rsidR="00FD461B" w:rsidRPr="0057700D" w:rsidRDefault="00C64941" w:rsidP="00C64941">
      <w:pPr>
        <w:pStyle w:val="TableofAuthorities"/>
        <w:jc w:val="left"/>
        <w:rPr>
          <w:noProof/>
        </w:rPr>
      </w:pPr>
      <w:r w:rsidRPr="0057700D">
        <w:rPr>
          <w:noProof/>
        </w:rPr>
        <w:tab/>
      </w:r>
      <w:r w:rsidR="00FD461B" w:rsidRPr="0057700D">
        <w:rPr>
          <w:noProof/>
        </w:rPr>
        <w:t>481 U.S. 279 (1987)</w:t>
      </w:r>
      <w:r w:rsidR="00FD461B" w:rsidRPr="0057700D">
        <w:rPr>
          <w:noProof/>
        </w:rPr>
        <w:tab/>
        <w:t>12, 22, 30</w:t>
      </w:r>
    </w:p>
    <w:p w14:paraId="56F84574" w14:textId="77777777" w:rsidR="00C64941" w:rsidRPr="0057700D" w:rsidRDefault="00C64941" w:rsidP="00C64941">
      <w:pPr>
        <w:pStyle w:val="TableofAuthorities"/>
        <w:jc w:val="left"/>
        <w:rPr>
          <w:i/>
          <w:iCs/>
          <w:noProof/>
        </w:rPr>
      </w:pPr>
    </w:p>
    <w:p w14:paraId="72C2A015" w14:textId="0508E204" w:rsidR="00FD461B" w:rsidRPr="0057700D" w:rsidRDefault="00FD461B" w:rsidP="00C64941">
      <w:pPr>
        <w:pStyle w:val="TableofAuthorities"/>
        <w:jc w:val="left"/>
        <w:rPr>
          <w:noProof/>
        </w:rPr>
      </w:pPr>
      <w:r w:rsidRPr="0057700D">
        <w:rPr>
          <w:i/>
          <w:iCs/>
          <w:noProof/>
        </w:rPr>
        <w:t>Md. State Conf. of NAACP Branches v. Md. State Police</w:t>
      </w:r>
      <w:r w:rsidRPr="0057700D">
        <w:rPr>
          <w:noProof/>
        </w:rPr>
        <w:t>, 454 F.</w:t>
      </w:r>
      <w:r w:rsidR="00136DF1" w:rsidRPr="0057700D">
        <w:rPr>
          <w:noProof/>
        </w:rPr>
        <w:t xml:space="preserve"> </w:t>
      </w:r>
      <w:r w:rsidRPr="0057700D">
        <w:rPr>
          <w:noProof/>
        </w:rPr>
        <w:t>Supp.</w:t>
      </w:r>
      <w:r w:rsidR="00136DF1" w:rsidRPr="0057700D">
        <w:rPr>
          <w:noProof/>
        </w:rPr>
        <w:t xml:space="preserve"> </w:t>
      </w:r>
      <w:r w:rsidRPr="0057700D">
        <w:rPr>
          <w:noProof/>
        </w:rPr>
        <w:t>2d 339 (D.</w:t>
      </w:r>
      <w:r w:rsidR="007A4C25" w:rsidRPr="0057700D">
        <w:rPr>
          <w:noProof/>
        </w:rPr>
        <w:t xml:space="preserve"> </w:t>
      </w:r>
      <w:r w:rsidRPr="0057700D">
        <w:rPr>
          <w:noProof/>
        </w:rPr>
        <w:t>Md. 2006)</w:t>
      </w:r>
      <w:r w:rsidRPr="0057700D">
        <w:rPr>
          <w:noProof/>
        </w:rPr>
        <w:tab/>
        <w:t>25</w:t>
      </w:r>
    </w:p>
    <w:p w14:paraId="0494DF68" w14:textId="77777777" w:rsidR="00C64941" w:rsidRPr="0057700D" w:rsidRDefault="00C64941" w:rsidP="00C64941">
      <w:pPr>
        <w:pStyle w:val="TableofAuthorities"/>
        <w:jc w:val="left"/>
        <w:rPr>
          <w:rFonts w:eastAsia="Times New Roman"/>
          <w:i/>
          <w:iCs/>
          <w:noProof/>
        </w:rPr>
      </w:pPr>
    </w:p>
    <w:p w14:paraId="5EC593F0" w14:textId="77777777" w:rsidR="00030239" w:rsidRPr="0057700D" w:rsidRDefault="00FD461B" w:rsidP="00C64941">
      <w:pPr>
        <w:pStyle w:val="TableofAuthorities"/>
        <w:jc w:val="left"/>
        <w:rPr>
          <w:rFonts w:eastAsia="Times New Roman"/>
          <w:noProof/>
        </w:rPr>
      </w:pPr>
      <w:r w:rsidRPr="0057700D">
        <w:rPr>
          <w:rFonts w:eastAsia="Times New Roman"/>
          <w:i/>
          <w:iCs/>
          <w:noProof/>
        </w:rPr>
        <w:t>Miller-El v. Dretke</w:t>
      </w:r>
      <w:r w:rsidRPr="0057700D">
        <w:rPr>
          <w:rFonts w:eastAsia="Times New Roman"/>
          <w:noProof/>
        </w:rPr>
        <w:t xml:space="preserve">, </w:t>
      </w:r>
    </w:p>
    <w:p w14:paraId="2F843606" w14:textId="3790B5EE" w:rsidR="00FD461B" w:rsidRPr="0057700D" w:rsidRDefault="00030239" w:rsidP="00C64941">
      <w:pPr>
        <w:pStyle w:val="TableofAuthorities"/>
        <w:jc w:val="left"/>
        <w:rPr>
          <w:noProof/>
        </w:rPr>
      </w:pPr>
      <w:r w:rsidRPr="0057700D">
        <w:rPr>
          <w:rFonts w:eastAsia="Times New Roman"/>
          <w:noProof/>
        </w:rPr>
        <w:tab/>
      </w:r>
      <w:r w:rsidR="00FD461B" w:rsidRPr="0057700D">
        <w:rPr>
          <w:rFonts w:eastAsia="Times New Roman"/>
          <w:noProof/>
        </w:rPr>
        <w:t>545 U.S. 231 (2005)</w:t>
      </w:r>
      <w:r w:rsidR="00FD461B" w:rsidRPr="0057700D">
        <w:rPr>
          <w:noProof/>
        </w:rPr>
        <w:tab/>
      </w:r>
      <w:r w:rsidR="00C21844" w:rsidRPr="0057700D">
        <w:rPr>
          <w:noProof/>
        </w:rPr>
        <w:t>13-</w:t>
      </w:r>
      <w:r w:rsidR="00FD461B" w:rsidRPr="0057700D">
        <w:rPr>
          <w:noProof/>
        </w:rPr>
        <w:t>14, 32</w:t>
      </w:r>
    </w:p>
    <w:p w14:paraId="091E18A3" w14:textId="77777777" w:rsidR="00C64941" w:rsidRPr="0057700D" w:rsidRDefault="00C64941" w:rsidP="00C64941">
      <w:pPr>
        <w:pStyle w:val="TableofAuthorities"/>
        <w:jc w:val="left"/>
        <w:rPr>
          <w:rFonts w:eastAsia="Times New Roman"/>
          <w:i/>
          <w:iCs/>
          <w:noProof/>
        </w:rPr>
      </w:pPr>
    </w:p>
    <w:p w14:paraId="242A9269" w14:textId="77777777" w:rsidR="00030239" w:rsidRPr="0057700D" w:rsidRDefault="00FD461B" w:rsidP="00C64941">
      <w:pPr>
        <w:pStyle w:val="TableofAuthorities"/>
        <w:jc w:val="left"/>
        <w:rPr>
          <w:rFonts w:eastAsia="Times New Roman"/>
          <w:noProof/>
        </w:rPr>
      </w:pPr>
      <w:r w:rsidRPr="0057700D">
        <w:rPr>
          <w:rFonts w:eastAsia="Times New Roman"/>
          <w:i/>
          <w:iCs/>
          <w:noProof/>
        </w:rPr>
        <w:t>N.C. Dep’t of Public Safety v. Ledford</w:t>
      </w:r>
      <w:r w:rsidRPr="0057700D">
        <w:rPr>
          <w:rFonts w:eastAsia="Times New Roman"/>
          <w:noProof/>
        </w:rPr>
        <w:t xml:space="preserve">, </w:t>
      </w:r>
    </w:p>
    <w:p w14:paraId="7E194956" w14:textId="677D02D1" w:rsidR="00FD461B" w:rsidRPr="0057700D" w:rsidRDefault="00030239" w:rsidP="00C64941">
      <w:pPr>
        <w:pStyle w:val="TableofAuthorities"/>
        <w:jc w:val="left"/>
        <w:rPr>
          <w:noProof/>
        </w:rPr>
      </w:pPr>
      <w:r w:rsidRPr="0057700D">
        <w:rPr>
          <w:rFonts w:eastAsia="Times New Roman"/>
          <w:noProof/>
        </w:rPr>
        <w:tab/>
      </w:r>
      <w:r w:rsidR="00FD461B" w:rsidRPr="0057700D">
        <w:rPr>
          <w:rFonts w:eastAsia="Times New Roman"/>
          <w:noProof/>
        </w:rPr>
        <w:t>247 N.C. App. 266 (2016)</w:t>
      </w:r>
      <w:r w:rsidR="00FD461B" w:rsidRPr="0057700D">
        <w:rPr>
          <w:noProof/>
        </w:rPr>
        <w:tab/>
        <w:t>13</w:t>
      </w:r>
    </w:p>
    <w:p w14:paraId="41865DF1" w14:textId="77777777" w:rsidR="00C64941" w:rsidRPr="0057700D" w:rsidRDefault="00C64941" w:rsidP="00C64941">
      <w:pPr>
        <w:pStyle w:val="TableofAuthorities"/>
        <w:jc w:val="left"/>
        <w:rPr>
          <w:i/>
          <w:iCs/>
          <w:noProof/>
        </w:rPr>
      </w:pPr>
    </w:p>
    <w:p w14:paraId="52C9C5EC" w14:textId="77777777" w:rsidR="00030239" w:rsidRPr="0057700D" w:rsidRDefault="00030239" w:rsidP="00C64941">
      <w:pPr>
        <w:pStyle w:val="TableofAuthorities"/>
        <w:jc w:val="left"/>
        <w:rPr>
          <w:i/>
          <w:iCs/>
          <w:noProof/>
        </w:rPr>
      </w:pPr>
    </w:p>
    <w:p w14:paraId="486ED9D6" w14:textId="1293FFD2" w:rsidR="00030239" w:rsidRPr="0057700D" w:rsidRDefault="00FD461B" w:rsidP="00C64941">
      <w:pPr>
        <w:pStyle w:val="TableofAuthorities"/>
        <w:jc w:val="left"/>
        <w:rPr>
          <w:noProof/>
        </w:rPr>
      </w:pPr>
      <w:r w:rsidRPr="0057700D">
        <w:rPr>
          <w:i/>
          <w:iCs/>
          <w:noProof/>
        </w:rPr>
        <w:lastRenderedPageBreak/>
        <w:t>Nieves v. Bartlett</w:t>
      </w:r>
      <w:r w:rsidRPr="0057700D">
        <w:rPr>
          <w:noProof/>
        </w:rPr>
        <w:t xml:space="preserve">, </w:t>
      </w:r>
    </w:p>
    <w:p w14:paraId="2B1F5B2F" w14:textId="79F67160" w:rsidR="00FD461B" w:rsidRPr="0057700D" w:rsidRDefault="00030239" w:rsidP="00C64941">
      <w:pPr>
        <w:pStyle w:val="TableofAuthorities"/>
        <w:jc w:val="left"/>
        <w:rPr>
          <w:noProof/>
        </w:rPr>
      </w:pPr>
      <w:r w:rsidRPr="0057700D">
        <w:rPr>
          <w:noProof/>
        </w:rPr>
        <w:tab/>
      </w:r>
      <w:r w:rsidR="00FD461B" w:rsidRPr="0057700D">
        <w:rPr>
          <w:noProof/>
        </w:rPr>
        <w:t>204 L.</w:t>
      </w:r>
      <w:r w:rsidR="00136DF1" w:rsidRPr="0057700D">
        <w:rPr>
          <w:noProof/>
        </w:rPr>
        <w:t xml:space="preserve"> </w:t>
      </w:r>
      <w:r w:rsidR="00FD461B" w:rsidRPr="0057700D">
        <w:rPr>
          <w:noProof/>
        </w:rPr>
        <w:t>Ed.</w:t>
      </w:r>
      <w:r w:rsidR="00136DF1" w:rsidRPr="0057700D">
        <w:rPr>
          <w:noProof/>
        </w:rPr>
        <w:t xml:space="preserve"> </w:t>
      </w:r>
      <w:r w:rsidR="00FD461B" w:rsidRPr="0057700D">
        <w:rPr>
          <w:noProof/>
        </w:rPr>
        <w:t>2d 1, 139 S.</w:t>
      </w:r>
      <w:r w:rsidR="00136DF1" w:rsidRPr="0057700D">
        <w:rPr>
          <w:noProof/>
        </w:rPr>
        <w:t xml:space="preserve"> </w:t>
      </w:r>
      <w:r w:rsidR="00FD461B" w:rsidRPr="0057700D">
        <w:rPr>
          <w:noProof/>
        </w:rPr>
        <w:t>Ct. 1715 (2019)</w:t>
      </w:r>
      <w:r w:rsidR="00FD461B" w:rsidRPr="0057700D">
        <w:rPr>
          <w:noProof/>
        </w:rPr>
        <w:tab/>
        <w:t>28</w:t>
      </w:r>
    </w:p>
    <w:p w14:paraId="465BE929" w14:textId="77777777" w:rsidR="00C64941" w:rsidRPr="0057700D" w:rsidRDefault="00C64941" w:rsidP="00C64941">
      <w:pPr>
        <w:pStyle w:val="TableofAuthorities"/>
        <w:jc w:val="left"/>
        <w:rPr>
          <w:i/>
          <w:iCs/>
          <w:noProof/>
        </w:rPr>
      </w:pPr>
    </w:p>
    <w:p w14:paraId="5F806A5E" w14:textId="77777777" w:rsidR="00030239" w:rsidRPr="0057700D" w:rsidRDefault="00FD461B" w:rsidP="00C64941">
      <w:pPr>
        <w:pStyle w:val="TableofAuthorities"/>
        <w:jc w:val="left"/>
        <w:rPr>
          <w:noProof/>
        </w:rPr>
      </w:pPr>
      <w:r w:rsidRPr="0057700D">
        <w:rPr>
          <w:i/>
          <w:iCs/>
          <w:noProof/>
        </w:rPr>
        <w:t>S. S. Kresge Co. v. Davis</w:t>
      </w:r>
      <w:r w:rsidRPr="0057700D">
        <w:rPr>
          <w:noProof/>
        </w:rPr>
        <w:t xml:space="preserve">, </w:t>
      </w:r>
    </w:p>
    <w:p w14:paraId="6CF9E620" w14:textId="38BFE578" w:rsidR="00FD461B" w:rsidRPr="0057700D" w:rsidRDefault="00030239" w:rsidP="00C64941">
      <w:pPr>
        <w:pStyle w:val="TableofAuthorities"/>
        <w:jc w:val="left"/>
        <w:rPr>
          <w:noProof/>
        </w:rPr>
      </w:pPr>
      <w:r w:rsidRPr="0057700D">
        <w:rPr>
          <w:noProof/>
        </w:rPr>
        <w:tab/>
      </w:r>
      <w:r w:rsidR="00FD461B" w:rsidRPr="0057700D">
        <w:rPr>
          <w:noProof/>
        </w:rPr>
        <w:t>277 N.C. 654 (1971)</w:t>
      </w:r>
      <w:r w:rsidR="00FD461B" w:rsidRPr="0057700D">
        <w:rPr>
          <w:noProof/>
        </w:rPr>
        <w:tab/>
      </w:r>
      <w:r w:rsidR="00C21844" w:rsidRPr="0057700D">
        <w:rPr>
          <w:noProof/>
        </w:rPr>
        <w:t>11-</w:t>
      </w:r>
      <w:r w:rsidR="00FD461B" w:rsidRPr="0057700D">
        <w:rPr>
          <w:noProof/>
        </w:rPr>
        <w:t>12</w:t>
      </w:r>
    </w:p>
    <w:p w14:paraId="305752F9" w14:textId="77777777" w:rsidR="00C64941" w:rsidRPr="0057700D" w:rsidRDefault="00C64941" w:rsidP="00C64941">
      <w:pPr>
        <w:pStyle w:val="TableofAuthorities"/>
        <w:jc w:val="left"/>
        <w:rPr>
          <w:i/>
          <w:iCs/>
          <w:noProof/>
        </w:rPr>
      </w:pPr>
    </w:p>
    <w:p w14:paraId="30D735FD" w14:textId="77777777" w:rsidR="00030239" w:rsidRPr="0057700D" w:rsidRDefault="00FD461B" w:rsidP="00C64941">
      <w:pPr>
        <w:pStyle w:val="TableofAuthorities"/>
        <w:jc w:val="left"/>
        <w:rPr>
          <w:noProof/>
        </w:rPr>
      </w:pPr>
      <w:r w:rsidRPr="0057700D">
        <w:rPr>
          <w:i/>
          <w:iCs/>
          <w:noProof/>
        </w:rPr>
        <w:t>State v. Barden</w:t>
      </w:r>
      <w:r w:rsidRPr="0057700D">
        <w:rPr>
          <w:noProof/>
        </w:rPr>
        <w:t xml:space="preserve">, </w:t>
      </w:r>
    </w:p>
    <w:p w14:paraId="49FE417A" w14:textId="5933D21F" w:rsidR="00FD461B" w:rsidRPr="0057700D" w:rsidRDefault="00030239" w:rsidP="00C64941">
      <w:pPr>
        <w:pStyle w:val="TableofAuthorities"/>
        <w:jc w:val="left"/>
        <w:rPr>
          <w:noProof/>
        </w:rPr>
      </w:pPr>
      <w:r w:rsidRPr="0057700D">
        <w:rPr>
          <w:noProof/>
        </w:rPr>
        <w:tab/>
      </w:r>
      <w:r w:rsidR="00FD461B" w:rsidRPr="0057700D">
        <w:rPr>
          <w:noProof/>
        </w:rPr>
        <w:t>356 N.C. 316 (2002)</w:t>
      </w:r>
      <w:r w:rsidR="00FD461B" w:rsidRPr="0057700D">
        <w:rPr>
          <w:noProof/>
        </w:rPr>
        <w:tab/>
        <w:t>13, 16, 22</w:t>
      </w:r>
      <w:r w:rsidR="00C21844" w:rsidRPr="0057700D">
        <w:rPr>
          <w:noProof/>
        </w:rPr>
        <w:t>, 25</w:t>
      </w:r>
    </w:p>
    <w:p w14:paraId="08229F3C" w14:textId="77777777" w:rsidR="00C64941" w:rsidRPr="0057700D" w:rsidRDefault="00C64941" w:rsidP="00C64941">
      <w:pPr>
        <w:pStyle w:val="TableofAuthorities"/>
        <w:jc w:val="left"/>
        <w:rPr>
          <w:rFonts w:eastAsia="Times New Roman"/>
          <w:i/>
          <w:iCs/>
          <w:noProof/>
        </w:rPr>
      </w:pPr>
    </w:p>
    <w:p w14:paraId="711EACD8" w14:textId="77777777" w:rsidR="00030239" w:rsidRPr="0057700D" w:rsidRDefault="00FD461B" w:rsidP="00C64941">
      <w:pPr>
        <w:pStyle w:val="TableofAuthorities"/>
        <w:jc w:val="left"/>
        <w:rPr>
          <w:rFonts w:eastAsia="Times New Roman"/>
          <w:i/>
          <w:iCs/>
          <w:noProof/>
        </w:rPr>
      </w:pPr>
      <w:r w:rsidRPr="0057700D">
        <w:rPr>
          <w:rFonts w:eastAsia="Times New Roman"/>
          <w:i/>
          <w:iCs/>
          <w:noProof/>
        </w:rPr>
        <w:t xml:space="preserve">State v. Bennett, </w:t>
      </w:r>
    </w:p>
    <w:p w14:paraId="3A22B5DE" w14:textId="7E4B979E" w:rsidR="00FD461B" w:rsidRPr="0057700D" w:rsidRDefault="00030239" w:rsidP="00C64941">
      <w:pPr>
        <w:pStyle w:val="TableofAuthorities"/>
        <w:jc w:val="left"/>
        <w:rPr>
          <w:noProof/>
        </w:rPr>
      </w:pPr>
      <w:r w:rsidRPr="0057700D">
        <w:rPr>
          <w:rFonts w:eastAsia="Times New Roman"/>
          <w:i/>
          <w:iCs/>
          <w:noProof/>
        </w:rPr>
        <w:tab/>
      </w:r>
      <w:r w:rsidR="00FD461B" w:rsidRPr="0057700D">
        <w:rPr>
          <w:rFonts w:eastAsia="Times New Roman"/>
          <w:noProof/>
        </w:rPr>
        <w:t>374 N.C. 579 (2020)</w:t>
      </w:r>
      <w:r w:rsidR="00FD461B" w:rsidRPr="0057700D">
        <w:rPr>
          <w:noProof/>
        </w:rPr>
        <w:tab/>
        <w:t>13, 14,</w:t>
      </w:r>
      <w:r w:rsidR="00C64941" w:rsidRPr="0057700D">
        <w:rPr>
          <w:noProof/>
        </w:rPr>
        <w:t xml:space="preserve"> </w:t>
      </w:r>
      <w:r w:rsidR="00FD461B" w:rsidRPr="0057700D">
        <w:rPr>
          <w:noProof/>
        </w:rPr>
        <w:t>17</w:t>
      </w:r>
    </w:p>
    <w:p w14:paraId="3D68F7C2" w14:textId="77777777" w:rsidR="00C64941" w:rsidRPr="0057700D" w:rsidRDefault="00C64941" w:rsidP="00C64941">
      <w:pPr>
        <w:pStyle w:val="TableofAuthorities"/>
        <w:jc w:val="left"/>
        <w:rPr>
          <w:i/>
          <w:iCs/>
          <w:noProof/>
        </w:rPr>
      </w:pPr>
    </w:p>
    <w:p w14:paraId="517A4EB2" w14:textId="77777777" w:rsidR="00030239" w:rsidRPr="0057700D" w:rsidRDefault="00FD461B" w:rsidP="00C64941">
      <w:pPr>
        <w:pStyle w:val="TableofAuthorities"/>
        <w:jc w:val="left"/>
        <w:rPr>
          <w:noProof/>
        </w:rPr>
      </w:pPr>
      <w:r w:rsidRPr="0057700D">
        <w:rPr>
          <w:i/>
          <w:noProof/>
        </w:rPr>
        <w:t>State v. Brooks,</w:t>
      </w:r>
      <w:r w:rsidRPr="0057700D">
        <w:rPr>
          <w:noProof/>
        </w:rPr>
        <w:t xml:space="preserve"> </w:t>
      </w:r>
    </w:p>
    <w:p w14:paraId="24B99EA0" w14:textId="0EC075CF" w:rsidR="00FD461B" w:rsidRPr="0057700D" w:rsidRDefault="00030239" w:rsidP="00C64941">
      <w:pPr>
        <w:pStyle w:val="TableofAuthorities"/>
        <w:jc w:val="left"/>
        <w:rPr>
          <w:noProof/>
        </w:rPr>
      </w:pPr>
      <w:r w:rsidRPr="0057700D">
        <w:rPr>
          <w:noProof/>
        </w:rPr>
        <w:tab/>
      </w:r>
      <w:r w:rsidR="00FD461B" w:rsidRPr="0057700D">
        <w:rPr>
          <w:noProof/>
        </w:rPr>
        <w:t>337 N.C. 132 (1994)</w:t>
      </w:r>
      <w:r w:rsidR="00FD461B" w:rsidRPr="0057700D">
        <w:rPr>
          <w:noProof/>
        </w:rPr>
        <w:tab/>
        <w:t>10</w:t>
      </w:r>
    </w:p>
    <w:p w14:paraId="7B64992D" w14:textId="77777777" w:rsidR="00C64941" w:rsidRPr="0057700D" w:rsidRDefault="00C64941" w:rsidP="00C64941">
      <w:pPr>
        <w:pStyle w:val="TableofAuthorities"/>
        <w:jc w:val="left"/>
        <w:rPr>
          <w:rFonts w:eastAsia="Times New Roman"/>
          <w:i/>
          <w:iCs/>
          <w:noProof/>
        </w:rPr>
      </w:pPr>
    </w:p>
    <w:p w14:paraId="23BCEB29" w14:textId="77777777" w:rsidR="00030239" w:rsidRPr="0057700D" w:rsidRDefault="00FD461B" w:rsidP="00C64941">
      <w:pPr>
        <w:pStyle w:val="TableofAuthorities"/>
        <w:jc w:val="left"/>
        <w:rPr>
          <w:rFonts w:eastAsia="Times New Roman"/>
          <w:i/>
          <w:iCs/>
          <w:noProof/>
        </w:rPr>
      </w:pPr>
      <w:r w:rsidRPr="0057700D">
        <w:rPr>
          <w:rFonts w:eastAsia="Times New Roman"/>
          <w:i/>
          <w:iCs/>
          <w:noProof/>
        </w:rPr>
        <w:t xml:space="preserve">State v. Brown, </w:t>
      </w:r>
    </w:p>
    <w:p w14:paraId="00072643" w14:textId="1A9002A6" w:rsidR="00FD461B" w:rsidRPr="0057700D" w:rsidRDefault="00030239" w:rsidP="00C64941">
      <w:pPr>
        <w:pStyle w:val="TableofAuthorities"/>
        <w:jc w:val="left"/>
        <w:rPr>
          <w:noProof/>
        </w:rPr>
      </w:pPr>
      <w:r w:rsidRPr="0057700D">
        <w:rPr>
          <w:rFonts w:eastAsia="Times New Roman"/>
          <w:i/>
          <w:iCs/>
          <w:noProof/>
        </w:rPr>
        <w:tab/>
      </w:r>
      <w:r w:rsidR="00FD461B" w:rsidRPr="0057700D">
        <w:rPr>
          <w:rFonts w:eastAsia="Times New Roman"/>
          <w:noProof/>
        </w:rPr>
        <w:t>271 N.C. 250 (1967)</w:t>
      </w:r>
      <w:r w:rsidR="00FD461B" w:rsidRPr="0057700D">
        <w:rPr>
          <w:noProof/>
        </w:rPr>
        <w:tab/>
        <w:t>12</w:t>
      </w:r>
    </w:p>
    <w:p w14:paraId="2A2BBFBC" w14:textId="77777777" w:rsidR="00C64941" w:rsidRPr="0057700D" w:rsidRDefault="00C64941" w:rsidP="00C64941">
      <w:pPr>
        <w:pStyle w:val="TableofAuthorities"/>
        <w:jc w:val="left"/>
        <w:rPr>
          <w:i/>
          <w:iCs/>
          <w:noProof/>
        </w:rPr>
      </w:pPr>
    </w:p>
    <w:p w14:paraId="0EB9D46F" w14:textId="77777777" w:rsidR="00030239" w:rsidRPr="0057700D" w:rsidRDefault="00FD461B" w:rsidP="00C64941">
      <w:pPr>
        <w:pStyle w:val="TableofAuthorities"/>
        <w:jc w:val="left"/>
        <w:rPr>
          <w:noProof/>
        </w:rPr>
      </w:pPr>
      <w:r w:rsidRPr="0057700D">
        <w:rPr>
          <w:i/>
          <w:iCs/>
          <w:noProof/>
        </w:rPr>
        <w:t>State v. Buie</w:t>
      </w:r>
      <w:r w:rsidRPr="0057700D">
        <w:rPr>
          <w:noProof/>
        </w:rPr>
        <w:t xml:space="preserve">, </w:t>
      </w:r>
    </w:p>
    <w:p w14:paraId="2D538C6B" w14:textId="3A4146FB" w:rsidR="00FD461B" w:rsidRPr="0057700D" w:rsidRDefault="00030239" w:rsidP="00C64941">
      <w:pPr>
        <w:pStyle w:val="TableofAuthorities"/>
        <w:jc w:val="left"/>
        <w:rPr>
          <w:noProof/>
        </w:rPr>
      </w:pPr>
      <w:r w:rsidRPr="0057700D">
        <w:rPr>
          <w:noProof/>
        </w:rPr>
        <w:tab/>
      </w:r>
      <w:r w:rsidR="00FD461B" w:rsidRPr="0057700D">
        <w:rPr>
          <w:noProof/>
        </w:rPr>
        <w:t>297 N.C. 159 (1979)</w:t>
      </w:r>
      <w:r w:rsidR="00FD461B" w:rsidRPr="0057700D">
        <w:rPr>
          <w:noProof/>
        </w:rPr>
        <w:tab/>
        <w:t>26</w:t>
      </w:r>
    </w:p>
    <w:p w14:paraId="768FF409" w14:textId="77777777" w:rsidR="00C64941" w:rsidRPr="0057700D" w:rsidRDefault="00C64941" w:rsidP="00C64941">
      <w:pPr>
        <w:pStyle w:val="TableofAuthorities"/>
        <w:jc w:val="left"/>
        <w:rPr>
          <w:i/>
          <w:noProof/>
        </w:rPr>
      </w:pPr>
    </w:p>
    <w:p w14:paraId="7E44498D" w14:textId="77777777" w:rsidR="00030239" w:rsidRPr="0057700D" w:rsidRDefault="00FD461B" w:rsidP="00C64941">
      <w:pPr>
        <w:pStyle w:val="TableofAuthorities"/>
        <w:jc w:val="left"/>
        <w:rPr>
          <w:i/>
          <w:noProof/>
        </w:rPr>
      </w:pPr>
      <w:r w:rsidRPr="0057700D">
        <w:rPr>
          <w:i/>
          <w:noProof/>
        </w:rPr>
        <w:t xml:space="preserve">State v. Cooke, </w:t>
      </w:r>
    </w:p>
    <w:p w14:paraId="793EA190" w14:textId="7669B907" w:rsidR="00FD461B" w:rsidRPr="0057700D" w:rsidRDefault="00030239" w:rsidP="00C64941">
      <w:pPr>
        <w:pStyle w:val="TableofAuthorities"/>
        <w:jc w:val="left"/>
        <w:rPr>
          <w:noProof/>
        </w:rPr>
      </w:pPr>
      <w:r w:rsidRPr="0057700D">
        <w:rPr>
          <w:i/>
          <w:noProof/>
        </w:rPr>
        <w:tab/>
      </w:r>
      <w:r w:rsidR="00FD461B" w:rsidRPr="0057700D">
        <w:rPr>
          <w:noProof/>
        </w:rPr>
        <w:t>306 N.C. 132 (1982)</w:t>
      </w:r>
      <w:r w:rsidR="00FD461B" w:rsidRPr="0057700D">
        <w:rPr>
          <w:noProof/>
        </w:rPr>
        <w:tab/>
        <w:t>10</w:t>
      </w:r>
    </w:p>
    <w:p w14:paraId="778B412C" w14:textId="77777777" w:rsidR="00C64941" w:rsidRPr="0057700D" w:rsidRDefault="00C64941" w:rsidP="00C64941">
      <w:pPr>
        <w:pStyle w:val="TableofAuthorities"/>
        <w:jc w:val="left"/>
        <w:rPr>
          <w:rFonts w:eastAsia="Times New Roman"/>
          <w:i/>
          <w:iCs/>
          <w:noProof/>
        </w:rPr>
      </w:pPr>
    </w:p>
    <w:p w14:paraId="06D4F4BE" w14:textId="77777777" w:rsidR="00030239" w:rsidRPr="0057700D" w:rsidRDefault="00FD461B" w:rsidP="00C64941">
      <w:pPr>
        <w:pStyle w:val="TableofAuthorities"/>
        <w:jc w:val="left"/>
        <w:rPr>
          <w:rFonts w:eastAsia="Times New Roman"/>
          <w:noProof/>
        </w:rPr>
      </w:pPr>
      <w:r w:rsidRPr="0057700D">
        <w:rPr>
          <w:rFonts w:eastAsia="Times New Roman"/>
          <w:i/>
          <w:iCs/>
          <w:noProof/>
        </w:rPr>
        <w:t>State v. Hobbs</w:t>
      </w:r>
      <w:r w:rsidRPr="0057700D">
        <w:rPr>
          <w:rFonts w:eastAsia="Times New Roman"/>
          <w:noProof/>
        </w:rPr>
        <w:t xml:space="preserve">, </w:t>
      </w:r>
    </w:p>
    <w:p w14:paraId="72C8FDBB" w14:textId="7C66B48B" w:rsidR="00FD461B" w:rsidRPr="0057700D" w:rsidRDefault="00030239" w:rsidP="00C64941">
      <w:pPr>
        <w:pStyle w:val="TableofAuthorities"/>
        <w:jc w:val="left"/>
        <w:rPr>
          <w:noProof/>
        </w:rPr>
      </w:pPr>
      <w:r w:rsidRPr="0057700D">
        <w:rPr>
          <w:rFonts w:eastAsia="Times New Roman"/>
          <w:noProof/>
        </w:rPr>
        <w:tab/>
      </w:r>
      <w:r w:rsidR="00FD461B" w:rsidRPr="0057700D">
        <w:rPr>
          <w:rFonts w:eastAsia="Times New Roman"/>
          <w:noProof/>
        </w:rPr>
        <w:t>374 N.C. 345 (2020)</w:t>
      </w:r>
      <w:r w:rsidR="00FD461B" w:rsidRPr="0057700D">
        <w:rPr>
          <w:noProof/>
        </w:rPr>
        <w:tab/>
        <w:t>13, 14, 16</w:t>
      </w:r>
    </w:p>
    <w:p w14:paraId="00FEC7AE" w14:textId="77777777" w:rsidR="00C64941" w:rsidRPr="0057700D" w:rsidRDefault="00C64941" w:rsidP="00C64941">
      <w:pPr>
        <w:pStyle w:val="TableofAuthorities"/>
        <w:jc w:val="left"/>
        <w:rPr>
          <w:i/>
          <w:iCs/>
          <w:noProof/>
        </w:rPr>
      </w:pPr>
    </w:p>
    <w:p w14:paraId="05224616" w14:textId="77777777" w:rsidR="00030239" w:rsidRPr="0057700D" w:rsidRDefault="00FD461B" w:rsidP="00C64941">
      <w:pPr>
        <w:pStyle w:val="TableofAuthorities"/>
        <w:jc w:val="left"/>
        <w:rPr>
          <w:noProof/>
        </w:rPr>
      </w:pPr>
      <w:r w:rsidRPr="0057700D">
        <w:rPr>
          <w:i/>
          <w:iCs/>
          <w:noProof/>
        </w:rPr>
        <w:t>State v. Hoffman</w:t>
      </w:r>
      <w:r w:rsidRPr="0057700D">
        <w:rPr>
          <w:noProof/>
        </w:rPr>
        <w:t xml:space="preserve">, </w:t>
      </w:r>
    </w:p>
    <w:p w14:paraId="23BAE8D8" w14:textId="07DB4A3E" w:rsidR="00FD461B" w:rsidRPr="0057700D" w:rsidRDefault="00030239" w:rsidP="00C64941">
      <w:pPr>
        <w:pStyle w:val="TableofAuthorities"/>
        <w:jc w:val="left"/>
        <w:rPr>
          <w:noProof/>
        </w:rPr>
      </w:pPr>
      <w:r w:rsidRPr="0057700D">
        <w:rPr>
          <w:noProof/>
        </w:rPr>
        <w:tab/>
      </w:r>
      <w:r w:rsidR="00FD461B" w:rsidRPr="0057700D">
        <w:rPr>
          <w:noProof/>
        </w:rPr>
        <w:t>348 N.C. 548 (1998)</w:t>
      </w:r>
      <w:r w:rsidR="00FD461B" w:rsidRPr="0057700D">
        <w:rPr>
          <w:noProof/>
        </w:rPr>
        <w:tab/>
        <w:t>14</w:t>
      </w:r>
    </w:p>
    <w:p w14:paraId="10E19DC8" w14:textId="77777777" w:rsidR="00C64941" w:rsidRPr="0057700D" w:rsidRDefault="00C64941" w:rsidP="00C64941">
      <w:pPr>
        <w:pStyle w:val="TableofAuthorities"/>
        <w:jc w:val="left"/>
        <w:rPr>
          <w:i/>
          <w:iCs/>
          <w:noProof/>
        </w:rPr>
      </w:pPr>
    </w:p>
    <w:p w14:paraId="08ECEAA7" w14:textId="77777777" w:rsidR="00030239" w:rsidRPr="0057700D" w:rsidRDefault="00FD461B" w:rsidP="00C64941">
      <w:pPr>
        <w:pStyle w:val="TableofAuthorities"/>
        <w:jc w:val="left"/>
        <w:rPr>
          <w:noProof/>
        </w:rPr>
      </w:pPr>
      <w:r w:rsidRPr="0057700D">
        <w:rPr>
          <w:i/>
          <w:iCs/>
          <w:noProof/>
        </w:rPr>
        <w:t>State v. Ivey</w:t>
      </w:r>
      <w:r w:rsidRPr="0057700D">
        <w:rPr>
          <w:noProof/>
        </w:rPr>
        <w:t xml:space="preserve">, </w:t>
      </w:r>
    </w:p>
    <w:p w14:paraId="54836E53" w14:textId="43CBABBC" w:rsidR="00FD461B" w:rsidRPr="0057700D" w:rsidRDefault="00030239" w:rsidP="00C64941">
      <w:pPr>
        <w:pStyle w:val="TableofAuthorities"/>
        <w:jc w:val="left"/>
        <w:rPr>
          <w:noProof/>
        </w:rPr>
      </w:pPr>
      <w:r w:rsidRPr="0057700D">
        <w:rPr>
          <w:noProof/>
        </w:rPr>
        <w:tab/>
      </w:r>
      <w:r w:rsidR="00FD461B" w:rsidRPr="0057700D">
        <w:rPr>
          <w:noProof/>
        </w:rPr>
        <w:t>360 N.C. 562 (2006)</w:t>
      </w:r>
      <w:r w:rsidR="00634CB4" w:rsidRPr="0057700D">
        <w:rPr>
          <w:noProof/>
        </w:rPr>
        <w:t>,</w:t>
      </w:r>
      <w:r w:rsidR="00634CB4" w:rsidRPr="0057700D">
        <w:rPr>
          <w:i/>
          <w:iCs/>
          <w:szCs w:val="26"/>
        </w:rPr>
        <w:t xml:space="preserve"> abrogated in part on other grounds by State v. Styles</w:t>
      </w:r>
      <w:r w:rsidR="00634CB4" w:rsidRPr="0057700D">
        <w:rPr>
          <w:szCs w:val="26"/>
        </w:rPr>
        <w:t>, 362 N.C. 412 (2008)</w:t>
      </w:r>
      <w:r w:rsidR="00FD461B" w:rsidRPr="0057700D">
        <w:rPr>
          <w:noProof/>
        </w:rPr>
        <w:tab/>
        <w:t>11</w:t>
      </w:r>
    </w:p>
    <w:p w14:paraId="452A5F62" w14:textId="77777777" w:rsidR="00C64941" w:rsidRPr="0057700D" w:rsidRDefault="00C64941" w:rsidP="00C64941">
      <w:pPr>
        <w:pStyle w:val="TableofAuthorities"/>
        <w:jc w:val="left"/>
        <w:rPr>
          <w:i/>
          <w:iCs/>
          <w:noProof/>
        </w:rPr>
      </w:pPr>
    </w:p>
    <w:p w14:paraId="79D4069D" w14:textId="77777777" w:rsidR="00030239" w:rsidRPr="0057700D" w:rsidRDefault="00FD461B" w:rsidP="00C64941">
      <w:pPr>
        <w:pStyle w:val="TableofAuthorities"/>
        <w:jc w:val="left"/>
        <w:rPr>
          <w:noProof/>
        </w:rPr>
      </w:pPr>
      <w:r w:rsidRPr="0057700D">
        <w:rPr>
          <w:i/>
          <w:iCs/>
          <w:noProof/>
        </w:rPr>
        <w:t>State v. Johnson</w:t>
      </w:r>
      <w:r w:rsidRPr="0057700D">
        <w:rPr>
          <w:noProof/>
        </w:rPr>
        <w:t xml:space="preserve">, </w:t>
      </w:r>
    </w:p>
    <w:p w14:paraId="512C4769" w14:textId="24EFFA99" w:rsidR="00FD461B" w:rsidRPr="0057700D" w:rsidRDefault="00030239" w:rsidP="00C64941">
      <w:pPr>
        <w:pStyle w:val="TableofAuthorities"/>
        <w:jc w:val="left"/>
        <w:rPr>
          <w:noProof/>
        </w:rPr>
      </w:pPr>
      <w:r w:rsidRPr="0057700D">
        <w:rPr>
          <w:noProof/>
        </w:rPr>
        <w:tab/>
      </w:r>
      <w:r w:rsidR="00FD461B" w:rsidRPr="0057700D">
        <w:rPr>
          <w:noProof/>
        </w:rPr>
        <w:t>2021-NCSC-165</w:t>
      </w:r>
      <w:r w:rsidR="00FD461B" w:rsidRPr="0057700D">
        <w:rPr>
          <w:noProof/>
        </w:rPr>
        <w:tab/>
        <w:t>10</w:t>
      </w:r>
    </w:p>
    <w:p w14:paraId="03B38784" w14:textId="77777777" w:rsidR="00C64941" w:rsidRPr="0057700D" w:rsidRDefault="00C64941" w:rsidP="00C64941">
      <w:pPr>
        <w:pStyle w:val="TableofAuthorities"/>
        <w:jc w:val="left"/>
        <w:rPr>
          <w:i/>
          <w:iCs/>
          <w:noProof/>
        </w:rPr>
      </w:pPr>
    </w:p>
    <w:p w14:paraId="0BC12C27" w14:textId="77777777" w:rsidR="00030239" w:rsidRPr="0057700D" w:rsidRDefault="00FD461B" w:rsidP="00C64941">
      <w:pPr>
        <w:pStyle w:val="TableofAuthorities"/>
        <w:jc w:val="left"/>
        <w:rPr>
          <w:noProof/>
        </w:rPr>
      </w:pPr>
      <w:r w:rsidRPr="0057700D">
        <w:rPr>
          <w:i/>
          <w:iCs/>
          <w:noProof/>
        </w:rPr>
        <w:t>State v. Mello</w:t>
      </w:r>
      <w:r w:rsidRPr="0057700D">
        <w:rPr>
          <w:noProof/>
        </w:rPr>
        <w:t xml:space="preserve">, </w:t>
      </w:r>
    </w:p>
    <w:p w14:paraId="2ABC5825" w14:textId="670A10A7" w:rsidR="00FD461B" w:rsidRPr="0057700D" w:rsidRDefault="00030239" w:rsidP="00C64941">
      <w:pPr>
        <w:pStyle w:val="TableofAuthorities"/>
        <w:jc w:val="left"/>
        <w:rPr>
          <w:noProof/>
        </w:rPr>
      </w:pPr>
      <w:r w:rsidRPr="0057700D">
        <w:rPr>
          <w:noProof/>
        </w:rPr>
        <w:tab/>
      </w:r>
      <w:r w:rsidR="00FD461B" w:rsidRPr="0057700D">
        <w:rPr>
          <w:noProof/>
        </w:rPr>
        <w:t xml:space="preserve">200 N.C. App. </w:t>
      </w:r>
      <w:r w:rsidR="005A586B">
        <w:rPr>
          <w:noProof/>
        </w:rPr>
        <w:t>561</w:t>
      </w:r>
      <w:r w:rsidR="00FD461B" w:rsidRPr="0057700D">
        <w:rPr>
          <w:noProof/>
        </w:rPr>
        <w:t xml:space="preserve"> (2009)</w:t>
      </w:r>
      <w:r w:rsidR="00FD461B" w:rsidRPr="0057700D">
        <w:rPr>
          <w:noProof/>
        </w:rPr>
        <w:tab/>
        <w:t>26</w:t>
      </w:r>
    </w:p>
    <w:p w14:paraId="75EE230F" w14:textId="77777777" w:rsidR="00C64941" w:rsidRPr="0057700D" w:rsidRDefault="00C64941" w:rsidP="00C64941">
      <w:pPr>
        <w:pStyle w:val="TableofAuthorities"/>
        <w:jc w:val="left"/>
        <w:rPr>
          <w:i/>
          <w:iCs/>
          <w:noProof/>
        </w:rPr>
      </w:pPr>
    </w:p>
    <w:p w14:paraId="57E38854" w14:textId="3358B6A8" w:rsidR="00030239" w:rsidRPr="0057700D" w:rsidRDefault="00FD461B" w:rsidP="00C64941">
      <w:pPr>
        <w:pStyle w:val="TableofAuthorities"/>
        <w:jc w:val="left"/>
        <w:rPr>
          <w:noProof/>
        </w:rPr>
      </w:pPr>
      <w:r w:rsidRPr="0057700D">
        <w:rPr>
          <w:i/>
          <w:iCs/>
          <w:noProof/>
        </w:rPr>
        <w:lastRenderedPageBreak/>
        <w:t>State v. Parker</w:t>
      </w:r>
      <w:r w:rsidRPr="0057700D">
        <w:rPr>
          <w:noProof/>
        </w:rPr>
        <w:t xml:space="preserve">, </w:t>
      </w:r>
    </w:p>
    <w:p w14:paraId="168E447B" w14:textId="4EF1DEDF" w:rsidR="00FD461B" w:rsidRPr="0057700D" w:rsidRDefault="00030239" w:rsidP="00C64941">
      <w:pPr>
        <w:pStyle w:val="TableofAuthorities"/>
        <w:jc w:val="left"/>
        <w:rPr>
          <w:noProof/>
        </w:rPr>
      </w:pPr>
      <w:r w:rsidRPr="0057700D">
        <w:rPr>
          <w:noProof/>
        </w:rPr>
        <w:tab/>
      </w:r>
      <w:r w:rsidR="00FD461B" w:rsidRPr="0057700D">
        <w:rPr>
          <w:noProof/>
        </w:rPr>
        <w:t>2021-NCCOA-217</w:t>
      </w:r>
      <w:r w:rsidR="00FD461B" w:rsidRPr="0057700D">
        <w:rPr>
          <w:noProof/>
        </w:rPr>
        <w:tab/>
        <w:t>25</w:t>
      </w:r>
    </w:p>
    <w:p w14:paraId="356D525A" w14:textId="77777777" w:rsidR="00C64941" w:rsidRPr="0057700D" w:rsidRDefault="00C64941" w:rsidP="00C64941">
      <w:pPr>
        <w:pStyle w:val="TableofAuthorities"/>
        <w:jc w:val="left"/>
        <w:rPr>
          <w:i/>
          <w:iCs/>
          <w:noProof/>
        </w:rPr>
      </w:pPr>
    </w:p>
    <w:p w14:paraId="0B4597D0" w14:textId="77777777" w:rsidR="00030239" w:rsidRPr="0057700D" w:rsidRDefault="00FD461B" w:rsidP="00C64941">
      <w:pPr>
        <w:pStyle w:val="TableofAuthorities"/>
        <w:jc w:val="left"/>
        <w:rPr>
          <w:noProof/>
        </w:rPr>
      </w:pPr>
      <w:r w:rsidRPr="0057700D">
        <w:rPr>
          <w:i/>
          <w:iCs/>
          <w:noProof/>
        </w:rPr>
        <w:t>State v. Ruth</w:t>
      </w:r>
      <w:r w:rsidRPr="0057700D">
        <w:rPr>
          <w:noProof/>
        </w:rPr>
        <w:t xml:space="preserve">, </w:t>
      </w:r>
    </w:p>
    <w:p w14:paraId="6AE5EFA2" w14:textId="20F62C14" w:rsidR="00FD461B" w:rsidRPr="0057700D" w:rsidRDefault="00030239" w:rsidP="00C64941">
      <w:pPr>
        <w:pStyle w:val="TableofAuthorities"/>
        <w:jc w:val="left"/>
        <w:rPr>
          <w:noProof/>
        </w:rPr>
      </w:pPr>
      <w:r w:rsidRPr="0057700D">
        <w:rPr>
          <w:noProof/>
        </w:rPr>
        <w:tab/>
      </w:r>
      <w:r w:rsidR="00FD461B" w:rsidRPr="0057700D">
        <w:rPr>
          <w:noProof/>
        </w:rPr>
        <w:t xml:space="preserve">2022-NCCOA-23, </w:t>
      </w:r>
      <w:r w:rsidR="00FD461B" w:rsidRPr="0057700D">
        <w:rPr>
          <w:i/>
          <w:iCs/>
          <w:noProof/>
        </w:rPr>
        <w:t>temp</w:t>
      </w:r>
      <w:r w:rsidR="0070263C" w:rsidRPr="0057700D">
        <w:rPr>
          <w:i/>
          <w:iCs/>
          <w:noProof/>
        </w:rPr>
        <w:t>orary</w:t>
      </w:r>
      <w:r w:rsidR="00FD461B" w:rsidRPr="0057700D">
        <w:rPr>
          <w:i/>
          <w:iCs/>
          <w:noProof/>
        </w:rPr>
        <w:t xml:space="preserve"> stay granted</w:t>
      </w:r>
      <w:r w:rsidR="00FD461B" w:rsidRPr="0057700D">
        <w:rPr>
          <w:noProof/>
        </w:rPr>
        <w:t>, 2022 N.C. LEXIS 36 (N.C. Jan. 19, 2022)</w:t>
      </w:r>
      <w:r w:rsidR="00FD461B" w:rsidRPr="0057700D">
        <w:rPr>
          <w:noProof/>
        </w:rPr>
        <w:tab/>
        <w:t>31</w:t>
      </w:r>
    </w:p>
    <w:p w14:paraId="2F3B42F5" w14:textId="77777777" w:rsidR="00C64941" w:rsidRPr="0057700D" w:rsidRDefault="00C64941" w:rsidP="00C64941">
      <w:pPr>
        <w:pStyle w:val="TableofAuthorities"/>
        <w:jc w:val="left"/>
        <w:rPr>
          <w:i/>
          <w:iCs/>
          <w:noProof/>
        </w:rPr>
      </w:pPr>
    </w:p>
    <w:p w14:paraId="77FE117F" w14:textId="77777777" w:rsidR="00136DF1" w:rsidRPr="0057700D" w:rsidRDefault="00136DF1" w:rsidP="00C64941">
      <w:pPr>
        <w:pStyle w:val="TableofAuthorities"/>
        <w:jc w:val="left"/>
        <w:rPr>
          <w:szCs w:val="26"/>
        </w:rPr>
      </w:pPr>
      <w:r w:rsidRPr="0057700D">
        <w:rPr>
          <w:i/>
          <w:iCs/>
          <w:szCs w:val="26"/>
        </w:rPr>
        <w:t>State v. Style</w:t>
      </w:r>
      <w:r w:rsidRPr="0057700D">
        <w:rPr>
          <w:szCs w:val="26"/>
        </w:rPr>
        <w:t xml:space="preserve">s, </w:t>
      </w:r>
    </w:p>
    <w:p w14:paraId="43B8C576" w14:textId="6BB897DE" w:rsidR="00136DF1" w:rsidRPr="0057700D" w:rsidRDefault="00136DF1" w:rsidP="00C64941">
      <w:pPr>
        <w:pStyle w:val="TableofAuthorities"/>
        <w:jc w:val="left"/>
        <w:rPr>
          <w:szCs w:val="26"/>
        </w:rPr>
      </w:pPr>
      <w:r w:rsidRPr="0057700D">
        <w:rPr>
          <w:szCs w:val="26"/>
        </w:rPr>
        <w:tab/>
        <w:t>362 N.C. 412 (2008)</w:t>
      </w:r>
      <w:r w:rsidRPr="0057700D">
        <w:rPr>
          <w:szCs w:val="26"/>
        </w:rPr>
        <w:tab/>
        <w:t>26</w:t>
      </w:r>
    </w:p>
    <w:p w14:paraId="0DCDA81C" w14:textId="77777777" w:rsidR="00136DF1" w:rsidRPr="0057700D" w:rsidRDefault="00136DF1" w:rsidP="00C64941">
      <w:pPr>
        <w:pStyle w:val="TableofAuthorities"/>
        <w:jc w:val="left"/>
        <w:rPr>
          <w:szCs w:val="26"/>
        </w:rPr>
      </w:pPr>
    </w:p>
    <w:p w14:paraId="26E5B611" w14:textId="227C18BC" w:rsidR="00030239" w:rsidRPr="0057700D" w:rsidRDefault="00FD461B" w:rsidP="00C64941">
      <w:pPr>
        <w:pStyle w:val="TableofAuthorities"/>
        <w:jc w:val="left"/>
        <w:rPr>
          <w:rFonts w:eastAsia="Times New Roman"/>
          <w:noProof/>
        </w:rPr>
      </w:pPr>
      <w:r w:rsidRPr="0057700D">
        <w:rPr>
          <w:rFonts w:eastAsia="Times New Roman"/>
          <w:i/>
          <w:iCs/>
          <w:noProof/>
        </w:rPr>
        <w:t>State v. Taylor</w:t>
      </w:r>
      <w:r w:rsidRPr="0057700D">
        <w:rPr>
          <w:rFonts w:eastAsia="Times New Roman"/>
          <w:noProof/>
        </w:rPr>
        <w:t xml:space="preserve">, </w:t>
      </w:r>
    </w:p>
    <w:p w14:paraId="7E819B09" w14:textId="47216ED0" w:rsidR="00FD461B" w:rsidRPr="0057700D" w:rsidRDefault="00030239" w:rsidP="00C64941">
      <w:pPr>
        <w:pStyle w:val="TableofAuthorities"/>
        <w:jc w:val="left"/>
        <w:rPr>
          <w:noProof/>
        </w:rPr>
      </w:pPr>
      <w:r w:rsidRPr="0057700D">
        <w:rPr>
          <w:rFonts w:eastAsia="Times New Roman"/>
          <w:noProof/>
        </w:rPr>
        <w:tab/>
      </w:r>
      <w:r w:rsidR="00FD461B" w:rsidRPr="0057700D">
        <w:rPr>
          <w:rFonts w:eastAsia="Times New Roman"/>
          <w:noProof/>
        </w:rPr>
        <w:t>362 N.C. 514 (2008)</w:t>
      </w:r>
      <w:r w:rsidR="00FD461B" w:rsidRPr="0057700D">
        <w:rPr>
          <w:noProof/>
        </w:rPr>
        <w:tab/>
        <w:t>12</w:t>
      </w:r>
    </w:p>
    <w:p w14:paraId="427BCADF" w14:textId="77777777" w:rsidR="00C64941" w:rsidRPr="0057700D" w:rsidRDefault="00C64941" w:rsidP="00C64941">
      <w:pPr>
        <w:pStyle w:val="TableofAuthorities"/>
        <w:jc w:val="left"/>
        <w:rPr>
          <w:i/>
          <w:iCs/>
          <w:noProof/>
        </w:rPr>
      </w:pPr>
    </w:p>
    <w:p w14:paraId="7E8A8C1A" w14:textId="77777777" w:rsidR="00030239" w:rsidRPr="0057700D" w:rsidRDefault="00FD461B" w:rsidP="00C64941">
      <w:pPr>
        <w:pStyle w:val="TableofAuthorities"/>
        <w:jc w:val="left"/>
        <w:rPr>
          <w:noProof/>
        </w:rPr>
      </w:pPr>
      <w:r w:rsidRPr="0057700D">
        <w:rPr>
          <w:i/>
          <w:iCs/>
          <w:noProof/>
        </w:rPr>
        <w:t>State v. Thorpe</w:t>
      </w:r>
      <w:r w:rsidRPr="0057700D">
        <w:rPr>
          <w:noProof/>
        </w:rPr>
        <w:t xml:space="preserve">, </w:t>
      </w:r>
    </w:p>
    <w:p w14:paraId="4D25B715" w14:textId="50A4C635" w:rsidR="00FD461B" w:rsidRPr="0057700D" w:rsidRDefault="00030239" w:rsidP="00C64941">
      <w:pPr>
        <w:pStyle w:val="TableofAuthorities"/>
        <w:jc w:val="left"/>
        <w:rPr>
          <w:noProof/>
        </w:rPr>
      </w:pPr>
      <w:r w:rsidRPr="0057700D">
        <w:rPr>
          <w:noProof/>
        </w:rPr>
        <w:tab/>
      </w:r>
      <w:r w:rsidR="00FD461B" w:rsidRPr="0057700D">
        <w:rPr>
          <w:noProof/>
        </w:rPr>
        <w:t>326 N.C. 451 (1990)</w:t>
      </w:r>
      <w:r w:rsidR="00FD461B" w:rsidRPr="0057700D">
        <w:rPr>
          <w:noProof/>
        </w:rPr>
        <w:tab/>
        <w:t>12</w:t>
      </w:r>
    </w:p>
    <w:p w14:paraId="23992B33" w14:textId="77777777" w:rsidR="00C64941" w:rsidRPr="0057700D" w:rsidRDefault="00C64941" w:rsidP="00C64941">
      <w:pPr>
        <w:pStyle w:val="TableofAuthorities"/>
        <w:jc w:val="left"/>
        <w:rPr>
          <w:rFonts w:eastAsia="Times New Roman"/>
          <w:i/>
          <w:iCs/>
          <w:noProof/>
        </w:rPr>
      </w:pPr>
    </w:p>
    <w:p w14:paraId="25058560" w14:textId="77777777" w:rsidR="00030239" w:rsidRPr="0057700D" w:rsidRDefault="00FD461B" w:rsidP="00C64941">
      <w:pPr>
        <w:pStyle w:val="TableofAuthorities"/>
        <w:jc w:val="left"/>
        <w:rPr>
          <w:rFonts w:eastAsia="Times New Roman"/>
          <w:noProof/>
        </w:rPr>
      </w:pPr>
      <w:r w:rsidRPr="0057700D">
        <w:rPr>
          <w:rFonts w:eastAsia="Times New Roman"/>
          <w:i/>
          <w:iCs/>
          <w:noProof/>
        </w:rPr>
        <w:t>State v. Ward</w:t>
      </w:r>
      <w:r w:rsidRPr="0057700D">
        <w:rPr>
          <w:rFonts w:eastAsia="Times New Roman"/>
          <w:noProof/>
        </w:rPr>
        <w:t xml:space="preserve">, </w:t>
      </w:r>
    </w:p>
    <w:p w14:paraId="3AED8290" w14:textId="67E3E26F" w:rsidR="00FD461B" w:rsidRPr="0057700D" w:rsidRDefault="00030239" w:rsidP="00C64941">
      <w:pPr>
        <w:pStyle w:val="TableofAuthorities"/>
        <w:jc w:val="left"/>
        <w:rPr>
          <w:noProof/>
        </w:rPr>
      </w:pPr>
      <w:r w:rsidRPr="0057700D">
        <w:rPr>
          <w:rFonts w:eastAsia="Times New Roman"/>
          <w:noProof/>
        </w:rPr>
        <w:tab/>
      </w:r>
      <w:r w:rsidR="00FD461B" w:rsidRPr="0057700D">
        <w:rPr>
          <w:rFonts w:eastAsia="Times New Roman"/>
          <w:noProof/>
        </w:rPr>
        <w:t>66 N.C. App. 352 (1984)</w:t>
      </w:r>
      <w:r w:rsidR="00FD461B" w:rsidRPr="0057700D">
        <w:rPr>
          <w:noProof/>
        </w:rPr>
        <w:tab/>
        <w:t>13</w:t>
      </w:r>
    </w:p>
    <w:p w14:paraId="185C7B2B" w14:textId="77777777" w:rsidR="00C64941" w:rsidRPr="0057700D" w:rsidRDefault="00C64941" w:rsidP="00C64941">
      <w:pPr>
        <w:pStyle w:val="TableofAuthorities"/>
        <w:jc w:val="left"/>
        <w:rPr>
          <w:i/>
          <w:iCs/>
          <w:noProof/>
        </w:rPr>
      </w:pPr>
    </w:p>
    <w:p w14:paraId="1AD26CA4" w14:textId="77777777" w:rsidR="00030239" w:rsidRPr="0057700D" w:rsidRDefault="00FD461B" w:rsidP="00C64941">
      <w:pPr>
        <w:pStyle w:val="TableofAuthorities"/>
        <w:jc w:val="left"/>
        <w:rPr>
          <w:noProof/>
        </w:rPr>
      </w:pPr>
      <w:r w:rsidRPr="0057700D">
        <w:rPr>
          <w:i/>
          <w:iCs/>
          <w:noProof/>
        </w:rPr>
        <w:t>State v. Wright</w:t>
      </w:r>
      <w:r w:rsidRPr="0057700D">
        <w:rPr>
          <w:noProof/>
        </w:rPr>
        <w:t xml:space="preserve">, </w:t>
      </w:r>
    </w:p>
    <w:p w14:paraId="44B6914C" w14:textId="52CFCA0F" w:rsidR="00FD461B" w:rsidRPr="0057700D" w:rsidRDefault="00030239" w:rsidP="00C64941">
      <w:pPr>
        <w:pStyle w:val="TableofAuthorities"/>
        <w:jc w:val="left"/>
        <w:rPr>
          <w:noProof/>
        </w:rPr>
      </w:pPr>
      <w:r w:rsidRPr="0057700D">
        <w:rPr>
          <w:noProof/>
        </w:rPr>
        <w:tab/>
      </w:r>
      <w:r w:rsidR="00FD461B" w:rsidRPr="0057700D">
        <w:rPr>
          <w:noProof/>
        </w:rPr>
        <w:t>189 N.C. App. 346 (2008)</w:t>
      </w:r>
      <w:r w:rsidR="00FD461B" w:rsidRPr="0057700D">
        <w:rPr>
          <w:noProof/>
        </w:rPr>
        <w:tab/>
        <w:t>31</w:t>
      </w:r>
    </w:p>
    <w:p w14:paraId="78472E36" w14:textId="77777777" w:rsidR="00C64941" w:rsidRPr="0057700D" w:rsidRDefault="00C64941" w:rsidP="00C64941">
      <w:pPr>
        <w:pStyle w:val="TableofAuthorities"/>
        <w:jc w:val="left"/>
        <w:rPr>
          <w:i/>
          <w:iCs/>
          <w:noProof/>
        </w:rPr>
      </w:pPr>
    </w:p>
    <w:p w14:paraId="10534C4D" w14:textId="77777777" w:rsidR="00030239" w:rsidRPr="0057700D" w:rsidRDefault="00FD461B" w:rsidP="00C64941">
      <w:pPr>
        <w:pStyle w:val="TableofAuthorities"/>
        <w:jc w:val="left"/>
        <w:rPr>
          <w:noProof/>
        </w:rPr>
      </w:pPr>
      <w:r w:rsidRPr="0057700D">
        <w:rPr>
          <w:i/>
          <w:iCs/>
          <w:noProof/>
        </w:rPr>
        <w:t>Swain v. Alabama</w:t>
      </w:r>
      <w:r w:rsidRPr="0057700D">
        <w:rPr>
          <w:noProof/>
        </w:rPr>
        <w:t xml:space="preserve">, </w:t>
      </w:r>
    </w:p>
    <w:p w14:paraId="2AF0F949" w14:textId="66A2DC25" w:rsidR="00FD461B" w:rsidRPr="0057700D" w:rsidRDefault="00030239" w:rsidP="00C64941">
      <w:pPr>
        <w:pStyle w:val="TableofAuthorities"/>
        <w:jc w:val="left"/>
        <w:rPr>
          <w:noProof/>
        </w:rPr>
      </w:pPr>
      <w:r w:rsidRPr="0057700D">
        <w:rPr>
          <w:noProof/>
        </w:rPr>
        <w:tab/>
      </w:r>
      <w:r w:rsidR="00FD461B" w:rsidRPr="0057700D">
        <w:rPr>
          <w:noProof/>
        </w:rPr>
        <w:t>380 U.S. 202 (1965)</w:t>
      </w:r>
      <w:r w:rsidR="00FD461B" w:rsidRPr="0057700D">
        <w:rPr>
          <w:noProof/>
        </w:rPr>
        <w:tab/>
        <w:t>16</w:t>
      </w:r>
    </w:p>
    <w:p w14:paraId="41DDAC5F" w14:textId="77777777" w:rsidR="00C64941" w:rsidRPr="0057700D" w:rsidRDefault="00C64941" w:rsidP="00C64941">
      <w:pPr>
        <w:pStyle w:val="TableofAuthorities"/>
        <w:jc w:val="left"/>
        <w:rPr>
          <w:i/>
          <w:iCs/>
          <w:noProof/>
        </w:rPr>
      </w:pPr>
    </w:p>
    <w:p w14:paraId="23EF133C" w14:textId="77777777" w:rsidR="00030239" w:rsidRPr="0057700D" w:rsidRDefault="00FD461B" w:rsidP="00C64941">
      <w:pPr>
        <w:pStyle w:val="TableofAuthorities"/>
        <w:jc w:val="left"/>
        <w:rPr>
          <w:noProof/>
        </w:rPr>
      </w:pPr>
      <w:r w:rsidRPr="0057700D">
        <w:rPr>
          <w:i/>
          <w:iCs/>
          <w:noProof/>
        </w:rPr>
        <w:t>United States v. Crowthers</w:t>
      </w:r>
      <w:r w:rsidRPr="0057700D">
        <w:rPr>
          <w:noProof/>
        </w:rPr>
        <w:t xml:space="preserve">, </w:t>
      </w:r>
    </w:p>
    <w:p w14:paraId="799835D7" w14:textId="2F7D7426" w:rsidR="00FD461B" w:rsidRPr="0057700D" w:rsidRDefault="00030239" w:rsidP="00C64941">
      <w:pPr>
        <w:pStyle w:val="TableofAuthorities"/>
        <w:jc w:val="left"/>
        <w:rPr>
          <w:noProof/>
        </w:rPr>
      </w:pPr>
      <w:r w:rsidRPr="0057700D">
        <w:rPr>
          <w:noProof/>
        </w:rPr>
        <w:tab/>
      </w:r>
      <w:r w:rsidR="00FD461B" w:rsidRPr="0057700D">
        <w:rPr>
          <w:noProof/>
        </w:rPr>
        <w:t>456 F.2d 1074 (4th Cir. 1972)</w:t>
      </w:r>
      <w:r w:rsidR="00FD461B" w:rsidRPr="0057700D">
        <w:rPr>
          <w:noProof/>
        </w:rPr>
        <w:tab/>
      </w:r>
      <w:r w:rsidR="00C21844" w:rsidRPr="0057700D">
        <w:rPr>
          <w:noProof/>
        </w:rPr>
        <w:t>17-</w:t>
      </w:r>
      <w:r w:rsidR="00FD461B" w:rsidRPr="0057700D">
        <w:rPr>
          <w:noProof/>
        </w:rPr>
        <w:t>18</w:t>
      </w:r>
    </w:p>
    <w:p w14:paraId="2C2C1925" w14:textId="77777777" w:rsidR="00C64941" w:rsidRPr="0057700D" w:rsidRDefault="00C64941" w:rsidP="00C64941">
      <w:pPr>
        <w:pStyle w:val="TableofAuthorities"/>
        <w:jc w:val="left"/>
        <w:rPr>
          <w:i/>
          <w:iCs/>
          <w:noProof/>
        </w:rPr>
      </w:pPr>
    </w:p>
    <w:p w14:paraId="275B211A" w14:textId="77777777" w:rsidR="00030239" w:rsidRPr="0057700D" w:rsidRDefault="00FD461B" w:rsidP="00C64941">
      <w:pPr>
        <w:pStyle w:val="TableofAuthorities"/>
        <w:jc w:val="left"/>
        <w:rPr>
          <w:i/>
          <w:iCs/>
          <w:noProof/>
        </w:rPr>
      </w:pPr>
      <w:r w:rsidRPr="0057700D">
        <w:rPr>
          <w:i/>
          <w:iCs/>
          <w:noProof/>
        </w:rPr>
        <w:t xml:space="preserve">United States v. Foster, </w:t>
      </w:r>
    </w:p>
    <w:p w14:paraId="5F566E84" w14:textId="6A2E9059" w:rsidR="00FD461B" w:rsidRPr="0057700D" w:rsidRDefault="00030239" w:rsidP="00C64941">
      <w:pPr>
        <w:pStyle w:val="TableofAuthorities"/>
        <w:jc w:val="left"/>
        <w:rPr>
          <w:noProof/>
        </w:rPr>
      </w:pPr>
      <w:r w:rsidRPr="0057700D">
        <w:rPr>
          <w:i/>
          <w:iCs/>
          <w:noProof/>
        </w:rPr>
        <w:tab/>
      </w:r>
      <w:r w:rsidR="00FD461B" w:rsidRPr="0057700D">
        <w:rPr>
          <w:noProof/>
        </w:rPr>
        <w:t>634 F.3d 243 (4th Cir. 2011)</w:t>
      </w:r>
      <w:r w:rsidR="00FD461B" w:rsidRPr="0057700D">
        <w:rPr>
          <w:noProof/>
        </w:rPr>
        <w:tab/>
        <w:t>27, 28</w:t>
      </w:r>
    </w:p>
    <w:p w14:paraId="1905F8E4" w14:textId="77777777" w:rsidR="00C64941" w:rsidRPr="0057700D" w:rsidRDefault="00C64941" w:rsidP="00C64941">
      <w:pPr>
        <w:pStyle w:val="TableofAuthorities"/>
        <w:jc w:val="left"/>
        <w:rPr>
          <w:i/>
          <w:iCs/>
          <w:noProof/>
        </w:rPr>
      </w:pPr>
    </w:p>
    <w:p w14:paraId="54F9DE78" w14:textId="77777777" w:rsidR="00030239" w:rsidRPr="0057700D" w:rsidRDefault="00FD461B" w:rsidP="00C64941">
      <w:pPr>
        <w:pStyle w:val="TableofAuthorities"/>
        <w:jc w:val="left"/>
        <w:rPr>
          <w:noProof/>
        </w:rPr>
      </w:pPr>
      <w:r w:rsidRPr="0057700D">
        <w:rPr>
          <w:i/>
          <w:iCs/>
          <w:noProof/>
        </w:rPr>
        <w:t>Washington v. Davis</w:t>
      </w:r>
      <w:r w:rsidRPr="0057700D">
        <w:rPr>
          <w:noProof/>
        </w:rPr>
        <w:t xml:space="preserve">, </w:t>
      </w:r>
    </w:p>
    <w:p w14:paraId="0DA16E85" w14:textId="28EF0952" w:rsidR="00FD461B" w:rsidRPr="0057700D" w:rsidRDefault="00030239" w:rsidP="00C64941">
      <w:pPr>
        <w:pStyle w:val="TableofAuthorities"/>
        <w:jc w:val="left"/>
        <w:rPr>
          <w:noProof/>
        </w:rPr>
      </w:pPr>
      <w:r w:rsidRPr="0057700D">
        <w:rPr>
          <w:noProof/>
        </w:rPr>
        <w:tab/>
      </w:r>
      <w:r w:rsidR="00FD461B" w:rsidRPr="0057700D">
        <w:rPr>
          <w:noProof/>
        </w:rPr>
        <w:t>426 U.S. 229 (1976)</w:t>
      </w:r>
      <w:r w:rsidR="00FD461B" w:rsidRPr="0057700D">
        <w:rPr>
          <w:noProof/>
        </w:rPr>
        <w:tab/>
        <w:t>12</w:t>
      </w:r>
    </w:p>
    <w:p w14:paraId="0539E741" w14:textId="77777777" w:rsidR="00C64941" w:rsidRPr="0057700D" w:rsidRDefault="00C64941" w:rsidP="00C64941">
      <w:pPr>
        <w:pStyle w:val="TableofAuthorities"/>
        <w:jc w:val="left"/>
        <w:rPr>
          <w:i/>
          <w:iCs/>
          <w:noProof/>
        </w:rPr>
      </w:pPr>
    </w:p>
    <w:p w14:paraId="50AF0965" w14:textId="77777777" w:rsidR="00030239" w:rsidRPr="0057700D" w:rsidRDefault="00FD461B" w:rsidP="00C64941">
      <w:pPr>
        <w:pStyle w:val="TableofAuthorities"/>
        <w:jc w:val="left"/>
        <w:rPr>
          <w:noProof/>
        </w:rPr>
      </w:pPr>
      <w:r w:rsidRPr="0057700D">
        <w:rPr>
          <w:i/>
          <w:iCs/>
          <w:noProof/>
        </w:rPr>
        <w:t>Wayte v. United States</w:t>
      </w:r>
      <w:r w:rsidRPr="0057700D">
        <w:rPr>
          <w:noProof/>
        </w:rPr>
        <w:t xml:space="preserve">, </w:t>
      </w:r>
    </w:p>
    <w:p w14:paraId="05199ED7" w14:textId="5963C55B" w:rsidR="00FD461B" w:rsidRPr="0057700D" w:rsidRDefault="00030239" w:rsidP="00C64941">
      <w:pPr>
        <w:pStyle w:val="TableofAuthorities"/>
        <w:jc w:val="left"/>
        <w:rPr>
          <w:noProof/>
        </w:rPr>
      </w:pPr>
      <w:r w:rsidRPr="0057700D">
        <w:rPr>
          <w:noProof/>
        </w:rPr>
        <w:tab/>
      </w:r>
      <w:r w:rsidR="00FD461B" w:rsidRPr="0057700D">
        <w:rPr>
          <w:noProof/>
        </w:rPr>
        <w:t>470 U.S. 598 (1985)</w:t>
      </w:r>
      <w:r w:rsidR="00FD461B" w:rsidRPr="0057700D">
        <w:rPr>
          <w:noProof/>
        </w:rPr>
        <w:tab/>
      </w:r>
      <w:r w:rsidR="00C21844" w:rsidRPr="0057700D">
        <w:rPr>
          <w:noProof/>
        </w:rPr>
        <w:t>11-</w:t>
      </w:r>
      <w:r w:rsidR="00FD461B" w:rsidRPr="0057700D">
        <w:rPr>
          <w:noProof/>
        </w:rPr>
        <w:t>12</w:t>
      </w:r>
    </w:p>
    <w:p w14:paraId="3B70C123" w14:textId="77777777" w:rsidR="007B189D" w:rsidRPr="0057700D" w:rsidRDefault="007B189D" w:rsidP="00C64941">
      <w:pPr>
        <w:pStyle w:val="TableofAuthorities"/>
        <w:jc w:val="left"/>
        <w:rPr>
          <w:i/>
          <w:iCs/>
          <w:szCs w:val="26"/>
        </w:rPr>
      </w:pPr>
    </w:p>
    <w:p w14:paraId="5CCDCC3C" w14:textId="77777777" w:rsidR="007B189D" w:rsidRPr="0057700D" w:rsidRDefault="007B189D" w:rsidP="00C64941">
      <w:pPr>
        <w:pStyle w:val="TableofAuthorities"/>
        <w:jc w:val="left"/>
        <w:rPr>
          <w:i/>
          <w:iCs/>
          <w:szCs w:val="26"/>
        </w:rPr>
      </w:pPr>
      <w:r w:rsidRPr="0057700D">
        <w:rPr>
          <w:i/>
          <w:iCs/>
          <w:szCs w:val="26"/>
        </w:rPr>
        <w:t xml:space="preserve">Whren v. United States, </w:t>
      </w:r>
    </w:p>
    <w:p w14:paraId="7A046FC4" w14:textId="1EE1623A" w:rsidR="00C64941" w:rsidRPr="0057700D" w:rsidRDefault="007B189D" w:rsidP="00C64941">
      <w:pPr>
        <w:pStyle w:val="TableofAuthorities"/>
        <w:jc w:val="left"/>
        <w:rPr>
          <w:i/>
          <w:iCs/>
          <w:noProof/>
        </w:rPr>
      </w:pPr>
      <w:r w:rsidRPr="0057700D">
        <w:rPr>
          <w:i/>
          <w:iCs/>
          <w:szCs w:val="26"/>
        </w:rPr>
        <w:tab/>
      </w:r>
      <w:r w:rsidRPr="0057700D">
        <w:rPr>
          <w:szCs w:val="26"/>
        </w:rPr>
        <w:t>517 U.S. 806 (1996)</w:t>
      </w:r>
      <w:r w:rsidRPr="0057700D">
        <w:rPr>
          <w:szCs w:val="26"/>
        </w:rPr>
        <w:tab/>
        <w:t>11</w:t>
      </w:r>
    </w:p>
    <w:p w14:paraId="1E3A0712" w14:textId="77777777" w:rsidR="003F502C" w:rsidRPr="0057700D" w:rsidRDefault="003F502C" w:rsidP="00C64941">
      <w:pPr>
        <w:pStyle w:val="TableofAuthorities"/>
        <w:jc w:val="left"/>
        <w:rPr>
          <w:i/>
          <w:iCs/>
          <w:noProof/>
        </w:rPr>
      </w:pPr>
    </w:p>
    <w:p w14:paraId="0F8DD867" w14:textId="16B7A4CD" w:rsidR="00030239" w:rsidRPr="0057700D" w:rsidRDefault="00FD461B" w:rsidP="00C64941">
      <w:pPr>
        <w:pStyle w:val="TableofAuthorities"/>
        <w:jc w:val="left"/>
        <w:rPr>
          <w:noProof/>
        </w:rPr>
      </w:pPr>
      <w:r w:rsidRPr="0057700D">
        <w:rPr>
          <w:i/>
          <w:iCs/>
          <w:noProof/>
        </w:rPr>
        <w:lastRenderedPageBreak/>
        <w:t>Yick Wo v. Hopkins,</w:t>
      </w:r>
      <w:r w:rsidRPr="0057700D">
        <w:rPr>
          <w:noProof/>
        </w:rPr>
        <w:t xml:space="preserve"> </w:t>
      </w:r>
    </w:p>
    <w:p w14:paraId="42EF4C43" w14:textId="4BABE18A" w:rsidR="00FD461B" w:rsidRPr="0057700D" w:rsidRDefault="00030239" w:rsidP="00C64941">
      <w:pPr>
        <w:pStyle w:val="TableofAuthorities"/>
        <w:jc w:val="left"/>
        <w:rPr>
          <w:noProof/>
        </w:rPr>
      </w:pPr>
      <w:r w:rsidRPr="0057700D">
        <w:rPr>
          <w:noProof/>
        </w:rPr>
        <w:tab/>
      </w:r>
      <w:r w:rsidR="00FD461B" w:rsidRPr="0057700D">
        <w:rPr>
          <w:noProof/>
        </w:rPr>
        <w:t>118 U.S. 356 (1886)</w:t>
      </w:r>
      <w:r w:rsidR="00FD461B" w:rsidRPr="0057700D">
        <w:rPr>
          <w:noProof/>
        </w:rPr>
        <w:tab/>
        <w:t xml:space="preserve">11, </w:t>
      </w:r>
      <w:r w:rsidR="00C21844" w:rsidRPr="0057700D">
        <w:rPr>
          <w:noProof/>
        </w:rPr>
        <w:t>31-</w:t>
      </w:r>
      <w:r w:rsidR="00FD461B" w:rsidRPr="0057700D">
        <w:rPr>
          <w:noProof/>
        </w:rPr>
        <w:t>32</w:t>
      </w:r>
    </w:p>
    <w:p w14:paraId="5AC33F4B" w14:textId="77777777" w:rsidR="00136DF1" w:rsidRPr="0057700D" w:rsidRDefault="00FD461B" w:rsidP="003C6DC8">
      <w:pPr>
        <w:pStyle w:val="TOAHeading"/>
        <w:tabs>
          <w:tab w:val="right" w:leader="dot" w:pos="7190"/>
        </w:tabs>
        <w:rPr>
          <w:rFonts w:eastAsia="Calibri"/>
          <w:b w:val="0"/>
          <w:bCs w:val="0"/>
          <w:szCs w:val="26"/>
        </w:rPr>
      </w:pPr>
      <w:r w:rsidRPr="0057700D">
        <w:rPr>
          <w:rFonts w:eastAsia="Calibri"/>
          <w:b w:val="0"/>
          <w:bCs w:val="0"/>
          <w:szCs w:val="26"/>
        </w:rPr>
        <w:fldChar w:fldCharType="end"/>
      </w:r>
      <w:bookmarkStart w:id="0" w:name="_Hlk94615314"/>
    </w:p>
    <w:p w14:paraId="16A5AD30" w14:textId="23A70DA5" w:rsidR="003C6DC8" w:rsidRPr="0057700D" w:rsidRDefault="003C6DC8" w:rsidP="005F3605">
      <w:pPr>
        <w:pStyle w:val="TOAHeading"/>
        <w:tabs>
          <w:tab w:val="right" w:leader="dot" w:pos="7190"/>
        </w:tabs>
        <w:spacing w:before="120"/>
        <w:rPr>
          <w:rFonts w:asciiTheme="minorHAnsi" w:eastAsiaTheme="minorEastAsia" w:hAnsiTheme="minorHAnsi" w:cstheme="minorBidi"/>
          <w:b w:val="0"/>
          <w:bCs w:val="0"/>
          <w:noProof/>
          <w:sz w:val="22"/>
          <w:szCs w:val="22"/>
        </w:rPr>
      </w:pPr>
      <w:r w:rsidRPr="0057700D">
        <w:rPr>
          <w:rFonts w:eastAsia="Calibri"/>
          <w:b w:val="0"/>
          <w:bCs w:val="0"/>
          <w:szCs w:val="26"/>
        </w:rPr>
        <w:fldChar w:fldCharType="begin"/>
      </w:r>
      <w:r w:rsidRPr="0057700D">
        <w:rPr>
          <w:rFonts w:eastAsia="Calibri"/>
          <w:b w:val="0"/>
          <w:bCs w:val="0"/>
          <w:szCs w:val="26"/>
        </w:rPr>
        <w:instrText xml:space="preserve"> TOA \h \c "7" \p </w:instrText>
      </w:r>
      <w:r w:rsidRPr="0057700D">
        <w:rPr>
          <w:rFonts w:eastAsia="Calibri"/>
          <w:b w:val="0"/>
          <w:bCs w:val="0"/>
          <w:szCs w:val="26"/>
        </w:rPr>
        <w:fldChar w:fldCharType="separate"/>
      </w:r>
      <w:r w:rsidRPr="0057700D">
        <w:rPr>
          <w:noProof/>
        </w:rPr>
        <w:t>Constitutional Provisions</w:t>
      </w:r>
    </w:p>
    <w:p w14:paraId="6CF1BE96" w14:textId="77777777" w:rsidR="003C6DC8" w:rsidRPr="0057700D" w:rsidRDefault="003C6DC8" w:rsidP="003C6DC8">
      <w:pPr>
        <w:pStyle w:val="TableofAuthorities"/>
        <w:tabs>
          <w:tab w:val="clear" w:pos="7200"/>
          <w:tab w:val="right" w:leader="dot" w:pos="7190"/>
        </w:tabs>
        <w:rPr>
          <w:noProof/>
        </w:rPr>
      </w:pPr>
    </w:p>
    <w:p w14:paraId="40B03A51" w14:textId="77777777" w:rsidR="003C6DC8" w:rsidRPr="0057700D" w:rsidRDefault="003C6DC8" w:rsidP="003C6DC8">
      <w:pPr>
        <w:pStyle w:val="TableofAuthorities"/>
        <w:tabs>
          <w:tab w:val="clear" w:pos="7200"/>
          <w:tab w:val="right" w:leader="dot" w:pos="7190"/>
        </w:tabs>
        <w:rPr>
          <w:noProof/>
        </w:rPr>
      </w:pPr>
      <w:r w:rsidRPr="0057700D">
        <w:rPr>
          <w:noProof/>
        </w:rPr>
        <w:t>U.S. Const. amend. XIV</w:t>
      </w:r>
      <w:r w:rsidRPr="0057700D">
        <w:rPr>
          <w:noProof/>
        </w:rPr>
        <w:tab/>
        <w:t>11</w:t>
      </w:r>
    </w:p>
    <w:p w14:paraId="55330680" w14:textId="77777777" w:rsidR="003C6DC8" w:rsidRPr="0057700D" w:rsidRDefault="003C6DC8" w:rsidP="003C6DC8">
      <w:pPr>
        <w:pStyle w:val="TableofAuthorities"/>
        <w:tabs>
          <w:tab w:val="clear" w:pos="7200"/>
          <w:tab w:val="right" w:leader="dot" w:pos="7190"/>
        </w:tabs>
        <w:rPr>
          <w:noProof/>
        </w:rPr>
      </w:pPr>
    </w:p>
    <w:p w14:paraId="11296A85" w14:textId="43BA17E2" w:rsidR="003C6DC8" w:rsidRPr="0057700D" w:rsidRDefault="003C6DC8" w:rsidP="003C6DC8">
      <w:pPr>
        <w:pStyle w:val="TableofAuthorities"/>
        <w:tabs>
          <w:tab w:val="clear" w:pos="7200"/>
          <w:tab w:val="right" w:leader="dot" w:pos="7190"/>
        </w:tabs>
        <w:rPr>
          <w:noProof/>
        </w:rPr>
      </w:pPr>
      <w:r w:rsidRPr="0057700D">
        <w:rPr>
          <w:noProof/>
        </w:rPr>
        <w:t>N.C. Const. art. I, § 19</w:t>
      </w:r>
      <w:r w:rsidRPr="0057700D">
        <w:rPr>
          <w:noProof/>
        </w:rPr>
        <w:tab/>
        <w:t>11</w:t>
      </w:r>
    </w:p>
    <w:p w14:paraId="133A0083" w14:textId="77777777" w:rsidR="003C6DC8" w:rsidRPr="0057700D" w:rsidRDefault="003C6DC8" w:rsidP="003C6DC8">
      <w:pPr>
        <w:pStyle w:val="TOAHeading"/>
        <w:tabs>
          <w:tab w:val="right" w:leader="dot" w:pos="7190"/>
        </w:tabs>
        <w:rPr>
          <w:rFonts w:eastAsia="Calibri"/>
          <w:b w:val="0"/>
          <w:bCs w:val="0"/>
          <w:szCs w:val="26"/>
        </w:rPr>
      </w:pPr>
      <w:r w:rsidRPr="0057700D">
        <w:rPr>
          <w:rFonts w:eastAsia="Calibri"/>
          <w:b w:val="0"/>
          <w:bCs w:val="0"/>
          <w:szCs w:val="26"/>
        </w:rPr>
        <w:fldChar w:fldCharType="end"/>
      </w:r>
    </w:p>
    <w:p w14:paraId="0BBD5773" w14:textId="4E9708D0" w:rsidR="00FD461B" w:rsidRPr="0057700D" w:rsidRDefault="00FD461B" w:rsidP="00BC575A">
      <w:pPr>
        <w:pStyle w:val="TOAHeading"/>
        <w:tabs>
          <w:tab w:val="right" w:leader="dot" w:pos="7190"/>
        </w:tabs>
        <w:spacing w:before="120"/>
        <w:rPr>
          <w:rFonts w:asciiTheme="minorHAnsi" w:eastAsiaTheme="minorEastAsia" w:hAnsiTheme="minorHAnsi" w:cstheme="minorBidi"/>
          <w:b w:val="0"/>
          <w:bCs w:val="0"/>
          <w:noProof/>
          <w:sz w:val="22"/>
          <w:szCs w:val="22"/>
        </w:rPr>
      </w:pPr>
      <w:r w:rsidRPr="0057700D">
        <w:rPr>
          <w:rFonts w:eastAsia="Calibri"/>
          <w:b w:val="0"/>
          <w:bCs w:val="0"/>
          <w:szCs w:val="26"/>
        </w:rPr>
        <w:fldChar w:fldCharType="begin"/>
      </w:r>
      <w:r w:rsidRPr="0057700D">
        <w:rPr>
          <w:rFonts w:eastAsia="Calibri"/>
          <w:b w:val="0"/>
          <w:bCs w:val="0"/>
          <w:szCs w:val="26"/>
        </w:rPr>
        <w:instrText xml:space="preserve"> TOA \h \c "2" \p </w:instrText>
      </w:r>
      <w:r w:rsidRPr="0057700D">
        <w:rPr>
          <w:rFonts w:eastAsia="Calibri"/>
          <w:b w:val="0"/>
          <w:bCs w:val="0"/>
          <w:szCs w:val="26"/>
        </w:rPr>
        <w:fldChar w:fldCharType="separate"/>
      </w:r>
      <w:r w:rsidRPr="0057700D">
        <w:rPr>
          <w:noProof/>
        </w:rPr>
        <w:t>Statutes</w:t>
      </w:r>
    </w:p>
    <w:p w14:paraId="43351336" w14:textId="77777777" w:rsidR="00C479B1" w:rsidRPr="0057700D" w:rsidRDefault="00C479B1">
      <w:pPr>
        <w:pStyle w:val="TableofAuthorities"/>
        <w:tabs>
          <w:tab w:val="clear" w:pos="7200"/>
          <w:tab w:val="right" w:leader="dot" w:pos="7190"/>
        </w:tabs>
        <w:rPr>
          <w:noProof/>
        </w:rPr>
      </w:pPr>
    </w:p>
    <w:p w14:paraId="5DFA1532" w14:textId="77777777" w:rsidR="003C6DC8" w:rsidRPr="0057700D" w:rsidRDefault="003C6DC8" w:rsidP="003C6DC8">
      <w:pPr>
        <w:pStyle w:val="TableofAuthorities"/>
        <w:tabs>
          <w:tab w:val="clear" w:pos="7200"/>
          <w:tab w:val="right" w:leader="dot" w:pos="7190"/>
        </w:tabs>
        <w:rPr>
          <w:noProof/>
        </w:rPr>
      </w:pPr>
      <w:r w:rsidRPr="0057700D">
        <w:rPr>
          <w:noProof/>
        </w:rPr>
        <w:t>N.C.G.S. § 7A-31</w:t>
      </w:r>
      <w:r w:rsidRPr="0057700D">
        <w:rPr>
          <w:noProof/>
        </w:rPr>
        <w:tab/>
        <w:t>3</w:t>
      </w:r>
    </w:p>
    <w:p w14:paraId="13B1038E" w14:textId="77777777" w:rsidR="003C6DC8" w:rsidRPr="0057700D" w:rsidRDefault="003C6DC8">
      <w:pPr>
        <w:pStyle w:val="TableofAuthorities"/>
        <w:tabs>
          <w:tab w:val="clear" w:pos="7200"/>
          <w:tab w:val="right" w:leader="dot" w:pos="7190"/>
        </w:tabs>
        <w:rPr>
          <w:noProof/>
        </w:rPr>
      </w:pPr>
    </w:p>
    <w:p w14:paraId="79D09A36" w14:textId="7F4EF8F0" w:rsidR="00FD461B" w:rsidRPr="0057700D" w:rsidRDefault="00FD461B">
      <w:pPr>
        <w:pStyle w:val="TableofAuthorities"/>
        <w:tabs>
          <w:tab w:val="clear" w:pos="7200"/>
          <w:tab w:val="right" w:leader="dot" w:pos="7190"/>
        </w:tabs>
        <w:rPr>
          <w:noProof/>
        </w:rPr>
      </w:pPr>
      <w:r w:rsidRPr="0057700D">
        <w:rPr>
          <w:noProof/>
        </w:rPr>
        <w:t>N.C.G.S. § 14-159.13</w:t>
      </w:r>
      <w:r w:rsidRPr="0057700D">
        <w:rPr>
          <w:noProof/>
        </w:rPr>
        <w:tab/>
        <w:t>26</w:t>
      </w:r>
    </w:p>
    <w:p w14:paraId="645FFB89" w14:textId="77777777" w:rsidR="003C6DC8" w:rsidRPr="0057700D" w:rsidRDefault="003C6DC8" w:rsidP="003C6DC8">
      <w:pPr>
        <w:pStyle w:val="TableofAuthorities"/>
        <w:tabs>
          <w:tab w:val="clear" w:pos="7200"/>
          <w:tab w:val="right" w:leader="dot" w:pos="7190"/>
        </w:tabs>
        <w:rPr>
          <w:noProof/>
        </w:rPr>
      </w:pPr>
    </w:p>
    <w:p w14:paraId="10F41825" w14:textId="08E21583" w:rsidR="003C6DC8" w:rsidRPr="0057700D" w:rsidRDefault="003C6DC8" w:rsidP="003C6DC8">
      <w:pPr>
        <w:pStyle w:val="TableofAuthorities"/>
        <w:tabs>
          <w:tab w:val="clear" w:pos="7200"/>
          <w:tab w:val="right" w:leader="dot" w:pos="7190"/>
        </w:tabs>
        <w:rPr>
          <w:noProof/>
        </w:rPr>
      </w:pPr>
      <w:r w:rsidRPr="0057700D">
        <w:rPr>
          <w:noProof/>
        </w:rPr>
        <w:t>N.C.G.S. § 15A-974</w:t>
      </w:r>
      <w:r w:rsidRPr="0057700D">
        <w:rPr>
          <w:noProof/>
        </w:rPr>
        <w:tab/>
        <w:t>32</w:t>
      </w:r>
    </w:p>
    <w:p w14:paraId="2F386669" w14:textId="77777777" w:rsidR="00C479B1" w:rsidRPr="0057700D" w:rsidRDefault="00C479B1">
      <w:pPr>
        <w:pStyle w:val="TableofAuthorities"/>
        <w:tabs>
          <w:tab w:val="clear" w:pos="7200"/>
          <w:tab w:val="right" w:leader="dot" w:pos="7190"/>
        </w:tabs>
        <w:rPr>
          <w:bCs/>
          <w:iCs/>
          <w:noProof/>
        </w:rPr>
      </w:pPr>
    </w:p>
    <w:p w14:paraId="52B8F5BD" w14:textId="662EDF46" w:rsidR="00FD461B" w:rsidRPr="0057700D" w:rsidRDefault="00FD461B">
      <w:pPr>
        <w:pStyle w:val="TableofAuthorities"/>
        <w:tabs>
          <w:tab w:val="clear" w:pos="7200"/>
          <w:tab w:val="right" w:leader="dot" w:pos="7190"/>
        </w:tabs>
        <w:rPr>
          <w:noProof/>
        </w:rPr>
      </w:pPr>
      <w:r w:rsidRPr="0057700D">
        <w:rPr>
          <w:bCs/>
          <w:iCs/>
          <w:noProof/>
        </w:rPr>
        <w:t xml:space="preserve">N.C.G.S. § </w:t>
      </w:r>
      <w:r w:rsidRPr="0057700D">
        <w:rPr>
          <w:noProof/>
        </w:rPr>
        <w:t>143B-903</w:t>
      </w:r>
      <w:r w:rsidRPr="0057700D">
        <w:rPr>
          <w:noProof/>
        </w:rPr>
        <w:tab/>
        <w:t>6, 16, 19</w:t>
      </w:r>
    </w:p>
    <w:p w14:paraId="7EC26055" w14:textId="77777777" w:rsidR="00C479B1" w:rsidRPr="0057700D" w:rsidRDefault="00C479B1">
      <w:pPr>
        <w:pStyle w:val="TableofAuthorities"/>
        <w:tabs>
          <w:tab w:val="clear" w:pos="7200"/>
          <w:tab w:val="right" w:leader="dot" w:pos="7190"/>
        </w:tabs>
        <w:rPr>
          <w:noProof/>
        </w:rPr>
      </w:pPr>
    </w:p>
    <w:p w14:paraId="0E654222" w14:textId="77777777" w:rsidR="00C479B1" w:rsidRPr="0057700D" w:rsidRDefault="00FD461B">
      <w:pPr>
        <w:pStyle w:val="TOAHeading"/>
        <w:tabs>
          <w:tab w:val="right" w:leader="dot" w:pos="7190"/>
        </w:tabs>
        <w:rPr>
          <w:rFonts w:eastAsia="Calibri"/>
          <w:b w:val="0"/>
          <w:bCs w:val="0"/>
          <w:szCs w:val="26"/>
        </w:rPr>
      </w:pPr>
      <w:r w:rsidRPr="0057700D">
        <w:rPr>
          <w:rFonts w:eastAsia="Calibri"/>
          <w:b w:val="0"/>
          <w:bCs w:val="0"/>
          <w:szCs w:val="26"/>
        </w:rPr>
        <w:fldChar w:fldCharType="end"/>
      </w:r>
    </w:p>
    <w:p w14:paraId="5511A698" w14:textId="56E4462E" w:rsidR="00FD461B" w:rsidRPr="0057700D" w:rsidRDefault="00FD461B" w:rsidP="00BC575A">
      <w:pPr>
        <w:pStyle w:val="TOAHeading"/>
        <w:tabs>
          <w:tab w:val="right" w:leader="dot" w:pos="7190"/>
        </w:tabs>
        <w:spacing w:before="120"/>
        <w:rPr>
          <w:rFonts w:asciiTheme="minorHAnsi" w:eastAsiaTheme="minorEastAsia" w:hAnsiTheme="minorHAnsi" w:cstheme="minorBidi"/>
          <w:b w:val="0"/>
          <w:bCs w:val="0"/>
          <w:noProof/>
          <w:sz w:val="22"/>
          <w:szCs w:val="22"/>
        </w:rPr>
      </w:pPr>
      <w:r w:rsidRPr="0057700D">
        <w:rPr>
          <w:rFonts w:eastAsia="Calibri"/>
          <w:b w:val="0"/>
          <w:bCs w:val="0"/>
          <w:szCs w:val="26"/>
        </w:rPr>
        <w:fldChar w:fldCharType="begin"/>
      </w:r>
      <w:r w:rsidRPr="0057700D">
        <w:rPr>
          <w:rFonts w:eastAsia="Calibri"/>
          <w:b w:val="0"/>
          <w:bCs w:val="0"/>
          <w:szCs w:val="26"/>
        </w:rPr>
        <w:instrText xml:space="preserve"> TOA \h \c "3" \p </w:instrText>
      </w:r>
      <w:r w:rsidRPr="0057700D">
        <w:rPr>
          <w:rFonts w:eastAsia="Calibri"/>
          <w:b w:val="0"/>
          <w:bCs w:val="0"/>
          <w:szCs w:val="26"/>
        </w:rPr>
        <w:fldChar w:fldCharType="separate"/>
      </w:r>
      <w:r w:rsidRPr="0057700D">
        <w:rPr>
          <w:noProof/>
        </w:rPr>
        <w:t>Other Authorities</w:t>
      </w:r>
    </w:p>
    <w:p w14:paraId="4510AF3F" w14:textId="77777777" w:rsidR="003C6DC8" w:rsidRPr="0057700D" w:rsidRDefault="003C6DC8">
      <w:pPr>
        <w:pStyle w:val="TableofAuthorities"/>
        <w:tabs>
          <w:tab w:val="clear" w:pos="7200"/>
          <w:tab w:val="right" w:leader="dot" w:pos="7190"/>
        </w:tabs>
        <w:rPr>
          <w:noProof/>
        </w:rPr>
      </w:pPr>
    </w:p>
    <w:p w14:paraId="39A8154A" w14:textId="77450BC2" w:rsidR="009F39D5" w:rsidRPr="0057700D" w:rsidRDefault="009F39D5" w:rsidP="00296192">
      <w:pPr>
        <w:pStyle w:val="TableofAuthorities"/>
        <w:tabs>
          <w:tab w:val="clear" w:pos="7200"/>
          <w:tab w:val="right" w:leader="dot" w:pos="7190"/>
        </w:tabs>
        <w:jc w:val="left"/>
        <w:rPr>
          <w:noProof/>
        </w:rPr>
      </w:pPr>
      <w:r w:rsidRPr="0057700D">
        <w:rPr>
          <w:noProof/>
        </w:rPr>
        <w:t xml:space="preserve">City of Raleigh, </w:t>
      </w:r>
      <w:r w:rsidRPr="0057700D">
        <w:rPr>
          <w:i/>
          <w:iCs/>
          <w:noProof/>
        </w:rPr>
        <w:t>Raleigh Police Districts</w:t>
      </w:r>
      <w:r w:rsidRPr="0057700D">
        <w:rPr>
          <w:noProof/>
        </w:rPr>
        <w:t xml:space="preserve"> (February 10, 2020)</w:t>
      </w:r>
      <w:r w:rsidR="00296192" w:rsidRPr="0057700D">
        <w:rPr>
          <w:noProof/>
        </w:rPr>
        <w:t xml:space="preserve"> </w:t>
      </w:r>
      <w:hyperlink r:id="rId12" w:history="1">
        <w:r w:rsidR="00296192" w:rsidRPr="0057700D">
          <w:rPr>
            <w:rStyle w:val="Hyperlink"/>
            <w:color w:val="auto"/>
            <w:szCs w:val="26"/>
          </w:rPr>
          <w:t>https://raleighnc.gov/safety/content/Police/Articles/PoliceDistricts.html</w:t>
        </w:r>
      </w:hyperlink>
      <w:r w:rsidRPr="0057700D">
        <w:rPr>
          <w:noProof/>
        </w:rPr>
        <w:tab/>
        <w:t>20</w:t>
      </w:r>
    </w:p>
    <w:p w14:paraId="72151B6D" w14:textId="77777777" w:rsidR="009F39D5" w:rsidRPr="0057700D" w:rsidRDefault="009F39D5" w:rsidP="00BC575A">
      <w:pPr>
        <w:pStyle w:val="TableofAuthorities"/>
        <w:tabs>
          <w:tab w:val="clear" w:pos="7200"/>
          <w:tab w:val="right" w:leader="dot" w:pos="7190"/>
        </w:tabs>
        <w:jc w:val="left"/>
        <w:rPr>
          <w:noProof/>
        </w:rPr>
      </w:pPr>
    </w:p>
    <w:p w14:paraId="0958A7D9" w14:textId="7A7192AE" w:rsidR="009F39D5" w:rsidRPr="0057700D" w:rsidRDefault="009F39D5" w:rsidP="00BC575A">
      <w:pPr>
        <w:pStyle w:val="TableofAuthorities"/>
        <w:tabs>
          <w:tab w:val="clear" w:pos="7200"/>
          <w:tab w:val="right" w:leader="dot" w:pos="7190"/>
        </w:tabs>
        <w:jc w:val="left"/>
        <w:rPr>
          <w:noProof/>
        </w:rPr>
      </w:pPr>
      <w:r w:rsidRPr="0057700D">
        <w:rPr>
          <w:noProof/>
        </w:rPr>
        <w:t xml:space="preserve">Frank Baumgartner, et al., </w:t>
      </w:r>
      <w:r w:rsidRPr="0057700D">
        <w:rPr>
          <w:i/>
          <w:iCs/>
          <w:noProof/>
        </w:rPr>
        <w:t>Suspect Citizens: What 20 Million Traffic Stops Tell Us About Policing and Race</w:t>
      </w:r>
      <w:r w:rsidRPr="0057700D">
        <w:rPr>
          <w:noProof/>
        </w:rPr>
        <w:t xml:space="preserve"> (Cambridge Univ. Press, 2018)</w:t>
      </w:r>
      <w:r w:rsidRPr="0057700D">
        <w:rPr>
          <w:noProof/>
        </w:rPr>
        <w:tab/>
        <w:t>16</w:t>
      </w:r>
    </w:p>
    <w:p w14:paraId="18F040E2" w14:textId="77777777" w:rsidR="009F39D5" w:rsidRPr="0057700D" w:rsidRDefault="009F39D5" w:rsidP="00BC575A">
      <w:pPr>
        <w:pStyle w:val="TableofAuthorities"/>
        <w:tabs>
          <w:tab w:val="clear" w:pos="7200"/>
          <w:tab w:val="right" w:leader="dot" w:pos="7190"/>
        </w:tabs>
        <w:jc w:val="left"/>
        <w:rPr>
          <w:noProof/>
        </w:rPr>
      </w:pPr>
    </w:p>
    <w:p w14:paraId="6D656148" w14:textId="77777777" w:rsidR="00D76D25" w:rsidRPr="0057700D" w:rsidRDefault="00014266" w:rsidP="00C21844">
      <w:pPr>
        <w:pStyle w:val="FootnoteText"/>
        <w:tabs>
          <w:tab w:val="right" w:leader="dot" w:pos="7200"/>
        </w:tabs>
        <w:ind w:left="720" w:hanging="720"/>
        <w:rPr>
          <w:rFonts w:ascii="Century Schoolbook" w:eastAsia="Calibri" w:hAnsi="Century Schoolbook"/>
          <w:i/>
          <w:iCs/>
          <w:noProof/>
          <w:sz w:val="26"/>
          <w:szCs w:val="22"/>
        </w:rPr>
      </w:pPr>
      <w:r w:rsidRPr="0057700D">
        <w:rPr>
          <w:rFonts w:ascii="Century Schoolbook" w:eastAsia="Calibri" w:hAnsi="Century Schoolbook"/>
          <w:noProof/>
          <w:sz w:val="26"/>
          <w:szCs w:val="22"/>
        </w:rPr>
        <w:t>Jason D. Williamson</w:t>
      </w:r>
      <w:r w:rsidRPr="0057700D">
        <w:rPr>
          <w:rFonts w:ascii="Century Schoolbook" w:eastAsia="Calibri" w:hAnsi="Century Schoolbook"/>
          <w:i/>
          <w:iCs/>
          <w:noProof/>
          <w:sz w:val="26"/>
          <w:szCs w:val="22"/>
        </w:rPr>
        <w:t xml:space="preserve">, If You’re White, You’re a Customer.  </w:t>
      </w:r>
    </w:p>
    <w:p w14:paraId="0654F2E9" w14:textId="6551E903" w:rsidR="00014266" w:rsidRPr="0057700D" w:rsidRDefault="00D76D25" w:rsidP="00C21844">
      <w:pPr>
        <w:pStyle w:val="FootnoteText"/>
        <w:tabs>
          <w:tab w:val="right" w:leader="dot" w:pos="7200"/>
        </w:tabs>
        <w:ind w:left="720" w:hanging="720"/>
        <w:rPr>
          <w:rFonts w:ascii="Century Schoolbook" w:eastAsia="Calibri" w:hAnsi="Century Schoolbook"/>
          <w:noProof/>
          <w:sz w:val="26"/>
          <w:szCs w:val="22"/>
        </w:rPr>
      </w:pPr>
      <w:r w:rsidRPr="0057700D">
        <w:rPr>
          <w:rFonts w:ascii="Century Schoolbook" w:eastAsia="Calibri" w:hAnsi="Century Schoolbook"/>
          <w:i/>
          <w:iCs/>
          <w:noProof/>
          <w:sz w:val="26"/>
          <w:szCs w:val="22"/>
        </w:rPr>
        <w:tab/>
      </w:r>
      <w:r w:rsidR="00014266" w:rsidRPr="0057700D">
        <w:rPr>
          <w:rFonts w:ascii="Century Schoolbook" w:eastAsia="Calibri" w:hAnsi="Century Schoolbook"/>
          <w:i/>
          <w:iCs/>
          <w:noProof/>
          <w:sz w:val="26"/>
          <w:szCs w:val="22"/>
        </w:rPr>
        <w:t xml:space="preserve">If You’re Black, You’re Trespassing.  </w:t>
      </w:r>
      <w:r w:rsidR="00014266" w:rsidRPr="0057700D">
        <w:rPr>
          <w:rFonts w:ascii="Century Schoolbook" w:eastAsia="Calibri" w:hAnsi="Century Schoolbook"/>
          <w:noProof/>
          <w:sz w:val="26"/>
          <w:szCs w:val="22"/>
        </w:rPr>
        <w:t xml:space="preserve">ACLU Criminal Law Reform Project (April 15, 2015)  </w:t>
      </w:r>
    </w:p>
    <w:p w14:paraId="6C6EE107" w14:textId="1C6B7E51" w:rsidR="00014266" w:rsidRPr="0057700D" w:rsidRDefault="00C21844" w:rsidP="00C21844">
      <w:pPr>
        <w:pStyle w:val="TableofAuthorities"/>
        <w:jc w:val="left"/>
        <w:rPr>
          <w:i/>
          <w:iCs/>
          <w:noProof/>
        </w:rPr>
      </w:pPr>
      <w:r w:rsidRPr="0057700D">
        <w:rPr>
          <w:noProof/>
        </w:rPr>
        <w:tab/>
      </w:r>
      <w:hyperlink r:id="rId13" w:history="1">
        <w:r w:rsidR="00296192" w:rsidRPr="0057700D">
          <w:rPr>
            <w:rStyle w:val="Hyperlink"/>
            <w:color w:val="auto"/>
            <w:szCs w:val="26"/>
          </w:rPr>
          <w:t>https://www.aclu.org/blog/criminal-law-reform/reforming-police/if-youre-white-youre-customer-if-youre-black-youre</w:t>
        </w:r>
      </w:hyperlink>
      <w:r w:rsidRPr="0057700D">
        <w:rPr>
          <w:noProof/>
        </w:rPr>
        <w:tab/>
        <w:t>25</w:t>
      </w:r>
    </w:p>
    <w:p w14:paraId="5ECAE916" w14:textId="77777777" w:rsidR="00014266" w:rsidRPr="0057700D" w:rsidRDefault="00014266" w:rsidP="00014266">
      <w:pPr>
        <w:pStyle w:val="TableofAuthorities"/>
        <w:tabs>
          <w:tab w:val="clear" w:pos="7200"/>
          <w:tab w:val="right" w:leader="dot" w:pos="7190"/>
        </w:tabs>
        <w:jc w:val="left"/>
        <w:rPr>
          <w:i/>
          <w:iCs/>
          <w:noProof/>
        </w:rPr>
      </w:pPr>
    </w:p>
    <w:p w14:paraId="60EF2156" w14:textId="77777777" w:rsidR="005D04A0" w:rsidRPr="0057700D" w:rsidRDefault="005D04A0" w:rsidP="00014266">
      <w:pPr>
        <w:pStyle w:val="TableofAuthorities"/>
        <w:tabs>
          <w:tab w:val="clear" w:pos="7200"/>
          <w:tab w:val="right" w:leader="dot" w:pos="7190"/>
        </w:tabs>
        <w:jc w:val="left"/>
        <w:rPr>
          <w:noProof/>
        </w:rPr>
      </w:pPr>
    </w:p>
    <w:p w14:paraId="11D383BD" w14:textId="554A0164" w:rsidR="009F39D5" w:rsidRPr="0057700D" w:rsidRDefault="00D76D25" w:rsidP="00296192">
      <w:pPr>
        <w:pStyle w:val="TableofAuthorities"/>
        <w:jc w:val="left"/>
        <w:rPr>
          <w:noProof/>
          <w:szCs w:val="26"/>
        </w:rPr>
      </w:pPr>
      <w:r w:rsidRPr="0057700D">
        <w:rPr>
          <w:noProof/>
        </w:rPr>
        <w:lastRenderedPageBreak/>
        <w:t xml:space="preserve">Michael Dolan Fliss, </w:t>
      </w:r>
      <w:r w:rsidRPr="0057700D">
        <w:rPr>
          <w:i/>
          <w:iCs/>
          <w:noProof/>
        </w:rPr>
        <w:t>Racial Disparities in Law Enforcement Traffic Stops: Measurement, Interpretation, &amp; Intervention Possibilities,</w:t>
      </w:r>
      <w:r w:rsidRPr="0057700D">
        <w:rPr>
          <w:noProof/>
        </w:rPr>
        <w:t xml:space="preserve"> Ph.D. Dissertation, University of North Carolina at Chapel Hill (2019)</w:t>
      </w:r>
      <w:r w:rsidR="007A4C25" w:rsidRPr="0057700D">
        <w:rPr>
          <w:szCs w:val="26"/>
        </w:rPr>
        <w:t xml:space="preserve"> </w:t>
      </w:r>
      <w:hyperlink r:id="rId14" w:history="1">
        <w:r w:rsidR="007A4C25" w:rsidRPr="0057700D">
          <w:rPr>
            <w:rStyle w:val="Hyperlink"/>
            <w:color w:val="auto"/>
            <w:szCs w:val="26"/>
          </w:rPr>
          <w:t>https://cdr.lib.unc.edu/concern/dissertations/8049g994g</w:t>
        </w:r>
      </w:hyperlink>
      <w:r w:rsidR="009F39D5" w:rsidRPr="0057700D">
        <w:rPr>
          <w:noProof/>
          <w:szCs w:val="26"/>
        </w:rPr>
        <w:tab/>
        <w:t>23</w:t>
      </w:r>
    </w:p>
    <w:p w14:paraId="18398F28" w14:textId="77777777" w:rsidR="009F39D5" w:rsidRPr="0057700D" w:rsidRDefault="009F39D5" w:rsidP="00BC575A">
      <w:pPr>
        <w:pStyle w:val="TableofAuthorities"/>
        <w:tabs>
          <w:tab w:val="clear" w:pos="7200"/>
          <w:tab w:val="right" w:leader="dot" w:pos="7190"/>
        </w:tabs>
        <w:jc w:val="left"/>
        <w:rPr>
          <w:noProof/>
          <w:szCs w:val="26"/>
        </w:rPr>
      </w:pPr>
    </w:p>
    <w:p w14:paraId="2130F97A" w14:textId="5A8CC8E5" w:rsidR="00FD461B" w:rsidRPr="0057700D" w:rsidRDefault="00296192" w:rsidP="00BC575A">
      <w:pPr>
        <w:pStyle w:val="TableofAuthorities"/>
        <w:tabs>
          <w:tab w:val="clear" w:pos="7200"/>
          <w:tab w:val="right" w:leader="dot" w:pos="7190"/>
        </w:tabs>
        <w:jc w:val="left"/>
        <w:rPr>
          <w:noProof/>
        </w:rPr>
      </w:pPr>
      <w:r w:rsidRPr="0057700D">
        <w:rPr>
          <w:noProof/>
        </w:rPr>
        <w:t xml:space="preserve">UNC Highway Safety Research Center, </w:t>
      </w:r>
      <w:r w:rsidRPr="0057700D">
        <w:rPr>
          <w:i/>
          <w:iCs/>
          <w:noProof/>
        </w:rPr>
        <w:t>Driver Factors in Fatal and "A" Injury Crashes in North Carolina, 2001-2005</w:t>
      </w:r>
      <w:r w:rsidRPr="0057700D">
        <w:rPr>
          <w:noProof/>
        </w:rPr>
        <w:t xml:space="preserve"> (2008), </w:t>
      </w:r>
      <w:hyperlink r:id="rId15" w:history="1">
        <w:r w:rsidRPr="0057700D">
          <w:rPr>
            <w:rStyle w:val="Hyperlink"/>
            <w:bCs/>
            <w:iCs/>
            <w:color w:val="auto"/>
            <w:szCs w:val="26"/>
          </w:rPr>
          <w:t>https://connect.ncdot.gov/projects/research/RNAProjDocs/2007-14AFinalReport.pdf</w:t>
        </w:r>
      </w:hyperlink>
      <w:r w:rsidR="00FD461B" w:rsidRPr="0057700D">
        <w:rPr>
          <w:noProof/>
        </w:rPr>
        <w:tab/>
        <w:t>23</w:t>
      </w:r>
    </w:p>
    <w:p w14:paraId="6292C117" w14:textId="77777777" w:rsidR="00C479B1" w:rsidRPr="0057700D" w:rsidRDefault="00C479B1">
      <w:pPr>
        <w:pStyle w:val="TableofAuthorities"/>
        <w:tabs>
          <w:tab w:val="clear" w:pos="7200"/>
          <w:tab w:val="right" w:leader="dot" w:pos="7190"/>
        </w:tabs>
        <w:rPr>
          <w:noProof/>
        </w:rPr>
      </w:pPr>
    </w:p>
    <w:p w14:paraId="40801E80" w14:textId="77777777" w:rsidR="00C479B1" w:rsidRPr="0057700D" w:rsidRDefault="00C479B1">
      <w:pPr>
        <w:pStyle w:val="TableofAuthorities"/>
        <w:tabs>
          <w:tab w:val="clear" w:pos="7200"/>
          <w:tab w:val="right" w:leader="dot" w:pos="7190"/>
        </w:tabs>
        <w:rPr>
          <w:noProof/>
        </w:rPr>
      </w:pPr>
    </w:p>
    <w:p w14:paraId="2AA24DC8" w14:textId="7335AE5F" w:rsidR="007B0F13" w:rsidRPr="0057700D" w:rsidRDefault="00FD461B" w:rsidP="009F39D5">
      <w:pPr>
        <w:pStyle w:val="TOAHeading"/>
        <w:tabs>
          <w:tab w:val="right" w:leader="dot" w:pos="7190"/>
        </w:tabs>
        <w:rPr>
          <w:rFonts w:eastAsia="Calibri"/>
          <w:szCs w:val="26"/>
        </w:rPr>
        <w:sectPr w:rsidR="007B0F13" w:rsidRPr="0057700D" w:rsidSect="00BC575A">
          <w:headerReference w:type="first" r:id="rId16"/>
          <w:pgSz w:w="12240" w:h="15840"/>
          <w:pgMar w:top="1440" w:right="2520" w:bottom="1440" w:left="2520" w:header="720" w:footer="720" w:gutter="0"/>
          <w:pgNumType w:fmt="lowerRoman" w:start="3"/>
          <w:cols w:space="720"/>
          <w:titlePg/>
          <w:docGrid w:linePitch="360"/>
        </w:sectPr>
      </w:pPr>
      <w:r w:rsidRPr="0057700D">
        <w:rPr>
          <w:rFonts w:eastAsia="Calibri"/>
          <w:b w:val="0"/>
          <w:bCs w:val="0"/>
          <w:szCs w:val="26"/>
        </w:rPr>
        <w:fldChar w:fldCharType="end"/>
      </w:r>
      <w:bookmarkEnd w:id="0"/>
    </w:p>
    <w:p w14:paraId="64E55D37" w14:textId="77777777" w:rsidR="00F31774" w:rsidRPr="0057700D" w:rsidRDefault="00F31774" w:rsidP="00F31774">
      <w:pPr>
        <w:autoSpaceDE w:val="0"/>
        <w:autoSpaceDN w:val="0"/>
        <w:adjustRightInd w:val="0"/>
        <w:spacing w:after="0" w:line="240" w:lineRule="auto"/>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lastRenderedPageBreak/>
        <w:t>No. 197PA20-2</w:t>
      </w:r>
      <w:r w:rsidRPr="0057700D">
        <w:rPr>
          <w:rFonts w:ascii="Century Schoolbook" w:eastAsia="Calibri" w:hAnsi="Century Schoolbook" w:cs="Times New Roman"/>
          <w:sz w:val="26"/>
          <w:szCs w:val="26"/>
        </w:rPr>
        <w:tab/>
      </w:r>
      <w:r w:rsidRPr="0057700D">
        <w:rPr>
          <w:rFonts w:ascii="Century Schoolbook" w:eastAsia="Calibri" w:hAnsi="Century Schoolbook" w:cs="Times New Roman"/>
          <w:sz w:val="26"/>
          <w:szCs w:val="26"/>
        </w:rPr>
        <w:tab/>
      </w:r>
      <w:r w:rsidRPr="0057700D">
        <w:rPr>
          <w:rFonts w:ascii="Century Schoolbook" w:eastAsia="Calibri" w:hAnsi="Century Schoolbook" w:cs="Times New Roman"/>
          <w:sz w:val="26"/>
          <w:szCs w:val="26"/>
        </w:rPr>
        <w:tab/>
      </w:r>
      <w:r w:rsidRPr="0057700D">
        <w:rPr>
          <w:rFonts w:ascii="Century Schoolbook" w:eastAsia="Calibri" w:hAnsi="Century Schoolbook" w:cs="Times New Roman"/>
          <w:sz w:val="26"/>
          <w:szCs w:val="26"/>
        </w:rPr>
        <w:tab/>
      </w:r>
      <w:r w:rsidRPr="0057700D">
        <w:rPr>
          <w:rFonts w:ascii="Century Schoolbook" w:eastAsia="Calibri" w:hAnsi="Century Schoolbook" w:cs="Times New Roman"/>
          <w:sz w:val="26"/>
          <w:szCs w:val="26"/>
        </w:rPr>
        <w:tab/>
      </w:r>
      <w:r w:rsidRPr="0057700D">
        <w:rPr>
          <w:rFonts w:ascii="Century Schoolbook" w:eastAsia="Calibri" w:hAnsi="Century Schoolbook" w:cs="Times New Roman"/>
          <w:sz w:val="26"/>
          <w:szCs w:val="26"/>
        </w:rPr>
        <w:tab/>
      </w:r>
      <w:r w:rsidRPr="0057700D">
        <w:rPr>
          <w:rFonts w:ascii="Century Schoolbook" w:eastAsia="Calibri" w:hAnsi="Century Schoolbook" w:cs="Times New Roman"/>
          <w:sz w:val="26"/>
          <w:szCs w:val="26"/>
        </w:rPr>
        <w:tab/>
      </w:r>
      <w:r w:rsidRPr="0057700D">
        <w:rPr>
          <w:rFonts w:ascii="Century Schoolbook" w:eastAsia="Calibri" w:hAnsi="Century Schoolbook" w:cs="Times New Roman"/>
          <w:sz w:val="26"/>
          <w:szCs w:val="26"/>
        </w:rPr>
        <w:tab/>
        <w:t>DISTRICT 10</w:t>
      </w:r>
    </w:p>
    <w:p w14:paraId="4E35E610" w14:textId="600FBF23" w:rsidR="00F31774" w:rsidRPr="0057700D" w:rsidRDefault="00F31774" w:rsidP="00F31774">
      <w:pPr>
        <w:autoSpaceDE w:val="0"/>
        <w:autoSpaceDN w:val="0"/>
        <w:adjustRightInd w:val="0"/>
        <w:spacing w:after="0" w:line="240" w:lineRule="auto"/>
        <w:rPr>
          <w:rFonts w:ascii="Century Schoolbook" w:eastAsia="Calibri" w:hAnsi="Century Schoolbook" w:cs="Times New Roman"/>
          <w:sz w:val="26"/>
          <w:szCs w:val="26"/>
        </w:rPr>
      </w:pPr>
    </w:p>
    <w:p w14:paraId="57249900" w14:textId="77777777" w:rsidR="00934651" w:rsidRPr="0057700D" w:rsidRDefault="00934651" w:rsidP="00F31774">
      <w:pPr>
        <w:autoSpaceDE w:val="0"/>
        <w:autoSpaceDN w:val="0"/>
        <w:adjustRightInd w:val="0"/>
        <w:spacing w:after="0" w:line="240" w:lineRule="auto"/>
        <w:rPr>
          <w:rFonts w:ascii="Century Schoolbook" w:eastAsia="Calibri" w:hAnsi="Century Schoolbook" w:cs="Times New Roman"/>
          <w:sz w:val="26"/>
          <w:szCs w:val="26"/>
        </w:rPr>
      </w:pPr>
    </w:p>
    <w:p w14:paraId="04C7E0E9" w14:textId="77777777" w:rsidR="00F31774" w:rsidRPr="0057700D" w:rsidRDefault="00F31774" w:rsidP="00F31774">
      <w:pPr>
        <w:autoSpaceDE w:val="0"/>
        <w:autoSpaceDN w:val="0"/>
        <w:adjustRightInd w:val="0"/>
        <w:spacing w:after="0" w:line="240" w:lineRule="auto"/>
        <w:jc w:val="center"/>
        <w:rPr>
          <w:rFonts w:ascii="Century Schoolbook" w:eastAsia="Calibri" w:hAnsi="Century Schoolbook" w:cs="Times New Roman"/>
          <w:sz w:val="26"/>
          <w:szCs w:val="26"/>
        </w:rPr>
      </w:pPr>
    </w:p>
    <w:p w14:paraId="030C101B" w14:textId="77777777" w:rsidR="00F31774" w:rsidRPr="0057700D" w:rsidRDefault="00F31774" w:rsidP="00F31774">
      <w:pPr>
        <w:autoSpaceDE w:val="0"/>
        <w:autoSpaceDN w:val="0"/>
        <w:adjustRightInd w:val="0"/>
        <w:spacing w:after="0" w:line="240" w:lineRule="auto"/>
        <w:jc w:val="center"/>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SUPREME COURT OF NORTH CAROLINA</w:t>
      </w:r>
    </w:p>
    <w:p w14:paraId="00D29DE6" w14:textId="77777777" w:rsidR="00F31774" w:rsidRPr="0057700D" w:rsidRDefault="00F31774" w:rsidP="00F31774">
      <w:pPr>
        <w:autoSpaceDE w:val="0"/>
        <w:autoSpaceDN w:val="0"/>
        <w:adjustRightInd w:val="0"/>
        <w:spacing w:after="0" w:line="240" w:lineRule="auto"/>
        <w:jc w:val="center"/>
        <w:rPr>
          <w:rFonts w:ascii="Century Schoolbook" w:eastAsia="Calibri" w:hAnsi="Century Schoolbook" w:cs="Times New Roman"/>
          <w:sz w:val="26"/>
          <w:szCs w:val="26"/>
        </w:rPr>
      </w:pPr>
    </w:p>
    <w:p w14:paraId="2B003BFA" w14:textId="77777777" w:rsidR="00F31774" w:rsidRPr="0057700D" w:rsidRDefault="00F31774" w:rsidP="00F31774">
      <w:pPr>
        <w:spacing w:after="0" w:line="240" w:lineRule="auto"/>
        <w:jc w:val="center"/>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 * * * * * * * * * * * * * * * * * * * * * * * * * * * * *</w:t>
      </w:r>
    </w:p>
    <w:p w14:paraId="4309B1DE" w14:textId="77777777" w:rsidR="00F31774" w:rsidRPr="0057700D" w:rsidRDefault="00F31774" w:rsidP="00F31774">
      <w:pPr>
        <w:spacing w:after="0" w:line="240" w:lineRule="auto"/>
        <w:rPr>
          <w:rFonts w:ascii="Century Schoolbook" w:eastAsia="Times New Roman" w:hAnsi="Century Schoolbook" w:cs="Times New Roman"/>
          <w:sz w:val="26"/>
          <w:szCs w:val="26"/>
        </w:rPr>
      </w:pPr>
    </w:p>
    <w:p w14:paraId="65F9665A" w14:textId="77777777" w:rsidR="00F31774" w:rsidRPr="0057700D" w:rsidRDefault="00F31774" w:rsidP="00F31774">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 xml:space="preserve">STATE OF NORTH CAROLINA   </w:t>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t>)</w:t>
      </w:r>
      <w:r w:rsidRPr="0057700D">
        <w:rPr>
          <w:rFonts w:ascii="Century Schoolbook" w:eastAsia="Times New Roman" w:hAnsi="Century Schoolbook" w:cs="Times New Roman"/>
          <w:sz w:val="26"/>
          <w:szCs w:val="26"/>
        </w:rPr>
        <w:tab/>
      </w:r>
    </w:p>
    <w:p w14:paraId="2BD884FB" w14:textId="77777777" w:rsidR="00F31774" w:rsidRPr="0057700D" w:rsidRDefault="00F31774" w:rsidP="00F31774">
      <w:pPr>
        <w:spacing w:after="0" w:line="240" w:lineRule="auto"/>
        <w:ind w:left="4320"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w:t>
      </w:r>
    </w:p>
    <w:p w14:paraId="2C725572" w14:textId="77777777" w:rsidR="00F31774" w:rsidRPr="0057700D" w:rsidRDefault="00F31774" w:rsidP="00F31774">
      <w:pPr>
        <w:spacing w:after="0" w:line="240" w:lineRule="auto"/>
        <w:ind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v.</w:t>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t>)</w:t>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u w:val="single"/>
        </w:rPr>
        <w:t>From Wake County</w:t>
      </w:r>
    </w:p>
    <w:p w14:paraId="3944BC19" w14:textId="77777777" w:rsidR="00F31774" w:rsidRPr="0057700D" w:rsidRDefault="00F31774" w:rsidP="00F31774">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t>)</w:t>
      </w:r>
      <w:r w:rsidRPr="0057700D">
        <w:rPr>
          <w:rFonts w:ascii="Century Schoolbook" w:eastAsia="Times New Roman" w:hAnsi="Century Schoolbook" w:cs="Times New Roman"/>
          <w:sz w:val="26"/>
          <w:szCs w:val="26"/>
        </w:rPr>
        <w:tab/>
      </w:r>
    </w:p>
    <w:p w14:paraId="1CF0E214" w14:textId="77777777" w:rsidR="00F31774" w:rsidRPr="0057700D" w:rsidRDefault="00F31774" w:rsidP="00F31774">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JEREMY JOHNSON</w:t>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t>)</w:t>
      </w:r>
      <w:r w:rsidRPr="0057700D">
        <w:rPr>
          <w:rFonts w:ascii="Century Schoolbook" w:eastAsia="Times New Roman" w:hAnsi="Century Schoolbook" w:cs="Times New Roman"/>
          <w:spacing w:val="-5"/>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p>
    <w:p w14:paraId="601DC852" w14:textId="77777777" w:rsidR="00F31774" w:rsidRPr="0057700D" w:rsidRDefault="00F31774" w:rsidP="00F31774">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p>
    <w:p w14:paraId="719ACE53" w14:textId="77777777" w:rsidR="00F31774" w:rsidRPr="0057700D" w:rsidRDefault="00F31774" w:rsidP="00F31774">
      <w:pPr>
        <w:spacing w:after="0" w:line="240" w:lineRule="auto"/>
        <w:rPr>
          <w:rFonts w:ascii="Century Schoolbook" w:eastAsia="Calibri" w:hAnsi="Century Schoolbook" w:cs="Times New Roman"/>
          <w:sz w:val="26"/>
          <w:szCs w:val="26"/>
        </w:rPr>
      </w:pPr>
    </w:p>
    <w:p w14:paraId="5AEA2C81" w14:textId="77777777" w:rsidR="00F31774" w:rsidRPr="0057700D" w:rsidRDefault="00F31774" w:rsidP="00F31774">
      <w:pPr>
        <w:spacing w:after="0" w:line="240" w:lineRule="auto"/>
        <w:jc w:val="center"/>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 * * * * * * * * * * * * * * * * * * * * * * * * * * * *</w:t>
      </w:r>
    </w:p>
    <w:p w14:paraId="64BA2F7F" w14:textId="77777777" w:rsidR="00F31774" w:rsidRPr="0057700D" w:rsidRDefault="00F31774" w:rsidP="00F31774">
      <w:pPr>
        <w:spacing w:after="0" w:line="240" w:lineRule="auto"/>
        <w:jc w:val="center"/>
        <w:rPr>
          <w:rFonts w:ascii="Century Schoolbook" w:eastAsia="Calibri" w:hAnsi="Century Schoolbook" w:cs="Times New Roman"/>
          <w:sz w:val="26"/>
          <w:szCs w:val="26"/>
        </w:rPr>
      </w:pPr>
    </w:p>
    <w:p w14:paraId="55BD04C9" w14:textId="77777777" w:rsidR="00F31774" w:rsidRPr="0057700D" w:rsidRDefault="00F31774" w:rsidP="00F31774">
      <w:pPr>
        <w:spacing w:after="0" w:line="240" w:lineRule="auto"/>
        <w:jc w:val="center"/>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DEFENDANT-APPELLANT’S NEW BRIEF </w:t>
      </w:r>
      <w:r w:rsidRPr="0057700D">
        <w:rPr>
          <w:rFonts w:ascii="Calibri" w:eastAsia="Calibri" w:hAnsi="Calibri" w:cs="Times New Roman"/>
        </w:rPr>
        <w:t xml:space="preserve"> </w:t>
      </w:r>
    </w:p>
    <w:p w14:paraId="4F6D7134" w14:textId="77777777" w:rsidR="00F31774" w:rsidRPr="0057700D" w:rsidRDefault="00F31774" w:rsidP="00F31774">
      <w:pPr>
        <w:spacing w:after="0" w:line="240" w:lineRule="auto"/>
        <w:jc w:val="center"/>
        <w:rPr>
          <w:rFonts w:ascii="Century Schoolbook" w:eastAsia="Calibri" w:hAnsi="Century Schoolbook" w:cs="Times New Roman"/>
          <w:sz w:val="26"/>
          <w:szCs w:val="26"/>
        </w:rPr>
      </w:pPr>
    </w:p>
    <w:p w14:paraId="349CBE18" w14:textId="77777777" w:rsidR="00F31774" w:rsidRPr="0057700D" w:rsidRDefault="00F31774" w:rsidP="00F31774">
      <w:pPr>
        <w:spacing w:after="0" w:line="240" w:lineRule="auto"/>
        <w:jc w:val="center"/>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 * * * * * * * * * * * * * * * * * * * * * * * * * * * *</w:t>
      </w:r>
    </w:p>
    <w:p w14:paraId="5C67A119" w14:textId="77777777" w:rsidR="007B0F13" w:rsidRPr="0057700D" w:rsidRDefault="007B0F13" w:rsidP="007B0F13">
      <w:pPr>
        <w:autoSpaceDE w:val="0"/>
        <w:autoSpaceDN w:val="0"/>
        <w:adjustRightInd w:val="0"/>
        <w:spacing w:after="0" w:line="240" w:lineRule="auto"/>
        <w:jc w:val="center"/>
        <w:rPr>
          <w:rFonts w:ascii="Century Schoolbook" w:eastAsia="Calibri" w:hAnsi="Century Schoolbook" w:cs="Times New Roman"/>
          <w:sz w:val="26"/>
          <w:szCs w:val="26"/>
        </w:rPr>
      </w:pPr>
    </w:p>
    <w:p w14:paraId="11A03837" w14:textId="77777777" w:rsidR="00BF005F" w:rsidRPr="0057700D" w:rsidRDefault="00BF005F" w:rsidP="00BF005F">
      <w:pPr>
        <w:spacing w:after="0" w:line="240" w:lineRule="auto"/>
        <w:ind w:left="720" w:right="720"/>
        <w:rPr>
          <w:rFonts w:ascii="Century Schoolbook" w:eastAsia="Times New Roman" w:hAnsi="Century Schoolbook" w:cs="Times New Roman"/>
          <w:sz w:val="26"/>
          <w:szCs w:val="26"/>
        </w:rPr>
      </w:pPr>
    </w:p>
    <w:p w14:paraId="4A994137" w14:textId="0F6DF71E" w:rsidR="00BF005F" w:rsidRPr="0057700D" w:rsidRDefault="00BF005F" w:rsidP="00BF005F">
      <w:pPr>
        <w:spacing w:after="0" w:line="240" w:lineRule="auto"/>
        <w:ind w:left="720" w:right="720"/>
        <w:jc w:val="center"/>
        <w:rPr>
          <w:rFonts w:ascii="Century Schoolbook" w:eastAsia="Times New Roman" w:hAnsi="Century Schoolbook" w:cs="Times New Roman"/>
          <w:b/>
          <w:sz w:val="26"/>
          <w:szCs w:val="26"/>
          <w:u w:val="single"/>
        </w:rPr>
      </w:pPr>
      <w:r w:rsidRPr="0057700D">
        <w:rPr>
          <w:rFonts w:ascii="Century Schoolbook" w:eastAsia="Times New Roman" w:hAnsi="Century Schoolbook" w:cs="Times New Roman"/>
          <w:b/>
          <w:sz w:val="26"/>
          <w:szCs w:val="26"/>
          <w:u w:val="single"/>
        </w:rPr>
        <w:t>ISSUE PRESENTED</w:t>
      </w:r>
    </w:p>
    <w:p w14:paraId="7467AD66" w14:textId="77777777" w:rsidR="00BF005F" w:rsidRPr="0057700D" w:rsidRDefault="00BF005F" w:rsidP="00BF005F">
      <w:pPr>
        <w:tabs>
          <w:tab w:val="left" w:pos="8252"/>
        </w:tabs>
        <w:spacing w:after="0" w:line="240" w:lineRule="auto"/>
        <w:ind w:left="720" w:right="720"/>
        <w:rPr>
          <w:rFonts w:ascii="Century Schoolbook" w:eastAsia="Times New Roman" w:hAnsi="Century Schoolbook" w:cs="Times New Roman"/>
          <w:b/>
          <w:sz w:val="26"/>
          <w:szCs w:val="26"/>
        </w:rPr>
      </w:pPr>
      <w:r w:rsidRPr="0057700D">
        <w:rPr>
          <w:rFonts w:ascii="Century Schoolbook" w:eastAsia="Times New Roman" w:hAnsi="Century Schoolbook" w:cs="Times New Roman"/>
          <w:b/>
          <w:sz w:val="26"/>
          <w:szCs w:val="26"/>
        </w:rPr>
        <w:tab/>
      </w:r>
    </w:p>
    <w:p w14:paraId="456C2043" w14:textId="741B1589" w:rsidR="00D35F6B" w:rsidRPr="0057700D" w:rsidRDefault="00BF005F" w:rsidP="002C1E3A">
      <w:pPr>
        <w:spacing w:after="0" w:line="240" w:lineRule="auto"/>
        <w:ind w:left="1440" w:right="144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 xml:space="preserve">I.  </w:t>
      </w:r>
      <w:r w:rsidR="00D35F6B" w:rsidRPr="0057700D">
        <w:rPr>
          <w:rFonts w:ascii="Century Schoolbook" w:eastAsia="Times New Roman" w:hAnsi="Century Schoolbook" w:cs="Times New Roman"/>
          <w:sz w:val="26"/>
          <w:szCs w:val="26"/>
        </w:rPr>
        <w:t xml:space="preserve">Whether the Court of Appeals erred in </w:t>
      </w:r>
      <w:r w:rsidR="00BF4D35" w:rsidRPr="0057700D">
        <w:rPr>
          <w:rFonts w:ascii="Century Schoolbook" w:eastAsia="Times New Roman" w:hAnsi="Century Schoolbook" w:cs="Times New Roman"/>
          <w:sz w:val="26"/>
          <w:szCs w:val="26"/>
        </w:rPr>
        <w:t>finding that Mr. Johnson’s prima facie evidence of selective enforcement of the law was insufficient</w:t>
      </w:r>
      <w:r w:rsidR="001C2030" w:rsidRPr="0057700D">
        <w:rPr>
          <w:rFonts w:ascii="Century Schoolbook" w:eastAsia="Times New Roman" w:hAnsi="Century Schoolbook" w:cs="Times New Roman"/>
          <w:sz w:val="26"/>
          <w:szCs w:val="26"/>
        </w:rPr>
        <w:t xml:space="preserve">, and whether the State’s failure to offer any evidence rebutting the presumption of </w:t>
      </w:r>
      <w:r w:rsidR="004E6EC8" w:rsidRPr="0057700D">
        <w:rPr>
          <w:rFonts w:ascii="Century Schoolbook" w:eastAsia="Times New Roman" w:hAnsi="Century Schoolbook" w:cs="Times New Roman"/>
          <w:sz w:val="26"/>
          <w:szCs w:val="26"/>
        </w:rPr>
        <w:t xml:space="preserve">discrimination required the </w:t>
      </w:r>
      <w:r w:rsidR="000F55E3" w:rsidRPr="0057700D">
        <w:rPr>
          <w:rFonts w:ascii="Century Schoolbook" w:eastAsia="Times New Roman" w:hAnsi="Century Schoolbook" w:cs="Times New Roman"/>
          <w:sz w:val="26"/>
          <w:szCs w:val="26"/>
        </w:rPr>
        <w:t>lower c</w:t>
      </w:r>
      <w:r w:rsidR="004E6EC8" w:rsidRPr="0057700D">
        <w:rPr>
          <w:rFonts w:ascii="Century Schoolbook" w:eastAsia="Times New Roman" w:hAnsi="Century Schoolbook" w:cs="Times New Roman"/>
          <w:sz w:val="26"/>
          <w:szCs w:val="26"/>
        </w:rPr>
        <w:t xml:space="preserve">ourt to grant Mr. Johnson’s </w:t>
      </w:r>
      <w:r w:rsidR="00530531" w:rsidRPr="0057700D">
        <w:rPr>
          <w:rFonts w:ascii="Century Schoolbook" w:eastAsia="Times New Roman" w:hAnsi="Century Schoolbook" w:cs="Times New Roman"/>
          <w:sz w:val="26"/>
          <w:szCs w:val="26"/>
        </w:rPr>
        <w:t>motion to suppress</w:t>
      </w:r>
      <w:r w:rsidR="000F55E3" w:rsidRPr="0057700D">
        <w:rPr>
          <w:rFonts w:ascii="Century Schoolbook" w:eastAsia="Times New Roman" w:hAnsi="Century Schoolbook" w:cs="Times New Roman"/>
          <w:sz w:val="26"/>
          <w:szCs w:val="26"/>
        </w:rPr>
        <w:t xml:space="preserve">?  </w:t>
      </w:r>
      <w:r w:rsidR="00A62B66" w:rsidRPr="0057700D">
        <w:rPr>
          <w:rFonts w:ascii="Century Schoolbook" w:eastAsia="Times New Roman" w:hAnsi="Century Schoolbook" w:cs="Times New Roman"/>
          <w:sz w:val="26"/>
          <w:szCs w:val="26"/>
        </w:rPr>
        <w:t xml:space="preserve">  </w:t>
      </w:r>
      <w:r w:rsidR="00D35F6B" w:rsidRPr="0057700D">
        <w:rPr>
          <w:rFonts w:ascii="Century Schoolbook" w:eastAsia="Times New Roman" w:hAnsi="Century Schoolbook" w:cs="Times New Roman"/>
          <w:sz w:val="26"/>
          <w:szCs w:val="26"/>
        </w:rPr>
        <w:t xml:space="preserve">   </w:t>
      </w:r>
    </w:p>
    <w:p w14:paraId="48741AC4" w14:textId="4E16121E" w:rsidR="00BF005F" w:rsidRPr="0057700D" w:rsidRDefault="00BF005F" w:rsidP="00BF005F">
      <w:pPr>
        <w:spacing w:after="0" w:line="240" w:lineRule="auto"/>
        <w:ind w:left="1440" w:right="720" w:hanging="720"/>
        <w:rPr>
          <w:rFonts w:ascii="Century Schoolbook" w:eastAsia="Times New Roman" w:hAnsi="Century Schoolbook" w:cs="Times New Roman"/>
          <w:sz w:val="26"/>
          <w:szCs w:val="26"/>
        </w:rPr>
      </w:pPr>
    </w:p>
    <w:p w14:paraId="3FC1F1B9" w14:textId="77777777" w:rsidR="00EC1F0B" w:rsidRPr="0057700D" w:rsidRDefault="00EC1F0B" w:rsidP="00BF005F">
      <w:pPr>
        <w:spacing w:after="0" w:line="240" w:lineRule="auto"/>
        <w:ind w:left="1440" w:right="720" w:hanging="720"/>
        <w:rPr>
          <w:rFonts w:ascii="Century Schoolbook" w:eastAsia="Times New Roman" w:hAnsi="Century Schoolbook" w:cs="Times New Roman"/>
          <w:sz w:val="26"/>
          <w:szCs w:val="26"/>
        </w:rPr>
      </w:pPr>
    </w:p>
    <w:p w14:paraId="74128C80" w14:textId="203A9823" w:rsidR="00BF005F" w:rsidRPr="0057700D" w:rsidRDefault="00BF005F" w:rsidP="00BF005F">
      <w:pPr>
        <w:spacing w:after="0" w:line="240" w:lineRule="auto"/>
        <w:ind w:left="720" w:right="720"/>
        <w:rPr>
          <w:rFonts w:ascii="Century Schoolbook" w:eastAsia="Times New Roman" w:hAnsi="Century Schoolbook" w:cs="Times New Roman"/>
          <w:sz w:val="26"/>
          <w:szCs w:val="26"/>
        </w:rPr>
      </w:pPr>
    </w:p>
    <w:p w14:paraId="02EB470B" w14:textId="171119AF" w:rsidR="00BF005F" w:rsidRPr="0057700D" w:rsidRDefault="00BF005F" w:rsidP="00BF005F">
      <w:pPr>
        <w:spacing w:after="0" w:line="240" w:lineRule="auto"/>
        <w:ind w:left="720" w:right="720"/>
        <w:rPr>
          <w:rFonts w:ascii="Century Schoolbook" w:eastAsia="Times New Roman" w:hAnsi="Century Schoolbook" w:cs="Times New Roman"/>
          <w:sz w:val="26"/>
          <w:szCs w:val="26"/>
        </w:rPr>
      </w:pPr>
    </w:p>
    <w:p w14:paraId="06131A42" w14:textId="25E30BA1" w:rsidR="00BF005F" w:rsidRPr="0057700D" w:rsidRDefault="00BF005F" w:rsidP="00BF005F">
      <w:pPr>
        <w:spacing w:after="0" w:line="240" w:lineRule="auto"/>
        <w:ind w:left="720" w:right="720"/>
        <w:rPr>
          <w:rFonts w:ascii="Century Schoolbook" w:eastAsia="Times New Roman" w:hAnsi="Century Schoolbook" w:cs="Times New Roman"/>
          <w:sz w:val="26"/>
          <w:szCs w:val="26"/>
        </w:rPr>
      </w:pPr>
    </w:p>
    <w:p w14:paraId="1241D511" w14:textId="02979BC9" w:rsidR="00BF005F" w:rsidRPr="0057700D" w:rsidRDefault="00BF005F" w:rsidP="00BF005F">
      <w:pPr>
        <w:spacing w:after="0" w:line="240" w:lineRule="auto"/>
        <w:ind w:left="720" w:right="720"/>
        <w:rPr>
          <w:rFonts w:ascii="Century Schoolbook" w:eastAsia="Times New Roman" w:hAnsi="Century Schoolbook" w:cs="Times New Roman"/>
          <w:sz w:val="26"/>
          <w:szCs w:val="26"/>
        </w:rPr>
      </w:pPr>
    </w:p>
    <w:p w14:paraId="0D4020C0" w14:textId="7035181A" w:rsidR="00BF005F" w:rsidRPr="0057700D" w:rsidRDefault="00BF005F" w:rsidP="00BF005F">
      <w:pPr>
        <w:spacing w:after="0" w:line="240" w:lineRule="auto"/>
        <w:ind w:left="720" w:right="720"/>
        <w:rPr>
          <w:rFonts w:ascii="Century Schoolbook" w:eastAsia="Times New Roman" w:hAnsi="Century Schoolbook" w:cs="Times New Roman"/>
          <w:sz w:val="26"/>
          <w:szCs w:val="26"/>
        </w:rPr>
      </w:pPr>
    </w:p>
    <w:p w14:paraId="3FEA90AD" w14:textId="77777777" w:rsidR="00BF005F" w:rsidRPr="0057700D" w:rsidRDefault="00BF005F" w:rsidP="00BF005F">
      <w:pPr>
        <w:spacing w:after="0" w:line="240" w:lineRule="auto"/>
        <w:ind w:left="720" w:right="720"/>
        <w:rPr>
          <w:rFonts w:ascii="Century Schoolbook" w:eastAsia="Times New Roman" w:hAnsi="Century Schoolbook" w:cs="Times New Roman"/>
          <w:sz w:val="26"/>
          <w:szCs w:val="26"/>
        </w:rPr>
      </w:pPr>
    </w:p>
    <w:p w14:paraId="06A503E3" w14:textId="77777777" w:rsidR="00BF005F" w:rsidRPr="0057700D" w:rsidRDefault="00BF005F" w:rsidP="00BF005F">
      <w:pPr>
        <w:spacing w:after="0" w:line="240" w:lineRule="auto"/>
        <w:ind w:left="720" w:right="720"/>
        <w:rPr>
          <w:rFonts w:ascii="Century Schoolbook" w:eastAsia="Times New Roman" w:hAnsi="Century Schoolbook" w:cs="Times New Roman"/>
          <w:sz w:val="26"/>
          <w:szCs w:val="26"/>
        </w:rPr>
      </w:pPr>
    </w:p>
    <w:p w14:paraId="21BEBAB0" w14:textId="77777777" w:rsidR="000262B5" w:rsidRPr="0057700D" w:rsidRDefault="000262B5" w:rsidP="00BF005F">
      <w:pPr>
        <w:spacing w:after="0" w:line="240" w:lineRule="auto"/>
        <w:ind w:left="720" w:right="720"/>
        <w:jc w:val="center"/>
        <w:rPr>
          <w:rFonts w:ascii="Century Schoolbook" w:eastAsia="Times New Roman" w:hAnsi="Century Schoolbook" w:cs="Times New Roman"/>
          <w:b/>
          <w:sz w:val="26"/>
          <w:szCs w:val="26"/>
          <w:u w:val="single"/>
        </w:rPr>
      </w:pPr>
    </w:p>
    <w:p w14:paraId="76014528" w14:textId="130E2C1B" w:rsidR="00BF005F" w:rsidRPr="0057700D" w:rsidRDefault="00BF005F" w:rsidP="00BF005F">
      <w:pPr>
        <w:spacing w:after="0" w:line="240" w:lineRule="auto"/>
        <w:ind w:left="720" w:right="720"/>
        <w:jc w:val="center"/>
        <w:rPr>
          <w:rFonts w:ascii="Century Schoolbook" w:eastAsia="Times New Roman" w:hAnsi="Century Schoolbook" w:cs="Times New Roman"/>
          <w:b/>
          <w:sz w:val="26"/>
          <w:szCs w:val="26"/>
          <w:u w:val="single"/>
        </w:rPr>
      </w:pPr>
      <w:r w:rsidRPr="0057700D">
        <w:rPr>
          <w:rFonts w:ascii="Century Schoolbook" w:eastAsia="Times New Roman" w:hAnsi="Century Schoolbook" w:cs="Times New Roman"/>
          <w:b/>
          <w:sz w:val="26"/>
          <w:szCs w:val="26"/>
          <w:u w:val="single"/>
        </w:rPr>
        <w:lastRenderedPageBreak/>
        <w:t>STATEMENT OF THE CASE</w:t>
      </w:r>
    </w:p>
    <w:p w14:paraId="29C705C5" w14:textId="77777777" w:rsidR="00BF005F" w:rsidRPr="0057700D" w:rsidRDefault="00BF005F" w:rsidP="00BF005F">
      <w:pPr>
        <w:spacing w:after="0" w:line="240" w:lineRule="auto"/>
        <w:jc w:val="center"/>
        <w:rPr>
          <w:rFonts w:ascii="Century Schoolbook" w:eastAsia="Times New Roman" w:hAnsi="Century Schoolbook" w:cs="Times New Roman"/>
          <w:sz w:val="26"/>
          <w:szCs w:val="26"/>
          <w:u w:val="single"/>
        </w:rPr>
      </w:pPr>
    </w:p>
    <w:p w14:paraId="24E5CCAB" w14:textId="6A0171CA" w:rsidR="000343C4" w:rsidRPr="0057700D" w:rsidRDefault="000343C4" w:rsidP="003319C5">
      <w:pPr>
        <w:spacing w:after="0" w:line="480" w:lineRule="auto"/>
        <w:ind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On March 5, 2</w:t>
      </w:r>
      <w:r w:rsidR="00EB253F" w:rsidRPr="0057700D">
        <w:rPr>
          <w:rFonts w:ascii="Century Schoolbook" w:eastAsia="Times New Roman" w:hAnsi="Century Schoolbook" w:cs="Times New Roman"/>
          <w:sz w:val="26"/>
          <w:szCs w:val="26"/>
        </w:rPr>
        <w:t>0</w:t>
      </w:r>
      <w:r w:rsidRPr="0057700D">
        <w:rPr>
          <w:rFonts w:ascii="Century Schoolbook" w:eastAsia="Times New Roman" w:hAnsi="Century Schoolbook" w:cs="Times New Roman"/>
          <w:sz w:val="26"/>
          <w:szCs w:val="26"/>
        </w:rPr>
        <w:t xml:space="preserve">18, </w:t>
      </w:r>
      <w:r w:rsidR="001B38E0" w:rsidRPr="0057700D">
        <w:rPr>
          <w:rFonts w:ascii="Century Schoolbook" w:eastAsia="Times New Roman" w:hAnsi="Century Schoolbook" w:cs="Times New Roman"/>
          <w:sz w:val="26"/>
          <w:szCs w:val="26"/>
        </w:rPr>
        <w:t>Jeremy</w:t>
      </w:r>
      <w:r w:rsidRPr="0057700D">
        <w:rPr>
          <w:rFonts w:ascii="Century Schoolbook" w:eastAsia="Times New Roman" w:hAnsi="Century Schoolbook" w:cs="Times New Roman"/>
          <w:sz w:val="26"/>
          <w:szCs w:val="26"/>
        </w:rPr>
        <w:t xml:space="preserve"> Johnson was indicted for possession of</w:t>
      </w:r>
      <w:r w:rsidR="00EB253F"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cocaine, possession of marijuana up to one-half ounce, and resisting a</w:t>
      </w:r>
      <w:r w:rsidR="00EB253F"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 xml:space="preserve">public officer. </w:t>
      </w:r>
      <w:r w:rsidR="003319C5"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(Rp 4)</w:t>
      </w:r>
      <w:r w:rsidR="003319C5"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 xml:space="preserve">Mr. Johnson moved to suppress evidence </w:t>
      </w:r>
      <w:r w:rsidR="00B006B0" w:rsidRPr="0057700D">
        <w:rPr>
          <w:rFonts w:ascii="Century Schoolbook" w:eastAsia="Times New Roman" w:hAnsi="Century Schoolbook" w:cs="Times New Roman"/>
          <w:sz w:val="26"/>
          <w:szCs w:val="26"/>
        </w:rPr>
        <w:t xml:space="preserve">which was </w:t>
      </w:r>
      <w:r w:rsidR="00F8414E" w:rsidRPr="0057700D">
        <w:rPr>
          <w:rFonts w:ascii="Century Schoolbook" w:eastAsia="Times New Roman" w:hAnsi="Century Schoolbook" w:cs="Times New Roman"/>
          <w:sz w:val="26"/>
          <w:szCs w:val="26"/>
        </w:rPr>
        <w:t xml:space="preserve">obtained in a </w:t>
      </w:r>
      <w:r w:rsidR="00B006B0" w:rsidRPr="0057700D">
        <w:rPr>
          <w:rFonts w:ascii="Century Schoolbook" w:eastAsia="Times New Roman" w:hAnsi="Century Schoolbook" w:cs="Times New Roman"/>
          <w:sz w:val="26"/>
          <w:szCs w:val="26"/>
        </w:rPr>
        <w:t xml:space="preserve">traffic stop </w:t>
      </w:r>
      <w:r w:rsidR="00F8414E" w:rsidRPr="0057700D">
        <w:rPr>
          <w:rFonts w:ascii="Century Schoolbook" w:eastAsia="Times New Roman" w:hAnsi="Century Schoolbook" w:cs="Times New Roman"/>
          <w:sz w:val="26"/>
          <w:szCs w:val="26"/>
        </w:rPr>
        <w:t xml:space="preserve">search </w:t>
      </w:r>
      <w:r w:rsidRPr="0057700D">
        <w:rPr>
          <w:rFonts w:ascii="Century Schoolbook" w:eastAsia="Times New Roman" w:hAnsi="Century Schoolbook" w:cs="Times New Roman"/>
          <w:sz w:val="26"/>
          <w:szCs w:val="26"/>
        </w:rPr>
        <w:t>on</w:t>
      </w:r>
      <w:r w:rsidR="00EB253F"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 xml:space="preserve">both </w:t>
      </w:r>
      <w:r w:rsidR="00EA308A" w:rsidRPr="0057700D">
        <w:rPr>
          <w:rFonts w:ascii="Century Schoolbook" w:eastAsia="Times New Roman" w:hAnsi="Century Schoolbook" w:cs="Times New Roman"/>
          <w:sz w:val="26"/>
          <w:szCs w:val="26"/>
        </w:rPr>
        <w:t>E</w:t>
      </w:r>
      <w:r w:rsidRPr="0057700D">
        <w:rPr>
          <w:rFonts w:ascii="Century Schoolbook" w:eastAsia="Times New Roman" w:hAnsi="Century Schoolbook" w:cs="Times New Roman"/>
          <w:sz w:val="26"/>
          <w:szCs w:val="26"/>
        </w:rPr>
        <w:t xml:space="preserve">qual </w:t>
      </w:r>
      <w:r w:rsidR="00EA308A" w:rsidRPr="0057700D">
        <w:rPr>
          <w:rFonts w:ascii="Century Schoolbook" w:eastAsia="Times New Roman" w:hAnsi="Century Schoolbook" w:cs="Times New Roman"/>
          <w:sz w:val="26"/>
          <w:szCs w:val="26"/>
        </w:rPr>
        <w:t>P</w:t>
      </w:r>
      <w:r w:rsidRPr="0057700D">
        <w:rPr>
          <w:rFonts w:ascii="Century Schoolbook" w:eastAsia="Times New Roman" w:hAnsi="Century Schoolbook" w:cs="Times New Roman"/>
          <w:sz w:val="26"/>
          <w:szCs w:val="26"/>
        </w:rPr>
        <w:t xml:space="preserve">rotection and Fourth Amendment grounds. </w:t>
      </w:r>
      <w:r w:rsidR="00F8414E"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w:t>
      </w:r>
      <w:proofErr w:type="spellStart"/>
      <w:r w:rsidR="00F8414E" w:rsidRPr="0057700D">
        <w:rPr>
          <w:rFonts w:ascii="Century Schoolbook" w:eastAsia="Times New Roman" w:hAnsi="Century Schoolbook" w:cs="Times New Roman"/>
          <w:sz w:val="26"/>
          <w:szCs w:val="26"/>
        </w:rPr>
        <w:t>Rpp</w:t>
      </w:r>
      <w:proofErr w:type="spellEnd"/>
      <w:r w:rsidR="00F8414E" w:rsidRPr="0057700D">
        <w:rPr>
          <w:rFonts w:ascii="Century Schoolbook" w:eastAsia="Times New Roman" w:hAnsi="Century Schoolbook" w:cs="Times New Roman"/>
          <w:sz w:val="26"/>
          <w:szCs w:val="26"/>
        </w:rPr>
        <w:t xml:space="preserve"> </w:t>
      </w:r>
      <w:r w:rsidR="0048293F" w:rsidRPr="0057700D">
        <w:rPr>
          <w:rFonts w:ascii="Century Schoolbook" w:eastAsia="Times New Roman" w:hAnsi="Century Schoolbook" w:cs="Times New Roman"/>
          <w:sz w:val="26"/>
          <w:szCs w:val="26"/>
        </w:rPr>
        <w:t>6-30</w:t>
      </w:r>
      <w:r w:rsidRPr="0057700D">
        <w:rPr>
          <w:rFonts w:ascii="Century Schoolbook" w:eastAsia="Times New Roman" w:hAnsi="Century Schoolbook" w:cs="Times New Roman"/>
          <w:sz w:val="26"/>
          <w:szCs w:val="26"/>
        </w:rPr>
        <w:t>)</w:t>
      </w:r>
      <w:r w:rsidR="00F8414E"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 xml:space="preserve"> An</w:t>
      </w:r>
      <w:r w:rsidR="00EB253F"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evidentiary hearing was held before the Honorable A. Graham Shirley,</w:t>
      </w:r>
      <w:r w:rsidR="00EB253F"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 xml:space="preserve">II in Wake County Superior Court on September 5, 2018. </w:t>
      </w:r>
      <w:r w:rsidR="00F8414E"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 xml:space="preserve">Judge Shirley </w:t>
      </w:r>
      <w:r w:rsidR="007422A7" w:rsidRPr="0057700D">
        <w:rPr>
          <w:rFonts w:ascii="Century Schoolbook" w:eastAsia="Times New Roman" w:hAnsi="Century Schoolbook" w:cs="Times New Roman"/>
          <w:sz w:val="26"/>
          <w:szCs w:val="26"/>
        </w:rPr>
        <w:t xml:space="preserve">took separate evidence in back-to-back hearings on the two claims.  </w:t>
      </w:r>
      <w:r w:rsidR="008501A6" w:rsidRPr="0057700D">
        <w:rPr>
          <w:rFonts w:ascii="Century Schoolbook" w:eastAsia="Times New Roman" w:hAnsi="Century Schoolbook" w:cs="Times New Roman"/>
          <w:sz w:val="26"/>
          <w:szCs w:val="26"/>
        </w:rPr>
        <w:t xml:space="preserve">Judge Shirley </w:t>
      </w:r>
      <w:r w:rsidRPr="0057700D">
        <w:rPr>
          <w:rFonts w:ascii="Century Schoolbook" w:eastAsia="Times New Roman" w:hAnsi="Century Schoolbook" w:cs="Times New Roman"/>
          <w:sz w:val="26"/>
          <w:szCs w:val="26"/>
        </w:rPr>
        <w:t xml:space="preserve">issued </w:t>
      </w:r>
      <w:r w:rsidR="008E32C7" w:rsidRPr="0057700D">
        <w:rPr>
          <w:rFonts w:ascii="Century Schoolbook" w:eastAsia="Times New Roman" w:hAnsi="Century Schoolbook" w:cs="Times New Roman"/>
          <w:sz w:val="26"/>
          <w:szCs w:val="26"/>
        </w:rPr>
        <w:t xml:space="preserve">separate </w:t>
      </w:r>
      <w:r w:rsidRPr="0057700D">
        <w:rPr>
          <w:rFonts w:ascii="Century Schoolbook" w:eastAsia="Times New Roman" w:hAnsi="Century Schoolbook" w:cs="Times New Roman"/>
          <w:sz w:val="26"/>
          <w:szCs w:val="26"/>
        </w:rPr>
        <w:t>written</w:t>
      </w:r>
      <w:r w:rsidR="00EB253F"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 xml:space="preserve">orders denying Mr. Johnson’s motion on Fourth Amendment and </w:t>
      </w:r>
      <w:r w:rsidR="00CD2770" w:rsidRPr="0057700D">
        <w:rPr>
          <w:rFonts w:ascii="Century Schoolbook" w:eastAsia="Times New Roman" w:hAnsi="Century Schoolbook" w:cs="Times New Roman"/>
          <w:sz w:val="26"/>
          <w:szCs w:val="26"/>
        </w:rPr>
        <w:t>E</w:t>
      </w:r>
      <w:r w:rsidRPr="0057700D">
        <w:rPr>
          <w:rFonts w:ascii="Century Schoolbook" w:eastAsia="Times New Roman" w:hAnsi="Century Schoolbook" w:cs="Times New Roman"/>
          <w:sz w:val="26"/>
          <w:szCs w:val="26"/>
        </w:rPr>
        <w:t>qual</w:t>
      </w:r>
      <w:r w:rsidR="00EB253F" w:rsidRPr="0057700D">
        <w:rPr>
          <w:rFonts w:ascii="Century Schoolbook" w:eastAsia="Times New Roman" w:hAnsi="Century Schoolbook" w:cs="Times New Roman"/>
          <w:sz w:val="26"/>
          <w:szCs w:val="26"/>
        </w:rPr>
        <w:t xml:space="preserve"> </w:t>
      </w:r>
      <w:r w:rsidR="00CD2770" w:rsidRPr="0057700D">
        <w:rPr>
          <w:rFonts w:ascii="Century Schoolbook" w:eastAsia="Times New Roman" w:hAnsi="Century Schoolbook" w:cs="Times New Roman"/>
          <w:sz w:val="26"/>
          <w:szCs w:val="26"/>
        </w:rPr>
        <w:t>P</w:t>
      </w:r>
      <w:r w:rsidRPr="0057700D">
        <w:rPr>
          <w:rFonts w:ascii="Century Schoolbook" w:eastAsia="Times New Roman" w:hAnsi="Century Schoolbook" w:cs="Times New Roman"/>
          <w:sz w:val="26"/>
          <w:szCs w:val="26"/>
        </w:rPr>
        <w:t xml:space="preserve">rotection grounds </w:t>
      </w:r>
      <w:r w:rsidR="008E32C7" w:rsidRPr="0057700D">
        <w:rPr>
          <w:rFonts w:ascii="Century Schoolbook" w:eastAsia="Times New Roman" w:hAnsi="Century Schoolbook" w:cs="Times New Roman"/>
          <w:sz w:val="26"/>
          <w:szCs w:val="26"/>
        </w:rPr>
        <w:t xml:space="preserve">on </w:t>
      </w:r>
      <w:r w:rsidRPr="0057700D">
        <w:rPr>
          <w:rFonts w:ascii="Century Schoolbook" w:eastAsia="Times New Roman" w:hAnsi="Century Schoolbook" w:cs="Times New Roman"/>
          <w:sz w:val="26"/>
          <w:szCs w:val="26"/>
        </w:rPr>
        <w:t>September 28, 2018 and November 14, 2018,</w:t>
      </w:r>
      <w:r w:rsidR="00EB253F"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respectively.</w:t>
      </w:r>
      <w:r w:rsidR="00AB221E" w:rsidRPr="0057700D">
        <w:rPr>
          <w:rFonts w:ascii="Century Schoolbook" w:eastAsia="Calibri" w:hAnsi="Century Schoolbook" w:cs="Times New Roman"/>
          <w:bCs/>
          <w:iCs/>
          <w:sz w:val="26"/>
          <w:szCs w:val="26"/>
          <w:vertAlign w:val="superscript"/>
        </w:rPr>
        <w:footnoteReference w:id="1"/>
      </w:r>
      <w:r w:rsidR="00224551"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 xml:space="preserve"> (</w:t>
      </w:r>
      <w:proofErr w:type="spellStart"/>
      <w:r w:rsidRPr="0057700D">
        <w:rPr>
          <w:rFonts w:ascii="Century Schoolbook" w:eastAsia="Times New Roman" w:hAnsi="Century Schoolbook" w:cs="Times New Roman"/>
          <w:sz w:val="26"/>
          <w:szCs w:val="26"/>
        </w:rPr>
        <w:t>Rpp</w:t>
      </w:r>
      <w:proofErr w:type="spellEnd"/>
      <w:r w:rsidRPr="0057700D">
        <w:rPr>
          <w:rFonts w:ascii="Century Schoolbook" w:eastAsia="Times New Roman" w:hAnsi="Century Schoolbook" w:cs="Times New Roman"/>
          <w:sz w:val="26"/>
          <w:szCs w:val="26"/>
        </w:rPr>
        <w:t xml:space="preserve"> 32</w:t>
      </w:r>
      <w:r w:rsidR="00224551" w:rsidRPr="0057700D">
        <w:rPr>
          <w:rFonts w:ascii="Century Schoolbook" w:eastAsia="Times New Roman" w:hAnsi="Century Schoolbook" w:cs="Times New Roman"/>
          <w:sz w:val="26"/>
          <w:szCs w:val="26"/>
        </w:rPr>
        <w:t>-</w:t>
      </w:r>
      <w:r w:rsidRPr="0057700D">
        <w:rPr>
          <w:rFonts w:ascii="Century Schoolbook" w:eastAsia="Times New Roman" w:hAnsi="Century Schoolbook" w:cs="Times New Roman"/>
          <w:sz w:val="26"/>
          <w:szCs w:val="26"/>
        </w:rPr>
        <w:t xml:space="preserve">37, </w:t>
      </w:r>
      <w:r w:rsidR="00D524C7" w:rsidRPr="0057700D">
        <w:rPr>
          <w:rFonts w:ascii="Century Schoolbook" w:eastAsia="Times New Roman" w:hAnsi="Century Schoolbook" w:cs="Times New Roman"/>
          <w:sz w:val="26"/>
          <w:szCs w:val="26"/>
        </w:rPr>
        <w:t>38-48</w:t>
      </w:r>
      <w:r w:rsidRPr="0057700D">
        <w:rPr>
          <w:rFonts w:ascii="Century Schoolbook" w:eastAsia="Times New Roman" w:hAnsi="Century Schoolbook" w:cs="Times New Roman"/>
          <w:sz w:val="26"/>
          <w:szCs w:val="26"/>
        </w:rPr>
        <w:t>)</w:t>
      </w:r>
    </w:p>
    <w:p w14:paraId="27A8306F" w14:textId="60D3ABD6" w:rsidR="005B26E3" w:rsidRPr="0057700D" w:rsidRDefault="000343C4" w:rsidP="00BF005F">
      <w:pPr>
        <w:spacing w:after="0" w:line="480" w:lineRule="auto"/>
        <w:ind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On January 17, 2019, Mr. Johnson pled guilty to felony possession</w:t>
      </w:r>
      <w:r w:rsidR="00EB253F"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of cocaine and resisting a public officer, specifically reserving his right</w:t>
      </w:r>
      <w:r w:rsidR="00EB253F"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 xml:space="preserve">to appeal the suppression ruling. </w:t>
      </w:r>
      <w:r w:rsidR="00C717B0"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w:t>
      </w:r>
      <w:r w:rsidR="004F32E4" w:rsidRPr="0057700D">
        <w:rPr>
          <w:rFonts w:ascii="Century Schoolbook" w:eastAsia="Times New Roman" w:hAnsi="Century Schoolbook" w:cs="Times New Roman"/>
          <w:sz w:val="26"/>
          <w:szCs w:val="26"/>
        </w:rPr>
        <w:t xml:space="preserve">Plea </w:t>
      </w:r>
      <w:proofErr w:type="spellStart"/>
      <w:r w:rsidRPr="0057700D">
        <w:rPr>
          <w:rFonts w:ascii="Century Schoolbook" w:eastAsia="Times New Roman" w:hAnsi="Century Schoolbook" w:cs="Times New Roman"/>
          <w:sz w:val="26"/>
          <w:szCs w:val="26"/>
        </w:rPr>
        <w:t>Tpp</w:t>
      </w:r>
      <w:proofErr w:type="spellEnd"/>
      <w:r w:rsidRPr="0057700D">
        <w:rPr>
          <w:rFonts w:ascii="Century Schoolbook" w:eastAsia="Times New Roman" w:hAnsi="Century Schoolbook" w:cs="Times New Roman"/>
          <w:sz w:val="26"/>
          <w:szCs w:val="26"/>
        </w:rPr>
        <w:t xml:space="preserve"> 6</w:t>
      </w:r>
      <w:r w:rsidR="00825643" w:rsidRPr="0057700D">
        <w:rPr>
          <w:rFonts w:ascii="Century Schoolbook" w:eastAsia="Times New Roman" w:hAnsi="Century Schoolbook" w:cs="Times New Roman"/>
          <w:sz w:val="26"/>
          <w:szCs w:val="26"/>
        </w:rPr>
        <w:t>-</w:t>
      </w:r>
      <w:r w:rsidRPr="0057700D">
        <w:rPr>
          <w:rFonts w:ascii="Century Schoolbook" w:eastAsia="Times New Roman" w:hAnsi="Century Schoolbook" w:cs="Times New Roman"/>
          <w:sz w:val="26"/>
          <w:szCs w:val="26"/>
        </w:rPr>
        <w:t xml:space="preserve">7, 17) </w:t>
      </w:r>
      <w:r w:rsidR="00825643"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The Honorable Carl R.</w:t>
      </w:r>
      <w:r w:rsidR="00EB253F"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Fox sentenced Mr. Johnson to 6</w:t>
      </w:r>
      <w:r w:rsidR="00825643" w:rsidRPr="0057700D">
        <w:rPr>
          <w:rFonts w:ascii="Century Schoolbook" w:eastAsia="Times New Roman" w:hAnsi="Century Schoolbook" w:cs="Times New Roman"/>
          <w:sz w:val="26"/>
          <w:szCs w:val="26"/>
        </w:rPr>
        <w:t>-</w:t>
      </w:r>
      <w:r w:rsidRPr="0057700D">
        <w:rPr>
          <w:rFonts w:ascii="Century Schoolbook" w:eastAsia="Times New Roman" w:hAnsi="Century Schoolbook" w:cs="Times New Roman"/>
          <w:sz w:val="26"/>
          <w:szCs w:val="26"/>
        </w:rPr>
        <w:t>17 months imprisonment, suspended</w:t>
      </w:r>
      <w:r w:rsidR="008B79A2"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 xml:space="preserve">for 24 months of probation. </w:t>
      </w:r>
      <w:r w:rsidR="0061168B"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w:t>
      </w:r>
      <w:proofErr w:type="spellStart"/>
      <w:r w:rsidRPr="0057700D">
        <w:rPr>
          <w:rFonts w:ascii="Century Schoolbook" w:eastAsia="Times New Roman" w:hAnsi="Century Schoolbook" w:cs="Times New Roman"/>
          <w:sz w:val="26"/>
          <w:szCs w:val="26"/>
        </w:rPr>
        <w:t>Rpp</w:t>
      </w:r>
      <w:proofErr w:type="spellEnd"/>
      <w:r w:rsidR="008B79A2"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55</w:t>
      </w:r>
      <w:r w:rsidR="0061168B" w:rsidRPr="0057700D">
        <w:rPr>
          <w:rFonts w:ascii="Century Schoolbook" w:eastAsia="Times New Roman" w:hAnsi="Century Schoolbook" w:cs="Times New Roman"/>
          <w:sz w:val="26"/>
          <w:szCs w:val="26"/>
        </w:rPr>
        <w:t>-</w:t>
      </w:r>
      <w:r w:rsidRPr="0057700D">
        <w:rPr>
          <w:rFonts w:ascii="Century Schoolbook" w:eastAsia="Times New Roman" w:hAnsi="Century Schoolbook" w:cs="Times New Roman"/>
          <w:sz w:val="26"/>
          <w:szCs w:val="26"/>
        </w:rPr>
        <w:t xml:space="preserve">58) </w:t>
      </w:r>
      <w:r w:rsidR="0061168B"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Mr. Johnson gave oral notice of appeal from judgment entered,</w:t>
      </w:r>
      <w:r w:rsidR="008B79A2"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 xml:space="preserve">which was further memorialized </w:t>
      </w:r>
      <w:r w:rsidR="009708E3" w:rsidRPr="0057700D">
        <w:rPr>
          <w:rFonts w:ascii="Century Schoolbook" w:eastAsia="Times New Roman" w:hAnsi="Century Schoolbook" w:cs="Times New Roman"/>
          <w:sz w:val="26"/>
          <w:szCs w:val="26"/>
        </w:rPr>
        <w:t>in</w:t>
      </w:r>
      <w:r w:rsidRPr="0057700D">
        <w:rPr>
          <w:rFonts w:ascii="Century Schoolbook" w:eastAsia="Times New Roman" w:hAnsi="Century Schoolbook" w:cs="Times New Roman"/>
          <w:sz w:val="26"/>
          <w:szCs w:val="26"/>
        </w:rPr>
        <w:t xml:space="preserve"> a joint stipulation signed on January 19, 2019. </w:t>
      </w:r>
      <w:r w:rsidR="0061168B"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w:t>
      </w:r>
      <w:r w:rsidR="004F32E4" w:rsidRPr="0057700D">
        <w:rPr>
          <w:rFonts w:ascii="Century Schoolbook" w:eastAsia="Times New Roman" w:hAnsi="Century Schoolbook" w:cs="Times New Roman"/>
          <w:sz w:val="26"/>
          <w:szCs w:val="26"/>
        </w:rPr>
        <w:t xml:space="preserve">Plea </w:t>
      </w:r>
      <w:proofErr w:type="spellStart"/>
      <w:r w:rsidRPr="0057700D">
        <w:rPr>
          <w:rFonts w:ascii="Century Schoolbook" w:eastAsia="Times New Roman" w:hAnsi="Century Schoolbook" w:cs="Times New Roman"/>
          <w:sz w:val="26"/>
          <w:szCs w:val="26"/>
        </w:rPr>
        <w:t>Tp</w:t>
      </w:r>
      <w:proofErr w:type="spellEnd"/>
      <w:r w:rsidRPr="0057700D">
        <w:rPr>
          <w:rFonts w:ascii="Century Schoolbook" w:eastAsia="Times New Roman" w:hAnsi="Century Schoolbook" w:cs="Times New Roman"/>
          <w:sz w:val="26"/>
          <w:szCs w:val="26"/>
        </w:rPr>
        <w:t xml:space="preserve"> 17</w:t>
      </w:r>
      <w:r w:rsidR="0061168B" w:rsidRPr="0057700D">
        <w:rPr>
          <w:rFonts w:ascii="Century Schoolbook" w:eastAsia="Times New Roman" w:hAnsi="Century Schoolbook" w:cs="Times New Roman"/>
          <w:sz w:val="26"/>
          <w:szCs w:val="26"/>
        </w:rPr>
        <w:t>;</w:t>
      </w:r>
      <w:r w:rsidRPr="0057700D">
        <w:rPr>
          <w:rFonts w:ascii="Century Schoolbook" w:eastAsia="Times New Roman" w:hAnsi="Century Schoolbook" w:cs="Times New Roman"/>
          <w:sz w:val="26"/>
          <w:szCs w:val="26"/>
        </w:rPr>
        <w:t xml:space="preserve"> Rp 62)</w:t>
      </w:r>
    </w:p>
    <w:p w14:paraId="50AA591D" w14:textId="71575C77" w:rsidR="008160D1" w:rsidRPr="0057700D" w:rsidRDefault="009708E3" w:rsidP="008B79A2">
      <w:pPr>
        <w:spacing w:after="0" w:line="480" w:lineRule="auto"/>
        <w:ind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lastRenderedPageBreak/>
        <w:t xml:space="preserve">The </w:t>
      </w:r>
      <w:r w:rsidR="00280490" w:rsidRPr="0057700D">
        <w:rPr>
          <w:rFonts w:ascii="Century Schoolbook" w:eastAsia="Times New Roman" w:hAnsi="Century Schoolbook" w:cs="Times New Roman"/>
          <w:sz w:val="26"/>
          <w:szCs w:val="26"/>
        </w:rPr>
        <w:t xml:space="preserve">first </w:t>
      </w:r>
      <w:r w:rsidRPr="0057700D">
        <w:rPr>
          <w:rFonts w:ascii="Century Schoolbook" w:eastAsia="Times New Roman" w:hAnsi="Century Schoolbook" w:cs="Times New Roman"/>
          <w:sz w:val="26"/>
          <w:szCs w:val="26"/>
        </w:rPr>
        <w:t>Court of Appeals opinion</w:t>
      </w:r>
      <w:r w:rsidR="00280490" w:rsidRPr="0057700D">
        <w:rPr>
          <w:rFonts w:ascii="Century Schoolbook" w:eastAsia="Times New Roman" w:hAnsi="Century Schoolbook" w:cs="Times New Roman"/>
          <w:sz w:val="26"/>
          <w:szCs w:val="26"/>
        </w:rPr>
        <w:t xml:space="preserve"> issued </w:t>
      </w:r>
      <w:r w:rsidR="00A035C4" w:rsidRPr="0057700D">
        <w:rPr>
          <w:rFonts w:ascii="Century Schoolbook" w:eastAsia="Times New Roman" w:hAnsi="Century Schoolbook" w:cs="Times New Roman"/>
          <w:sz w:val="26"/>
          <w:szCs w:val="26"/>
        </w:rPr>
        <w:t xml:space="preserve">April 21, 2020.  </w:t>
      </w:r>
      <w:r w:rsidR="00280490" w:rsidRPr="0057700D">
        <w:rPr>
          <w:rFonts w:ascii="Century Schoolbook" w:eastAsia="Times New Roman" w:hAnsi="Century Schoolbook" w:cs="Times New Roman"/>
          <w:sz w:val="26"/>
          <w:szCs w:val="26"/>
        </w:rPr>
        <w:t>Mr. Johnson sought discretionary review</w:t>
      </w:r>
      <w:r w:rsidR="00EF12CF" w:rsidRPr="0057700D">
        <w:rPr>
          <w:rFonts w:ascii="Century Schoolbook" w:eastAsia="Times New Roman" w:hAnsi="Century Schoolbook" w:cs="Times New Roman"/>
          <w:sz w:val="26"/>
          <w:szCs w:val="26"/>
        </w:rPr>
        <w:t xml:space="preserve">, contending the panel erred in failing to </w:t>
      </w:r>
      <w:r w:rsidR="00112E1F" w:rsidRPr="0057700D">
        <w:rPr>
          <w:rFonts w:ascii="Century Schoolbook" w:eastAsia="Times New Roman" w:hAnsi="Century Schoolbook" w:cs="Times New Roman"/>
          <w:sz w:val="26"/>
          <w:szCs w:val="26"/>
        </w:rPr>
        <w:t xml:space="preserve">properly consider </w:t>
      </w:r>
      <w:r w:rsidR="00EF12CF" w:rsidRPr="0057700D">
        <w:rPr>
          <w:rFonts w:ascii="Century Schoolbook" w:eastAsia="Times New Roman" w:hAnsi="Century Schoolbook" w:cs="Times New Roman"/>
          <w:sz w:val="26"/>
          <w:szCs w:val="26"/>
        </w:rPr>
        <w:t xml:space="preserve">the </w:t>
      </w:r>
      <w:r w:rsidR="00884064" w:rsidRPr="0057700D">
        <w:rPr>
          <w:rFonts w:ascii="Century Schoolbook" w:eastAsia="Times New Roman" w:hAnsi="Century Schoolbook" w:cs="Times New Roman"/>
          <w:sz w:val="26"/>
          <w:szCs w:val="26"/>
        </w:rPr>
        <w:t>e</w:t>
      </w:r>
      <w:r w:rsidR="00EF12CF" w:rsidRPr="0057700D">
        <w:rPr>
          <w:rFonts w:ascii="Century Schoolbook" w:eastAsia="Times New Roman" w:hAnsi="Century Schoolbook" w:cs="Times New Roman"/>
          <w:sz w:val="26"/>
          <w:szCs w:val="26"/>
        </w:rPr>
        <w:t xml:space="preserve">qual </w:t>
      </w:r>
      <w:r w:rsidR="00884064" w:rsidRPr="0057700D">
        <w:rPr>
          <w:rFonts w:ascii="Century Schoolbook" w:eastAsia="Times New Roman" w:hAnsi="Century Schoolbook" w:cs="Times New Roman"/>
          <w:sz w:val="26"/>
          <w:szCs w:val="26"/>
        </w:rPr>
        <w:t>p</w:t>
      </w:r>
      <w:r w:rsidR="00EF12CF" w:rsidRPr="0057700D">
        <w:rPr>
          <w:rFonts w:ascii="Century Schoolbook" w:eastAsia="Times New Roman" w:hAnsi="Century Schoolbook" w:cs="Times New Roman"/>
          <w:sz w:val="26"/>
          <w:szCs w:val="26"/>
        </w:rPr>
        <w:t>rotection issue</w:t>
      </w:r>
      <w:r w:rsidR="009E0AAE" w:rsidRPr="0057700D">
        <w:rPr>
          <w:rFonts w:ascii="Century Schoolbook" w:eastAsia="Times New Roman" w:hAnsi="Century Schoolbook" w:cs="Times New Roman"/>
          <w:sz w:val="26"/>
          <w:szCs w:val="26"/>
        </w:rPr>
        <w:t xml:space="preserve">.  This </w:t>
      </w:r>
      <w:r w:rsidR="003C35B7" w:rsidRPr="0057700D">
        <w:rPr>
          <w:rFonts w:ascii="Century Schoolbook" w:eastAsia="Calibri" w:hAnsi="Century Schoolbook" w:cs="Times New Roman"/>
          <w:sz w:val="26"/>
          <w:szCs w:val="26"/>
        </w:rPr>
        <w:t>Court issued a special order requiring the Court of Appeals to ad</w:t>
      </w:r>
      <w:r w:rsidR="00112E1F" w:rsidRPr="0057700D">
        <w:rPr>
          <w:rFonts w:ascii="Century Schoolbook" w:eastAsia="Calibri" w:hAnsi="Century Schoolbook" w:cs="Times New Roman"/>
          <w:sz w:val="26"/>
          <w:szCs w:val="26"/>
        </w:rPr>
        <w:t xml:space="preserve">dress </w:t>
      </w:r>
      <w:r w:rsidR="003C35B7" w:rsidRPr="0057700D">
        <w:rPr>
          <w:rFonts w:ascii="Century Schoolbook" w:eastAsia="Calibri" w:hAnsi="Century Schoolbook" w:cs="Times New Roman"/>
          <w:sz w:val="26"/>
          <w:szCs w:val="26"/>
        </w:rPr>
        <w:t xml:space="preserve">the </w:t>
      </w:r>
      <w:r w:rsidR="00884064" w:rsidRPr="0057700D">
        <w:rPr>
          <w:rFonts w:ascii="Century Schoolbook" w:eastAsia="Calibri" w:hAnsi="Century Schoolbook" w:cs="Times New Roman"/>
          <w:sz w:val="26"/>
          <w:szCs w:val="26"/>
        </w:rPr>
        <w:t>e</w:t>
      </w:r>
      <w:r w:rsidR="003C35B7" w:rsidRPr="0057700D">
        <w:rPr>
          <w:rFonts w:ascii="Century Schoolbook" w:eastAsia="Calibri" w:hAnsi="Century Schoolbook" w:cs="Times New Roman"/>
          <w:sz w:val="26"/>
          <w:szCs w:val="26"/>
        </w:rPr>
        <w:t xml:space="preserve">qual </w:t>
      </w:r>
      <w:r w:rsidR="00884064" w:rsidRPr="0057700D">
        <w:rPr>
          <w:rFonts w:ascii="Century Schoolbook" w:eastAsia="Calibri" w:hAnsi="Century Schoolbook" w:cs="Times New Roman"/>
          <w:sz w:val="26"/>
          <w:szCs w:val="26"/>
        </w:rPr>
        <w:t>p</w:t>
      </w:r>
      <w:r w:rsidR="003C35B7" w:rsidRPr="0057700D">
        <w:rPr>
          <w:rFonts w:ascii="Century Schoolbook" w:eastAsia="Calibri" w:hAnsi="Century Schoolbook" w:cs="Times New Roman"/>
          <w:sz w:val="26"/>
          <w:szCs w:val="26"/>
        </w:rPr>
        <w:t xml:space="preserve">rotection issue. </w:t>
      </w:r>
      <w:r w:rsidR="002B6BB1" w:rsidRPr="0057700D">
        <w:rPr>
          <w:rFonts w:ascii="Century Schoolbook" w:eastAsia="Calibri" w:hAnsi="Century Schoolbook" w:cs="Times New Roman"/>
          <w:sz w:val="26"/>
          <w:szCs w:val="26"/>
        </w:rPr>
        <w:t xml:space="preserve"> </w:t>
      </w:r>
      <w:r w:rsidR="006921FC" w:rsidRPr="0057700D">
        <w:rPr>
          <w:rFonts w:ascii="Century Schoolbook" w:eastAsia="Calibri" w:hAnsi="Century Schoolbook" w:cs="Times New Roman"/>
          <w:sz w:val="26"/>
          <w:szCs w:val="26"/>
        </w:rPr>
        <w:t>The second Court of Appeals opinion</w:t>
      </w:r>
      <w:r w:rsidR="00112E1F" w:rsidRPr="0057700D">
        <w:rPr>
          <w:rFonts w:ascii="Century Schoolbook" w:eastAsia="Calibri" w:hAnsi="Century Schoolbook" w:cs="Times New Roman"/>
          <w:sz w:val="26"/>
          <w:szCs w:val="26"/>
        </w:rPr>
        <w:t xml:space="preserve"> did so.  It was</w:t>
      </w:r>
      <w:r w:rsidR="006921FC" w:rsidRPr="0057700D">
        <w:rPr>
          <w:rFonts w:ascii="Century Schoolbook" w:eastAsia="Calibri" w:hAnsi="Century Schoolbook" w:cs="Times New Roman"/>
          <w:sz w:val="26"/>
          <w:szCs w:val="26"/>
        </w:rPr>
        <w:t xml:space="preserve"> issued </w:t>
      </w:r>
      <w:r w:rsidR="00B96894" w:rsidRPr="0057700D">
        <w:rPr>
          <w:rFonts w:ascii="Century Schoolbook" w:eastAsia="Calibri" w:hAnsi="Century Schoolbook" w:cs="Times New Roman"/>
          <w:sz w:val="26"/>
          <w:szCs w:val="26"/>
        </w:rPr>
        <w:t>December 31, 2020</w:t>
      </w:r>
      <w:r w:rsidR="00CE3291" w:rsidRPr="0057700D">
        <w:rPr>
          <w:rFonts w:ascii="Century Schoolbook" w:eastAsia="Calibri" w:hAnsi="Century Schoolbook" w:cs="Times New Roman"/>
          <w:sz w:val="26"/>
          <w:szCs w:val="26"/>
        </w:rPr>
        <w:t>, and Mr. Johnson again sought review</w:t>
      </w:r>
      <w:r w:rsidR="00B96894" w:rsidRPr="0057700D">
        <w:rPr>
          <w:rFonts w:ascii="Century Schoolbook" w:eastAsia="Calibri" w:hAnsi="Century Schoolbook" w:cs="Times New Roman"/>
          <w:sz w:val="26"/>
          <w:szCs w:val="26"/>
        </w:rPr>
        <w:t xml:space="preserve">.  </w:t>
      </w:r>
    </w:p>
    <w:p w14:paraId="6B4C57CA" w14:textId="77777777" w:rsidR="00964B62" w:rsidRPr="0057700D" w:rsidRDefault="00964B62" w:rsidP="00964B62">
      <w:pPr>
        <w:spacing w:after="0" w:line="240" w:lineRule="auto"/>
        <w:ind w:firstLine="720"/>
        <w:rPr>
          <w:rFonts w:ascii="Century Schoolbook" w:eastAsia="Times New Roman" w:hAnsi="Century Schoolbook" w:cs="Times New Roman"/>
          <w:sz w:val="26"/>
          <w:szCs w:val="26"/>
        </w:rPr>
      </w:pPr>
    </w:p>
    <w:p w14:paraId="18BD02E1" w14:textId="064EDB8D" w:rsidR="00BF005F" w:rsidRPr="0057700D" w:rsidRDefault="00BF005F" w:rsidP="00964B62">
      <w:pPr>
        <w:spacing w:after="0" w:line="240" w:lineRule="auto"/>
        <w:ind w:firstLine="720"/>
        <w:rPr>
          <w:rFonts w:ascii="Century Schoolbook" w:eastAsia="Times New Roman" w:hAnsi="Century Schoolbook" w:cs="Times New Roman"/>
          <w:b/>
          <w:sz w:val="26"/>
          <w:szCs w:val="26"/>
          <w:u w:val="single"/>
        </w:rPr>
      </w:pPr>
      <w:r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b/>
          <w:sz w:val="26"/>
          <w:szCs w:val="26"/>
          <w:u w:val="single"/>
        </w:rPr>
        <w:t>STATEMENT OF GROUNDS FOR APPELLATE REVIEW</w:t>
      </w:r>
    </w:p>
    <w:p w14:paraId="1A49558A" w14:textId="77777777" w:rsidR="00964B62" w:rsidRPr="0057700D" w:rsidRDefault="00964B62" w:rsidP="00964B62">
      <w:pPr>
        <w:spacing w:after="0" w:line="240" w:lineRule="auto"/>
        <w:ind w:firstLine="720"/>
        <w:rPr>
          <w:rFonts w:ascii="Century Schoolbook" w:eastAsia="Times New Roman" w:hAnsi="Century Schoolbook" w:cs="Times New Roman"/>
          <w:b/>
          <w:sz w:val="26"/>
          <w:szCs w:val="26"/>
          <w:u w:val="single"/>
        </w:rPr>
      </w:pPr>
    </w:p>
    <w:p w14:paraId="767226E6" w14:textId="430EFE42" w:rsidR="00EA6869" w:rsidRPr="0057700D" w:rsidRDefault="00EA6869" w:rsidP="00BF005F">
      <w:pPr>
        <w:spacing w:after="0" w:line="480" w:lineRule="auto"/>
        <w:ind w:firstLine="720"/>
        <w:rPr>
          <w:rFonts w:ascii="Century Schoolbook" w:eastAsia="Times New Roman" w:hAnsi="Century Schoolbook" w:cs="Times New Roman"/>
          <w:sz w:val="26"/>
          <w:szCs w:val="26"/>
        </w:rPr>
      </w:pPr>
      <w:r w:rsidRPr="0057700D">
        <w:rPr>
          <w:rFonts w:ascii="Century Schoolbook" w:hAnsi="Century Schoolbook"/>
          <w:sz w:val="26"/>
          <w:szCs w:val="26"/>
        </w:rPr>
        <w:t xml:space="preserve">Review of the Court of Appeals’ </w:t>
      </w:r>
      <w:r w:rsidR="005F1ABA" w:rsidRPr="0057700D">
        <w:rPr>
          <w:rFonts w:ascii="Century Schoolbook" w:hAnsi="Century Schoolbook"/>
          <w:sz w:val="26"/>
          <w:szCs w:val="26"/>
        </w:rPr>
        <w:t xml:space="preserve">second </w:t>
      </w:r>
      <w:r w:rsidRPr="0057700D">
        <w:rPr>
          <w:rFonts w:ascii="Century Schoolbook" w:hAnsi="Century Schoolbook"/>
          <w:sz w:val="26"/>
          <w:szCs w:val="26"/>
        </w:rPr>
        <w:t xml:space="preserve">decision is based on this Court’s Order dated </w:t>
      </w:r>
      <w:r w:rsidR="00A278E0" w:rsidRPr="0057700D">
        <w:rPr>
          <w:rFonts w:ascii="Century Schoolbook" w:hAnsi="Century Schoolbook"/>
          <w:sz w:val="26"/>
          <w:szCs w:val="26"/>
        </w:rPr>
        <w:t>November 1, 2021</w:t>
      </w:r>
      <w:r w:rsidRPr="0057700D">
        <w:rPr>
          <w:rFonts w:ascii="Century Schoolbook" w:hAnsi="Century Schoolbook"/>
          <w:sz w:val="26"/>
          <w:szCs w:val="26"/>
        </w:rPr>
        <w:t xml:space="preserve">, allowing Mr. </w:t>
      </w:r>
      <w:r w:rsidR="00A278E0" w:rsidRPr="0057700D">
        <w:rPr>
          <w:rFonts w:ascii="Century Schoolbook" w:hAnsi="Century Schoolbook"/>
          <w:sz w:val="26"/>
          <w:szCs w:val="26"/>
        </w:rPr>
        <w:t>Johnson’s</w:t>
      </w:r>
      <w:r w:rsidRPr="0057700D">
        <w:rPr>
          <w:rFonts w:ascii="Century Schoolbook" w:hAnsi="Century Schoolbook"/>
          <w:sz w:val="26"/>
          <w:szCs w:val="26"/>
        </w:rPr>
        <w:t xml:space="preserve"> petition for discretionary review.  </w:t>
      </w:r>
      <w:r w:rsidR="00825D98" w:rsidRPr="0057700D">
        <w:rPr>
          <w:rFonts w:ascii="Century Schoolbook" w:hAnsi="Century Schoolbook"/>
          <w:sz w:val="26"/>
          <w:szCs w:val="26"/>
        </w:rPr>
        <w:fldChar w:fldCharType="begin"/>
      </w:r>
      <w:r w:rsidR="00825D98" w:rsidRPr="0057700D">
        <w:instrText xml:space="preserve"> TA \l "</w:instrText>
      </w:r>
      <w:r w:rsidR="00825D98" w:rsidRPr="0057700D">
        <w:rPr>
          <w:rFonts w:ascii="Century Schoolbook" w:hAnsi="Century Schoolbook"/>
          <w:sz w:val="26"/>
          <w:szCs w:val="26"/>
        </w:rPr>
        <w:instrText>N.C.G.S. § 7A-31</w:instrText>
      </w:r>
      <w:r w:rsidR="00825D98" w:rsidRPr="0057700D">
        <w:instrText xml:space="preserve">" \s "N.C.G.S. § 7A-31" \c 2 </w:instrText>
      </w:r>
      <w:r w:rsidR="00825D98" w:rsidRPr="0057700D">
        <w:rPr>
          <w:rFonts w:ascii="Century Schoolbook" w:hAnsi="Century Schoolbook"/>
          <w:sz w:val="26"/>
          <w:szCs w:val="26"/>
        </w:rPr>
        <w:fldChar w:fldCharType="end"/>
      </w:r>
      <w:r w:rsidRPr="0057700D">
        <w:rPr>
          <w:rFonts w:ascii="Century Schoolbook" w:hAnsi="Century Schoolbook"/>
          <w:sz w:val="26"/>
          <w:szCs w:val="26"/>
        </w:rPr>
        <w:t>N.C.G.S. § 7A-31</w:t>
      </w:r>
      <w:r w:rsidR="00825D98" w:rsidRPr="0057700D">
        <w:rPr>
          <w:rFonts w:ascii="Century Schoolbook" w:hAnsi="Century Schoolbook"/>
          <w:sz w:val="26"/>
          <w:szCs w:val="26"/>
        </w:rPr>
        <w:fldChar w:fldCharType="begin"/>
      </w:r>
      <w:r w:rsidR="00825D98" w:rsidRPr="0057700D">
        <w:instrText xml:space="preserve"> TA \s "N.C.G.S. § 7A-31" </w:instrText>
      </w:r>
      <w:r w:rsidR="00825D98" w:rsidRPr="0057700D">
        <w:rPr>
          <w:rFonts w:ascii="Century Schoolbook" w:hAnsi="Century Schoolbook"/>
          <w:sz w:val="26"/>
          <w:szCs w:val="26"/>
        </w:rPr>
        <w:fldChar w:fldCharType="end"/>
      </w:r>
      <w:r w:rsidRPr="0057700D">
        <w:rPr>
          <w:rFonts w:ascii="Century Schoolbook" w:hAnsi="Century Schoolbook"/>
          <w:sz w:val="26"/>
          <w:szCs w:val="26"/>
        </w:rPr>
        <w:t>.</w:t>
      </w:r>
    </w:p>
    <w:p w14:paraId="2ADD2DC1" w14:textId="77777777" w:rsidR="008F5D7B" w:rsidRPr="0057700D" w:rsidRDefault="008F5D7B" w:rsidP="00BF005F">
      <w:pPr>
        <w:spacing w:after="0" w:line="240" w:lineRule="auto"/>
        <w:jc w:val="center"/>
        <w:rPr>
          <w:rFonts w:ascii="Century Schoolbook" w:eastAsia="Times New Roman" w:hAnsi="Century Schoolbook" w:cs="Times New Roman"/>
          <w:b/>
          <w:sz w:val="26"/>
          <w:szCs w:val="26"/>
          <w:u w:val="single"/>
        </w:rPr>
      </w:pPr>
    </w:p>
    <w:p w14:paraId="2B4533D7" w14:textId="0FCF9D96" w:rsidR="00BF005F" w:rsidRPr="0057700D" w:rsidRDefault="00BF005F" w:rsidP="00BF005F">
      <w:pPr>
        <w:spacing w:after="0" w:line="240" w:lineRule="auto"/>
        <w:jc w:val="center"/>
        <w:rPr>
          <w:rFonts w:ascii="Century Schoolbook" w:eastAsia="Times New Roman" w:hAnsi="Century Schoolbook" w:cs="Times New Roman"/>
          <w:b/>
          <w:sz w:val="26"/>
          <w:szCs w:val="26"/>
          <w:u w:val="single"/>
        </w:rPr>
      </w:pPr>
      <w:r w:rsidRPr="0057700D">
        <w:rPr>
          <w:rFonts w:ascii="Century Schoolbook" w:eastAsia="Times New Roman" w:hAnsi="Century Schoolbook" w:cs="Times New Roman"/>
          <w:b/>
          <w:sz w:val="26"/>
          <w:szCs w:val="26"/>
          <w:u w:val="single"/>
        </w:rPr>
        <w:t>STATEMENT OF FACTS</w:t>
      </w:r>
    </w:p>
    <w:p w14:paraId="18E28E15" w14:textId="77777777" w:rsidR="00BF005F" w:rsidRPr="0057700D" w:rsidRDefault="00BF005F" w:rsidP="00BF005F">
      <w:pPr>
        <w:spacing w:after="0" w:line="240" w:lineRule="auto"/>
        <w:jc w:val="center"/>
        <w:rPr>
          <w:rFonts w:ascii="Century Schoolbook" w:eastAsia="Times New Roman" w:hAnsi="Century Schoolbook" w:cs="Times New Roman"/>
          <w:sz w:val="26"/>
          <w:szCs w:val="26"/>
        </w:rPr>
      </w:pPr>
    </w:p>
    <w:p w14:paraId="483B434C" w14:textId="4CC686FB" w:rsidR="000C6BAC" w:rsidRPr="0057700D" w:rsidRDefault="007B0F13" w:rsidP="000C6BAC">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bCs/>
          <w:iCs/>
          <w:sz w:val="26"/>
          <w:szCs w:val="26"/>
        </w:rPr>
        <w:t xml:space="preserve">Officer Kuchen of the Raleigh Police Department </w:t>
      </w:r>
      <w:r w:rsidR="00C82326" w:rsidRPr="0057700D">
        <w:rPr>
          <w:rFonts w:ascii="Century Schoolbook" w:eastAsia="Calibri" w:hAnsi="Century Schoolbook" w:cs="Times New Roman"/>
          <w:bCs/>
          <w:iCs/>
          <w:sz w:val="26"/>
          <w:szCs w:val="26"/>
        </w:rPr>
        <w:t xml:space="preserve">arrested Jeremy Johnson </w:t>
      </w:r>
      <w:r w:rsidRPr="0057700D">
        <w:rPr>
          <w:rFonts w:ascii="Century Schoolbook" w:eastAsia="Calibri" w:hAnsi="Century Schoolbook" w:cs="Times New Roman"/>
          <w:bCs/>
          <w:iCs/>
          <w:sz w:val="26"/>
          <w:szCs w:val="26"/>
        </w:rPr>
        <w:t xml:space="preserve">on November 22, 2017 at around 12:30 a.m.  </w:t>
      </w:r>
      <w:r w:rsidR="00020ECD" w:rsidRPr="0057700D">
        <w:rPr>
          <w:rFonts w:ascii="Century Schoolbook" w:eastAsia="Calibri" w:hAnsi="Century Schoolbook" w:cs="Times New Roman"/>
          <w:bCs/>
          <w:iCs/>
          <w:sz w:val="26"/>
          <w:szCs w:val="26"/>
        </w:rPr>
        <w:t>(</w:t>
      </w:r>
      <w:proofErr w:type="spellStart"/>
      <w:r w:rsidR="00020ECD" w:rsidRPr="0057700D">
        <w:rPr>
          <w:rFonts w:ascii="Century Schoolbook" w:eastAsia="Calibri" w:hAnsi="Century Schoolbook" w:cs="Times New Roman"/>
          <w:bCs/>
          <w:iCs/>
          <w:sz w:val="26"/>
          <w:szCs w:val="26"/>
        </w:rPr>
        <w:t>Tpp</w:t>
      </w:r>
      <w:proofErr w:type="spellEnd"/>
      <w:r w:rsidR="00020ECD" w:rsidRPr="0057700D">
        <w:rPr>
          <w:rFonts w:ascii="Century Schoolbook" w:eastAsia="Calibri" w:hAnsi="Century Schoolbook" w:cs="Times New Roman"/>
          <w:bCs/>
          <w:iCs/>
          <w:sz w:val="26"/>
          <w:szCs w:val="26"/>
        </w:rPr>
        <w:t xml:space="preserve"> 26, </w:t>
      </w:r>
      <w:r w:rsidR="00D60D0B" w:rsidRPr="0057700D">
        <w:rPr>
          <w:rFonts w:ascii="Century Schoolbook" w:eastAsia="Calibri" w:hAnsi="Century Schoolbook" w:cs="Times New Roman"/>
          <w:bCs/>
          <w:iCs/>
          <w:sz w:val="26"/>
          <w:szCs w:val="26"/>
        </w:rPr>
        <w:t>30-32)</w:t>
      </w:r>
      <w:r w:rsidR="00E0102D" w:rsidRPr="0057700D">
        <w:rPr>
          <w:rStyle w:val="FootnoteReference"/>
          <w:rFonts w:ascii="Century Schoolbook" w:eastAsia="Calibri" w:hAnsi="Century Schoolbook" w:cs="Times New Roman"/>
          <w:bCs/>
          <w:iCs/>
          <w:sz w:val="26"/>
          <w:szCs w:val="26"/>
        </w:rPr>
        <w:footnoteReference w:id="2"/>
      </w:r>
      <w:r w:rsidR="00D60D0B" w:rsidRPr="0057700D">
        <w:rPr>
          <w:rFonts w:ascii="Century Schoolbook" w:eastAsia="Calibri" w:hAnsi="Century Schoolbook" w:cs="Times New Roman"/>
          <w:bCs/>
          <w:iCs/>
          <w:sz w:val="26"/>
          <w:szCs w:val="26"/>
        </w:rPr>
        <w:t xml:space="preserve"> </w:t>
      </w:r>
      <w:r w:rsidR="00414991" w:rsidRPr="0057700D">
        <w:rPr>
          <w:rFonts w:ascii="Century Schoolbook" w:eastAsia="Calibri" w:hAnsi="Century Schoolbook" w:cs="Times New Roman"/>
          <w:bCs/>
          <w:iCs/>
          <w:sz w:val="26"/>
          <w:szCs w:val="26"/>
        </w:rPr>
        <w:t xml:space="preserve"> </w:t>
      </w:r>
      <w:r w:rsidR="0033793E" w:rsidRPr="0057700D">
        <w:rPr>
          <w:rFonts w:ascii="Century Schoolbook" w:eastAsia="Calibri" w:hAnsi="Century Schoolbook" w:cs="Times New Roman"/>
          <w:bCs/>
          <w:iCs/>
          <w:sz w:val="26"/>
          <w:szCs w:val="26"/>
        </w:rPr>
        <w:t>Officer Kuchen testified at the suppression hearing that, as he was driving through the Raleigh North Apartment complex</w:t>
      </w:r>
      <w:r w:rsidR="005050F4" w:rsidRPr="0057700D">
        <w:rPr>
          <w:rFonts w:ascii="Century Schoolbook" w:eastAsia="Calibri" w:hAnsi="Century Schoolbook" w:cs="Times New Roman"/>
          <w:bCs/>
          <w:iCs/>
          <w:sz w:val="26"/>
          <w:szCs w:val="26"/>
        </w:rPr>
        <w:t xml:space="preserve"> on patrol</w:t>
      </w:r>
      <w:r w:rsidR="00DA6B79" w:rsidRPr="0057700D">
        <w:rPr>
          <w:rFonts w:ascii="Century Schoolbook" w:eastAsia="Calibri" w:hAnsi="Century Schoolbook" w:cs="Times New Roman"/>
          <w:bCs/>
          <w:iCs/>
          <w:sz w:val="26"/>
          <w:szCs w:val="26"/>
        </w:rPr>
        <w:t>,</w:t>
      </w:r>
      <w:r w:rsidR="005050F4" w:rsidRPr="0057700D">
        <w:rPr>
          <w:rFonts w:ascii="Century Schoolbook" w:eastAsia="Calibri" w:hAnsi="Century Schoolbook" w:cs="Times New Roman"/>
          <w:bCs/>
          <w:iCs/>
          <w:sz w:val="26"/>
          <w:szCs w:val="26"/>
        </w:rPr>
        <w:t xml:space="preserve"> he saw M</w:t>
      </w:r>
      <w:r w:rsidR="0033793E" w:rsidRPr="0057700D">
        <w:rPr>
          <w:rFonts w:ascii="Century Schoolbook" w:eastAsia="Calibri" w:hAnsi="Century Schoolbook" w:cs="Times New Roman"/>
          <w:bCs/>
          <w:iCs/>
          <w:sz w:val="26"/>
          <w:szCs w:val="26"/>
        </w:rPr>
        <w:t xml:space="preserve">r. Johnson, who is Black, sitting inside a Mustang in a marked parking spot.  Kuchen was in his patrol car, about 12-15 feet from Mr. Johnson’s car.  The light pole nearest </w:t>
      </w:r>
      <w:r w:rsidR="0033793E" w:rsidRPr="0057700D">
        <w:rPr>
          <w:rFonts w:ascii="Century Schoolbook" w:eastAsia="Calibri" w:hAnsi="Century Schoolbook" w:cs="Times New Roman"/>
          <w:bCs/>
          <w:iCs/>
          <w:sz w:val="26"/>
          <w:szCs w:val="26"/>
        </w:rPr>
        <w:lastRenderedPageBreak/>
        <w:t xml:space="preserve">Mr. Johnson’s car was burned out.  The interior light on Mr. Johnson’s car was not on.  Mr. Johnson’s car was backed into </w:t>
      </w:r>
      <w:r w:rsidR="00D06C87" w:rsidRPr="0057700D">
        <w:rPr>
          <w:rFonts w:ascii="Century Schoolbook" w:eastAsia="Calibri" w:hAnsi="Century Schoolbook" w:cs="Times New Roman"/>
          <w:bCs/>
          <w:iCs/>
          <w:sz w:val="26"/>
          <w:szCs w:val="26"/>
        </w:rPr>
        <w:t>the</w:t>
      </w:r>
      <w:r w:rsidR="0033793E" w:rsidRPr="0057700D">
        <w:rPr>
          <w:rFonts w:ascii="Century Schoolbook" w:eastAsia="Calibri" w:hAnsi="Century Schoolbook" w:cs="Times New Roman"/>
          <w:bCs/>
          <w:iCs/>
          <w:sz w:val="26"/>
          <w:szCs w:val="26"/>
        </w:rPr>
        <w:t xml:space="preserve"> parking spot.  Kuchen estimated he was driving 4-5 miles per hour as he passed Mr. Johnson’s car.  Kuchen testified he </w:t>
      </w:r>
      <w:r w:rsidR="0031389C" w:rsidRPr="0057700D">
        <w:rPr>
          <w:rFonts w:ascii="Century Schoolbook" w:eastAsia="Calibri" w:hAnsi="Century Schoolbook" w:cs="Times New Roman"/>
          <w:bCs/>
          <w:iCs/>
          <w:sz w:val="26"/>
          <w:szCs w:val="26"/>
        </w:rPr>
        <w:t>“observed the subject [</w:t>
      </w:r>
      <w:r w:rsidR="0033793E" w:rsidRPr="0057700D">
        <w:rPr>
          <w:rFonts w:ascii="Century Schoolbook" w:eastAsia="Calibri" w:hAnsi="Century Schoolbook" w:cs="Times New Roman"/>
          <w:bCs/>
          <w:iCs/>
          <w:sz w:val="26"/>
          <w:szCs w:val="26"/>
        </w:rPr>
        <w:t>Mr. Johnson</w:t>
      </w:r>
      <w:r w:rsidR="0031389C" w:rsidRPr="0057700D">
        <w:rPr>
          <w:rFonts w:ascii="Century Schoolbook" w:eastAsia="Calibri" w:hAnsi="Century Schoolbook" w:cs="Times New Roman"/>
          <w:bCs/>
          <w:iCs/>
          <w:sz w:val="26"/>
          <w:szCs w:val="26"/>
        </w:rPr>
        <w:t>]</w:t>
      </w:r>
      <w:r w:rsidR="0033793E" w:rsidRPr="0057700D">
        <w:rPr>
          <w:rFonts w:ascii="Century Schoolbook" w:eastAsia="Calibri" w:hAnsi="Century Schoolbook" w:cs="Times New Roman"/>
          <w:bCs/>
          <w:iCs/>
          <w:sz w:val="26"/>
          <w:szCs w:val="26"/>
        </w:rPr>
        <w:t xml:space="preserve"> slide </w:t>
      </w:r>
      <w:r w:rsidR="007C1F13" w:rsidRPr="0057700D">
        <w:rPr>
          <w:rFonts w:ascii="Century Schoolbook" w:eastAsia="Calibri" w:hAnsi="Century Schoolbook" w:cs="Times New Roman"/>
          <w:bCs/>
          <w:iCs/>
          <w:sz w:val="26"/>
          <w:szCs w:val="26"/>
        </w:rPr>
        <w:t xml:space="preserve">… </w:t>
      </w:r>
      <w:r w:rsidR="0033793E" w:rsidRPr="0057700D">
        <w:rPr>
          <w:rFonts w:ascii="Century Schoolbook" w:eastAsia="Calibri" w:hAnsi="Century Schoolbook" w:cs="Times New Roman"/>
          <w:bCs/>
          <w:iCs/>
          <w:sz w:val="26"/>
          <w:szCs w:val="26"/>
        </w:rPr>
        <w:t>under the steering wheel</w:t>
      </w:r>
      <w:r w:rsidR="007C1F13" w:rsidRPr="0057700D">
        <w:rPr>
          <w:rFonts w:ascii="Century Schoolbook" w:eastAsia="Calibri" w:hAnsi="Century Schoolbook" w:cs="Times New Roman"/>
          <w:bCs/>
          <w:iCs/>
          <w:sz w:val="26"/>
          <w:szCs w:val="26"/>
        </w:rPr>
        <w:t xml:space="preserve"> as much as they could to obscure my view of their person inside of that vehicle.”  </w:t>
      </w:r>
      <w:r w:rsidR="0033793E" w:rsidRPr="0057700D">
        <w:rPr>
          <w:rFonts w:ascii="Century Schoolbook" w:eastAsia="Calibri" w:hAnsi="Century Schoolbook" w:cs="Times New Roman"/>
          <w:bCs/>
          <w:iCs/>
          <w:sz w:val="26"/>
          <w:szCs w:val="26"/>
        </w:rPr>
        <w:t>There was an unlit ‘no trespassing’ sign approximately five feet away from Mr. Johnson’s car.  Kuchen decided to approach Mr. Johnson “to address the potential of trespassing, being under a no trespassing sign, and the behavior of attempting to obscure himself from me as I drove by.”  (</w:t>
      </w:r>
      <w:proofErr w:type="spellStart"/>
      <w:r w:rsidR="0033793E" w:rsidRPr="0057700D">
        <w:rPr>
          <w:rFonts w:ascii="Century Schoolbook" w:eastAsia="Calibri" w:hAnsi="Century Schoolbook" w:cs="Times New Roman"/>
          <w:bCs/>
          <w:iCs/>
          <w:sz w:val="26"/>
          <w:szCs w:val="26"/>
        </w:rPr>
        <w:t>Tpp</w:t>
      </w:r>
      <w:proofErr w:type="spellEnd"/>
      <w:r w:rsidR="0033793E" w:rsidRPr="0057700D">
        <w:rPr>
          <w:rFonts w:ascii="Century Schoolbook" w:eastAsia="Calibri" w:hAnsi="Century Schoolbook" w:cs="Times New Roman"/>
          <w:bCs/>
          <w:iCs/>
          <w:sz w:val="26"/>
          <w:szCs w:val="26"/>
        </w:rPr>
        <w:t xml:space="preserve"> 26-29, 54-55)</w:t>
      </w:r>
      <w:r w:rsidR="000C6BAC" w:rsidRPr="0057700D">
        <w:rPr>
          <w:rFonts w:ascii="Century Schoolbook" w:eastAsia="Calibri" w:hAnsi="Century Schoolbook" w:cs="Times New Roman"/>
          <w:sz w:val="26"/>
          <w:szCs w:val="26"/>
        </w:rPr>
        <w:t xml:space="preserve"> </w:t>
      </w:r>
    </w:p>
    <w:p w14:paraId="7C1B5220" w14:textId="1F14D917" w:rsidR="0033793E" w:rsidRPr="0057700D" w:rsidRDefault="0033793E" w:rsidP="0033793E">
      <w:pPr>
        <w:spacing w:after="0" w:line="480" w:lineRule="auto"/>
        <w:ind w:firstLine="720"/>
        <w:rPr>
          <w:rFonts w:ascii="Century Schoolbook" w:eastAsia="Calibri" w:hAnsi="Century Schoolbook" w:cs="Times New Roman"/>
          <w:bCs/>
          <w:iCs/>
          <w:sz w:val="26"/>
          <w:szCs w:val="26"/>
        </w:rPr>
      </w:pPr>
      <w:r w:rsidRPr="0057700D">
        <w:rPr>
          <w:rFonts w:ascii="Century Schoolbook" w:eastAsia="Calibri" w:hAnsi="Century Schoolbook" w:cs="Times New Roman"/>
          <w:bCs/>
          <w:iCs/>
          <w:sz w:val="26"/>
          <w:szCs w:val="26"/>
        </w:rPr>
        <w:t xml:space="preserve">Kuchen stopped his car </w:t>
      </w:r>
      <w:r w:rsidR="006F79CC" w:rsidRPr="0057700D">
        <w:rPr>
          <w:rFonts w:ascii="Century Schoolbook" w:eastAsia="Calibri" w:hAnsi="Century Schoolbook" w:cs="Times New Roman"/>
          <w:bCs/>
          <w:iCs/>
          <w:sz w:val="26"/>
          <w:szCs w:val="26"/>
        </w:rPr>
        <w:t xml:space="preserve">in the road </w:t>
      </w:r>
      <w:r w:rsidRPr="0057700D">
        <w:rPr>
          <w:rFonts w:ascii="Century Schoolbook" w:eastAsia="Calibri" w:hAnsi="Century Schoolbook" w:cs="Times New Roman"/>
          <w:bCs/>
          <w:iCs/>
          <w:sz w:val="26"/>
          <w:szCs w:val="26"/>
        </w:rPr>
        <w:t xml:space="preserve">and </w:t>
      </w:r>
      <w:r w:rsidR="00136D11" w:rsidRPr="0057700D">
        <w:rPr>
          <w:rFonts w:ascii="Century Schoolbook" w:eastAsia="Calibri" w:hAnsi="Century Schoolbook" w:cs="Times New Roman"/>
          <w:bCs/>
          <w:iCs/>
          <w:sz w:val="26"/>
          <w:szCs w:val="26"/>
        </w:rPr>
        <w:t xml:space="preserve">immediately </w:t>
      </w:r>
      <w:r w:rsidRPr="0057700D">
        <w:rPr>
          <w:rFonts w:ascii="Century Schoolbook" w:eastAsia="Calibri" w:hAnsi="Century Schoolbook" w:cs="Times New Roman"/>
          <w:bCs/>
          <w:iCs/>
          <w:sz w:val="26"/>
          <w:szCs w:val="26"/>
        </w:rPr>
        <w:t>walked toward Mr. Johnson’s car, shining a flashlight</w:t>
      </w:r>
      <w:r w:rsidR="0024700A" w:rsidRPr="0057700D">
        <w:rPr>
          <w:rFonts w:ascii="Century Schoolbook" w:eastAsia="Calibri" w:hAnsi="Century Schoolbook" w:cs="Times New Roman"/>
          <w:bCs/>
          <w:iCs/>
          <w:sz w:val="26"/>
          <w:szCs w:val="26"/>
        </w:rPr>
        <w:t xml:space="preserve"> as</w:t>
      </w:r>
      <w:r w:rsidRPr="0057700D">
        <w:rPr>
          <w:rFonts w:ascii="Century Schoolbook" w:eastAsia="Calibri" w:hAnsi="Century Schoolbook" w:cs="Times New Roman"/>
          <w:bCs/>
          <w:iCs/>
          <w:sz w:val="26"/>
          <w:szCs w:val="26"/>
        </w:rPr>
        <w:t xml:space="preserve"> Mr. Johnson started to get out</w:t>
      </w:r>
      <w:r w:rsidR="00C77FC7" w:rsidRPr="0057700D">
        <w:rPr>
          <w:rFonts w:ascii="Century Schoolbook" w:eastAsia="Calibri" w:hAnsi="Century Schoolbook" w:cs="Times New Roman"/>
          <w:bCs/>
          <w:iCs/>
          <w:sz w:val="26"/>
          <w:szCs w:val="26"/>
        </w:rPr>
        <w:t xml:space="preserve"> of his car</w:t>
      </w:r>
      <w:r w:rsidRPr="0057700D">
        <w:rPr>
          <w:rFonts w:ascii="Century Schoolbook" w:eastAsia="Calibri" w:hAnsi="Century Schoolbook" w:cs="Times New Roman"/>
          <w:bCs/>
          <w:iCs/>
          <w:sz w:val="26"/>
          <w:szCs w:val="26"/>
        </w:rPr>
        <w:t>.  Kuchen testified that, from five to six feet away</w:t>
      </w:r>
      <w:r w:rsidR="00421F70" w:rsidRPr="0057700D">
        <w:rPr>
          <w:rFonts w:ascii="Century Schoolbook" w:eastAsia="Calibri" w:hAnsi="Century Schoolbook" w:cs="Times New Roman"/>
          <w:bCs/>
          <w:iCs/>
          <w:sz w:val="26"/>
          <w:szCs w:val="26"/>
        </w:rPr>
        <w:t>,</w:t>
      </w:r>
      <w:r w:rsidRPr="0057700D">
        <w:rPr>
          <w:rFonts w:ascii="Century Schoolbook" w:eastAsia="Calibri" w:hAnsi="Century Schoolbook" w:cs="Times New Roman"/>
          <w:bCs/>
          <w:iCs/>
          <w:sz w:val="26"/>
          <w:szCs w:val="26"/>
        </w:rPr>
        <w:t xml:space="preserve"> he smelled raw marijuana.  Kuchen ordered Mr. Johnson to get back in the car.  Mr. Johnson instead got out of the car, and as he did, he reached into the pocket of the driver’s side door.  According to Kuchen, Mr. Johnson then “moved to the rear of his vehicle in a hurried fashion” – “less than a jog” but “faster than a walk.”  Kuchen commanded Mr. Johnson to stop and approached to handcuff him.  Mr. Johnson pulled away and ran 10 to 15 feet before Kuchen and another officer, who had arrived during the encounter, brought him to the </w:t>
      </w:r>
      <w:r w:rsidRPr="0057700D">
        <w:rPr>
          <w:rFonts w:ascii="Century Schoolbook" w:eastAsia="Calibri" w:hAnsi="Century Schoolbook" w:cs="Times New Roman"/>
          <w:bCs/>
          <w:iCs/>
          <w:sz w:val="26"/>
          <w:szCs w:val="26"/>
        </w:rPr>
        <w:lastRenderedPageBreak/>
        <w:t>ground.  (</w:t>
      </w:r>
      <w:proofErr w:type="spellStart"/>
      <w:r w:rsidRPr="0057700D">
        <w:rPr>
          <w:rFonts w:ascii="Century Schoolbook" w:eastAsia="Calibri" w:hAnsi="Century Schoolbook" w:cs="Times New Roman"/>
          <w:bCs/>
          <w:iCs/>
          <w:sz w:val="26"/>
          <w:szCs w:val="26"/>
        </w:rPr>
        <w:t>Tpp</w:t>
      </w:r>
      <w:proofErr w:type="spellEnd"/>
      <w:r w:rsidRPr="0057700D">
        <w:rPr>
          <w:rFonts w:ascii="Century Schoolbook" w:eastAsia="Calibri" w:hAnsi="Century Schoolbook" w:cs="Times New Roman"/>
          <w:bCs/>
          <w:iCs/>
          <w:sz w:val="26"/>
          <w:szCs w:val="26"/>
        </w:rPr>
        <w:t xml:space="preserve"> 29-33</w:t>
      </w:r>
      <w:r w:rsidR="00A6255C" w:rsidRPr="0057700D">
        <w:rPr>
          <w:rFonts w:ascii="Century Schoolbook" w:eastAsia="Calibri" w:hAnsi="Century Schoolbook" w:cs="Times New Roman"/>
          <w:bCs/>
          <w:iCs/>
          <w:sz w:val="26"/>
          <w:szCs w:val="26"/>
        </w:rPr>
        <w:t xml:space="preserve">, </w:t>
      </w:r>
      <w:r w:rsidR="00246C89" w:rsidRPr="0057700D">
        <w:rPr>
          <w:rFonts w:ascii="Century Schoolbook" w:eastAsia="Calibri" w:hAnsi="Century Schoolbook" w:cs="Times New Roman"/>
          <w:bCs/>
          <w:iCs/>
          <w:sz w:val="26"/>
          <w:szCs w:val="26"/>
        </w:rPr>
        <w:t xml:space="preserve">46-47, </w:t>
      </w:r>
      <w:r w:rsidR="00A6255C" w:rsidRPr="0057700D">
        <w:rPr>
          <w:rFonts w:ascii="Century Schoolbook" w:eastAsia="Calibri" w:hAnsi="Century Schoolbook" w:cs="Times New Roman"/>
          <w:bCs/>
          <w:iCs/>
          <w:sz w:val="26"/>
          <w:szCs w:val="26"/>
        </w:rPr>
        <w:t>51</w:t>
      </w:r>
      <w:r w:rsidRPr="0057700D">
        <w:rPr>
          <w:rFonts w:ascii="Century Schoolbook" w:eastAsia="Calibri" w:hAnsi="Century Schoolbook" w:cs="Times New Roman"/>
          <w:bCs/>
          <w:iCs/>
          <w:sz w:val="26"/>
          <w:szCs w:val="26"/>
        </w:rPr>
        <w:t>)  In a search incident to arrest, officers found a small amount of cocaine in a baggy inside Mr. Johnson’s pants pocket and a small amount of marijuana.</w:t>
      </w:r>
      <w:r w:rsidRPr="0057700D">
        <w:rPr>
          <w:rFonts w:ascii="Century Schoolbook" w:eastAsia="Calibri" w:hAnsi="Century Schoolbook" w:cs="Times New Roman"/>
          <w:bCs/>
          <w:iCs/>
          <w:sz w:val="26"/>
          <w:szCs w:val="26"/>
          <w:vertAlign w:val="superscript"/>
        </w:rPr>
        <w:footnoteReference w:id="3"/>
      </w:r>
      <w:r w:rsidRPr="0057700D">
        <w:rPr>
          <w:rFonts w:ascii="Century Schoolbook" w:eastAsia="Calibri" w:hAnsi="Century Schoolbook" w:cs="Times New Roman"/>
          <w:bCs/>
          <w:iCs/>
          <w:sz w:val="26"/>
          <w:szCs w:val="26"/>
        </w:rPr>
        <w:t xml:space="preserve">  (Plea </w:t>
      </w:r>
      <w:proofErr w:type="spellStart"/>
      <w:r w:rsidRPr="0057700D">
        <w:rPr>
          <w:rFonts w:ascii="Century Schoolbook" w:eastAsia="Calibri" w:hAnsi="Century Schoolbook" w:cs="Times New Roman"/>
          <w:bCs/>
          <w:iCs/>
          <w:sz w:val="26"/>
          <w:szCs w:val="26"/>
        </w:rPr>
        <w:t>Tpp</w:t>
      </w:r>
      <w:proofErr w:type="spellEnd"/>
      <w:r w:rsidRPr="0057700D">
        <w:rPr>
          <w:rFonts w:ascii="Century Schoolbook" w:eastAsia="Calibri" w:hAnsi="Century Schoolbook" w:cs="Times New Roman"/>
          <w:bCs/>
          <w:iCs/>
          <w:sz w:val="26"/>
          <w:szCs w:val="26"/>
        </w:rPr>
        <w:t xml:space="preserve"> 9-10)  </w:t>
      </w:r>
    </w:p>
    <w:p w14:paraId="27FBA6B4" w14:textId="50944115" w:rsidR="0002397C" w:rsidRPr="0057700D" w:rsidRDefault="00D55986" w:rsidP="007B0F13">
      <w:pPr>
        <w:spacing w:after="0" w:line="480" w:lineRule="auto"/>
        <w:ind w:firstLine="720"/>
        <w:rPr>
          <w:rFonts w:ascii="Century Schoolbook" w:eastAsia="Calibri" w:hAnsi="Century Schoolbook" w:cs="Times New Roman"/>
          <w:bCs/>
          <w:iCs/>
          <w:sz w:val="26"/>
          <w:szCs w:val="26"/>
        </w:rPr>
      </w:pPr>
      <w:r w:rsidRPr="0057700D">
        <w:rPr>
          <w:rFonts w:ascii="Century Schoolbook" w:eastAsia="Calibri" w:hAnsi="Century Schoolbook" w:cs="Times New Roman"/>
          <w:bCs/>
          <w:iCs/>
          <w:sz w:val="26"/>
          <w:szCs w:val="26"/>
        </w:rPr>
        <w:t>In November 201</w:t>
      </w:r>
      <w:r w:rsidR="00487163" w:rsidRPr="0057700D">
        <w:rPr>
          <w:rFonts w:ascii="Century Schoolbook" w:eastAsia="Calibri" w:hAnsi="Century Schoolbook" w:cs="Times New Roman"/>
          <w:bCs/>
          <w:iCs/>
          <w:sz w:val="26"/>
          <w:szCs w:val="26"/>
        </w:rPr>
        <w:t>7</w:t>
      </w:r>
      <w:r w:rsidRPr="0057700D">
        <w:rPr>
          <w:rFonts w:ascii="Century Schoolbook" w:eastAsia="Calibri" w:hAnsi="Century Schoolbook" w:cs="Times New Roman"/>
          <w:bCs/>
          <w:iCs/>
          <w:sz w:val="26"/>
          <w:szCs w:val="26"/>
        </w:rPr>
        <w:t xml:space="preserve">, </w:t>
      </w:r>
      <w:r w:rsidR="007B0F13" w:rsidRPr="0057700D">
        <w:rPr>
          <w:rFonts w:ascii="Century Schoolbook" w:eastAsia="Calibri" w:hAnsi="Century Schoolbook" w:cs="Times New Roman"/>
          <w:bCs/>
          <w:iCs/>
          <w:sz w:val="26"/>
          <w:szCs w:val="26"/>
        </w:rPr>
        <w:t xml:space="preserve">Kuchen was a new officer, having just finished six months of field training. </w:t>
      </w:r>
      <w:r w:rsidR="000B565F" w:rsidRPr="0057700D">
        <w:rPr>
          <w:rFonts w:ascii="Century Schoolbook" w:eastAsia="Calibri" w:hAnsi="Century Schoolbook" w:cs="Times New Roman"/>
          <w:bCs/>
          <w:iCs/>
          <w:sz w:val="26"/>
          <w:szCs w:val="26"/>
        </w:rPr>
        <w:t xml:space="preserve"> </w:t>
      </w:r>
      <w:r w:rsidR="00E20D1D" w:rsidRPr="0057700D">
        <w:rPr>
          <w:rFonts w:ascii="Century Schoolbook" w:eastAsia="Calibri" w:hAnsi="Century Schoolbook" w:cs="Times New Roman"/>
          <w:bCs/>
          <w:iCs/>
          <w:sz w:val="26"/>
          <w:szCs w:val="26"/>
        </w:rPr>
        <w:t xml:space="preserve">He understood </w:t>
      </w:r>
      <w:r w:rsidR="00A13251" w:rsidRPr="0057700D">
        <w:rPr>
          <w:rFonts w:ascii="Century Schoolbook" w:eastAsia="Calibri" w:hAnsi="Century Schoolbook" w:cs="Times New Roman"/>
          <w:bCs/>
          <w:iCs/>
          <w:sz w:val="26"/>
          <w:szCs w:val="26"/>
        </w:rPr>
        <w:t xml:space="preserve">his duties </w:t>
      </w:r>
      <w:r w:rsidR="00546985" w:rsidRPr="0057700D">
        <w:rPr>
          <w:rFonts w:ascii="Century Schoolbook" w:eastAsia="Calibri" w:hAnsi="Century Schoolbook" w:cs="Times New Roman"/>
          <w:bCs/>
          <w:iCs/>
          <w:sz w:val="26"/>
          <w:szCs w:val="26"/>
        </w:rPr>
        <w:t xml:space="preserve">as a </w:t>
      </w:r>
      <w:r w:rsidR="00A13251" w:rsidRPr="0057700D">
        <w:rPr>
          <w:rFonts w:ascii="Century Schoolbook" w:eastAsia="Calibri" w:hAnsi="Century Schoolbook" w:cs="Times New Roman"/>
          <w:bCs/>
          <w:iCs/>
          <w:sz w:val="26"/>
          <w:szCs w:val="26"/>
        </w:rPr>
        <w:t xml:space="preserve">patrol </w:t>
      </w:r>
      <w:r w:rsidR="00546985" w:rsidRPr="0057700D">
        <w:rPr>
          <w:rFonts w:ascii="Century Schoolbook" w:eastAsia="Calibri" w:hAnsi="Century Schoolbook" w:cs="Times New Roman"/>
          <w:bCs/>
          <w:iCs/>
          <w:sz w:val="26"/>
          <w:szCs w:val="26"/>
        </w:rPr>
        <w:t xml:space="preserve">officer </w:t>
      </w:r>
      <w:r w:rsidR="00A13251" w:rsidRPr="0057700D">
        <w:rPr>
          <w:rFonts w:ascii="Century Schoolbook" w:eastAsia="Calibri" w:hAnsi="Century Schoolbook" w:cs="Times New Roman"/>
          <w:bCs/>
          <w:iCs/>
          <w:sz w:val="26"/>
          <w:szCs w:val="26"/>
        </w:rPr>
        <w:t xml:space="preserve">were to answer 911 calls and “conduct proactive criminal patrol.”  This </w:t>
      </w:r>
      <w:r w:rsidR="00CE78E6" w:rsidRPr="0057700D">
        <w:rPr>
          <w:rFonts w:ascii="Century Schoolbook" w:eastAsia="Calibri" w:hAnsi="Century Schoolbook" w:cs="Times New Roman"/>
          <w:bCs/>
          <w:iCs/>
          <w:sz w:val="26"/>
          <w:szCs w:val="26"/>
        </w:rPr>
        <w:t xml:space="preserve">included </w:t>
      </w:r>
      <w:r w:rsidR="007B0F13" w:rsidRPr="0057700D">
        <w:rPr>
          <w:rFonts w:ascii="Century Schoolbook" w:eastAsia="Calibri" w:hAnsi="Century Schoolbook" w:cs="Times New Roman"/>
          <w:bCs/>
          <w:iCs/>
          <w:sz w:val="26"/>
          <w:szCs w:val="26"/>
        </w:rPr>
        <w:t>looking for possible trespassers.</w:t>
      </w:r>
      <w:r w:rsidR="0021660C" w:rsidRPr="0057700D">
        <w:rPr>
          <w:rFonts w:ascii="Century Schoolbook" w:eastAsia="Calibri" w:hAnsi="Century Schoolbook" w:cs="Times New Roman"/>
          <w:bCs/>
          <w:iCs/>
          <w:sz w:val="26"/>
          <w:szCs w:val="26"/>
        </w:rPr>
        <w:t xml:space="preserve">  </w:t>
      </w:r>
      <w:r w:rsidR="00620316" w:rsidRPr="0057700D">
        <w:rPr>
          <w:rFonts w:ascii="Century Schoolbook" w:eastAsia="Calibri" w:hAnsi="Century Schoolbook" w:cs="Times New Roman"/>
          <w:bCs/>
          <w:iCs/>
          <w:sz w:val="26"/>
          <w:szCs w:val="26"/>
        </w:rPr>
        <w:t>(</w:t>
      </w:r>
      <w:proofErr w:type="spellStart"/>
      <w:r w:rsidR="00620316" w:rsidRPr="0057700D">
        <w:rPr>
          <w:rFonts w:ascii="Century Schoolbook" w:eastAsia="Calibri" w:hAnsi="Century Schoolbook" w:cs="Times New Roman"/>
          <w:bCs/>
          <w:iCs/>
          <w:sz w:val="26"/>
          <w:szCs w:val="26"/>
        </w:rPr>
        <w:t>Tpp</w:t>
      </w:r>
      <w:proofErr w:type="spellEnd"/>
      <w:r w:rsidR="00620316" w:rsidRPr="0057700D">
        <w:rPr>
          <w:rFonts w:ascii="Century Schoolbook" w:eastAsia="Calibri" w:hAnsi="Century Schoolbook" w:cs="Times New Roman"/>
          <w:bCs/>
          <w:iCs/>
          <w:sz w:val="26"/>
          <w:szCs w:val="26"/>
        </w:rPr>
        <w:t xml:space="preserve"> 19-2</w:t>
      </w:r>
      <w:r w:rsidR="000B565F" w:rsidRPr="0057700D">
        <w:rPr>
          <w:rFonts w:ascii="Century Schoolbook" w:eastAsia="Calibri" w:hAnsi="Century Schoolbook" w:cs="Times New Roman"/>
          <w:bCs/>
          <w:iCs/>
          <w:sz w:val="26"/>
          <w:szCs w:val="26"/>
        </w:rPr>
        <w:t>3</w:t>
      </w:r>
      <w:r w:rsidR="00620316" w:rsidRPr="0057700D">
        <w:rPr>
          <w:rFonts w:ascii="Century Schoolbook" w:eastAsia="Calibri" w:hAnsi="Century Schoolbook" w:cs="Times New Roman"/>
          <w:bCs/>
          <w:iCs/>
          <w:sz w:val="26"/>
          <w:szCs w:val="26"/>
        </w:rPr>
        <w:t xml:space="preserve">) </w:t>
      </w:r>
    </w:p>
    <w:p w14:paraId="29B4BCF0" w14:textId="26371D03" w:rsidR="005F07B5" w:rsidRPr="0057700D" w:rsidRDefault="00A6119C" w:rsidP="005F07B5">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bCs/>
          <w:iCs/>
          <w:sz w:val="26"/>
          <w:szCs w:val="26"/>
        </w:rPr>
        <w:t xml:space="preserve">According to Kuchen, multiple apartment complexes in Raleigh have </w:t>
      </w:r>
      <w:r w:rsidR="00D4555C" w:rsidRPr="0057700D">
        <w:rPr>
          <w:rFonts w:ascii="Century Schoolbook" w:eastAsia="Calibri" w:hAnsi="Century Schoolbook" w:cs="Times New Roman"/>
          <w:bCs/>
          <w:iCs/>
          <w:sz w:val="26"/>
          <w:szCs w:val="26"/>
        </w:rPr>
        <w:t xml:space="preserve">trespassing </w:t>
      </w:r>
      <w:r w:rsidRPr="0057700D">
        <w:rPr>
          <w:rFonts w:ascii="Century Schoolbook" w:eastAsia="Calibri" w:hAnsi="Century Schoolbook" w:cs="Times New Roman"/>
          <w:bCs/>
          <w:iCs/>
          <w:sz w:val="26"/>
          <w:szCs w:val="26"/>
        </w:rPr>
        <w:t>agreements with the police department</w:t>
      </w:r>
      <w:r w:rsidR="004F744D" w:rsidRPr="0057700D">
        <w:rPr>
          <w:rFonts w:ascii="Century Schoolbook" w:eastAsia="Calibri" w:hAnsi="Century Schoolbook" w:cs="Times New Roman"/>
          <w:bCs/>
          <w:iCs/>
          <w:sz w:val="26"/>
          <w:szCs w:val="26"/>
        </w:rPr>
        <w:t xml:space="preserve">. </w:t>
      </w:r>
      <w:r w:rsidRPr="0057700D">
        <w:rPr>
          <w:rFonts w:ascii="Century Schoolbook" w:eastAsia="Calibri" w:hAnsi="Century Schoolbook" w:cs="Times New Roman"/>
          <w:bCs/>
          <w:iCs/>
          <w:sz w:val="26"/>
          <w:szCs w:val="26"/>
        </w:rPr>
        <w:t xml:space="preserve"> Apartment managers ask police to identify people </w:t>
      </w:r>
      <w:r w:rsidR="004F744D" w:rsidRPr="0057700D">
        <w:rPr>
          <w:rFonts w:ascii="Century Schoolbook" w:eastAsia="Calibri" w:hAnsi="Century Schoolbook" w:cs="Times New Roman"/>
          <w:bCs/>
          <w:iCs/>
          <w:sz w:val="26"/>
          <w:szCs w:val="26"/>
        </w:rPr>
        <w:t xml:space="preserve">lingering </w:t>
      </w:r>
      <w:r w:rsidRPr="0057700D">
        <w:rPr>
          <w:rFonts w:ascii="Century Schoolbook" w:eastAsia="Calibri" w:hAnsi="Century Schoolbook" w:cs="Times New Roman"/>
          <w:bCs/>
          <w:iCs/>
          <w:sz w:val="26"/>
          <w:szCs w:val="26"/>
        </w:rPr>
        <w:t>in the</w:t>
      </w:r>
      <w:r w:rsidR="004F744D" w:rsidRPr="0057700D">
        <w:rPr>
          <w:rFonts w:ascii="Century Schoolbook" w:eastAsia="Calibri" w:hAnsi="Century Schoolbook" w:cs="Times New Roman"/>
          <w:bCs/>
          <w:iCs/>
          <w:sz w:val="26"/>
          <w:szCs w:val="26"/>
        </w:rPr>
        <w:t>ir</w:t>
      </w:r>
      <w:r w:rsidRPr="0057700D">
        <w:rPr>
          <w:rFonts w:ascii="Century Schoolbook" w:eastAsia="Calibri" w:hAnsi="Century Schoolbook" w:cs="Times New Roman"/>
          <w:bCs/>
          <w:iCs/>
          <w:sz w:val="26"/>
          <w:szCs w:val="26"/>
        </w:rPr>
        <w:t xml:space="preserve"> parking lots and determine whether they live there, or are visiting, or have any other “authorized” purpose for being there. </w:t>
      </w:r>
      <w:r w:rsidR="006760C4" w:rsidRPr="0057700D">
        <w:rPr>
          <w:rFonts w:ascii="Century Schoolbook" w:eastAsia="Calibri" w:hAnsi="Century Schoolbook" w:cs="Times New Roman"/>
          <w:bCs/>
          <w:iCs/>
          <w:sz w:val="26"/>
          <w:szCs w:val="26"/>
        </w:rPr>
        <w:t xml:space="preserve"> </w:t>
      </w:r>
      <w:r w:rsidR="00C97BF4" w:rsidRPr="0057700D">
        <w:rPr>
          <w:rFonts w:ascii="Century Schoolbook" w:eastAsia="Calibri" w:hAnsi="Century Schoolbook" w:cs="Times New Roman"/>
          <w:bCs/>
          <w:iCs/>
          <w:sz w:val="26"/>
          <w:szCs w:val="26"/>
        </w:rPr>
        <w:t xml:space="preserve">Officers </w:t>
      </w:r>
      <w:r w:rsidR="002E23C2" w:rsidRPr="0057700D">
        <w:rPr>
          <w:rFonts w:ascii="Century Schoolbook" w:eastAsia="Calibri" w:hAnsi="Century Schoolbook" w:cs="Times New Roman"/>
          <w:bCs/>
          <w:iCs/>
          <w:sz w:val="26"/>
          <w:szCs w:val="26"/>
        </w:rPr>
        <w:t>are</w:t>
      </w:r>
      <w:r w:rsidR="009D45E8" w:rsidRPr="0057700D">
        <w:rPr>
          <w:rFonts w:ascii="Century Schoolbook" w:eastAsia="Calibri" w:hAnsi="Century Schoolbook" w:cs="Times New Roman"/>
          <w:bCs/>
          <w:iCs/>
          <w:sz w:val="26"/>
          <w:szCs w:val="26"/>
        </w:rPr>
        <w:t xml:space="preserve"> to</w:t>
      </w:r>
      <w:r w:rsidR="00C97BF4" w:rsidRPr="0057700D">
        <w:rPr>
          <w:rFonts w:ascii="Century Schoolbook" w:eastAsia="Calibri" w:hAnsi="Century Schoolbook" w:cs="Times New Roman"/>
          <w:bCs/>
          <w:iCs/>
          <w:sz w:val="26"/>
          <w:szCs w:val="26"/>
        </w:rPr>
        <w:t xml:space="preserve"> </w:t>
      </w:r>
      <w:r w:rsidR="006760C4" w:rsidRPr="0057700D">
        <w:rPr>
          <w:rFonts w:ascii="Century Schoolbook" w:eastAsia="Calibri" w:hAnsi="Century Schoolbook" w:cs="Times New Roman"/>
          <w:bCs/>
          <w:iCs/>
          <w:sz w:val="26"/>
          <w:szCs w:val="26"/>
        </w:rPr>
        <w:t xml:space="preserve">add “unauthorized” people to a </w:t>
      </w:r>
      <w:r w:rsidR="00C97BF4" w:rsidRPr="0057700D">
        <w:rPr>
          <w:rFonts w:ascii="Century Schoolbook" w:eastAsia="Calibri" w:hAnsi="Century Schoolbook" w:cs="Times New Roman"/>
          <w:bCs/>
          <w:iCs/>
          <w:sz w:val="26"/>
          <w:szCs w:val="26"/>
        </w:rPr>
        <w:t>no-trespass</w:t>
      </w:r>
      <w:r w:rsidR="006760C4" w:rsidRPr="0057700D">
        <w:rPr>
          <w:rFonts w:ascii="Century Schoolbook" w:eastAsia="Calibri" w:hAnsi="Century Schoolbook" w:cs="Times New Roman"/>
          <w:bCs/>
          <w:iCs/>
          <w:sz w:val="26"/>
          <w:szCs w:val="26"/>
        </w:rPr>
        <w:t xml:space="preserve"> list, an</w:t>
      </w:r>
      <w:r w:rsidR="00C97BF4" w:rsidRPr="0057700D">
        <w:rPr>
          <w:rFonts w:ascii="Century Schoolbook" w:eastAsia="Calibri" w:hAnsi="Century Schoolbook" w:cs="Times New Roman"/>
          <w:bCs/>
          <w:iCs/>
          <w:sz w:val="26"/>
          <w:szCs w:val="26"/>
        </w:rPr>
        <w:t>d officers subsequently cite th</w:t>
      </w:r>
      <w:r w:rsidR="00F87360" w:rsidRPr="0057700D">
        <w:rPr>
          <w:rFonts w:ascii="Century Schoolbook" w:eastAsia="Calibri" w:hAnsi="Century Schoolbook" w:cs="Times New Roman"/>
          <w:bCs/>
          <w:iCs/>
          <w:sz w:val="26"/>
          <w:szCs w:val="26"/>
        </w:rPr>
        <w:t>ose people</w:t>
      </w:r>
      <w:r w:rsidR="00C97BF4" w:rsidRPr="0057700D">
        <w:rPr>
          <w:rFonts w:ascii="Century Schoolbook" w:eastAsia="Calibri" w:hAnsi="Century Schoolbook" w:cs="Times New Roman"/>
          <w:bCs/>
          <w:iCs/>
          <w:sz w:val="26"/>
          <w:szCs w:val="26"/>
        </w:rPr>
        <w:t xml:space="preserve"> if they </w:t>
      </w:r>
      <w:r w:rsidR="006760C4" w:rsidRPr="0057700D">
        <w:rPr>
          <w:rFonts w:ascii="Century Schoolbook" w:eastAsia="Calibri" w:hAnsi="Century Schoolbook" w:cs="Times New Roman"/>
          <w:bCs/>
          <w:iCs/>
          <w:sz w:val="26"/>
          <w:szCs w:val="26"/>
        </w:rPr>
        <w:t xml:space="preserve">appear on the property.  </w:t>
      </w:r>
      <w:r w:rsidRPr="0057700D">
        <w:rPr>
          <w:rFonts w:ascii="Century Schoolbook" w:eastAsia="Calibri" w:hAnsi="Century Schoolbook" w:cs="Times New Roman"/>
          <w:bCs/>
          <w:iCs/>
          <w:sz w:val="26"/>
          <w:szCs w:val="26"/>
        </w:rPr>
        <w:t>Kuche</w:t>
      </w:r>
      <w:r w:rsidR="00FF76D5" w:rsidRPr="0057700D">
        <w:rPr>
          <w:rFonts w:ascii="Century Schoolbook" w:eastAsia="Calibri" w:hAnsi="Century Schoolbook" w:cs="Times New Roman"/>
          <w:bCs/>
          <w:iCs/>
          <w:sz w:val="26"/>
          <w:szCs w:val="26"/>
        </w:rPr>
        <w:t>n’s</w:t>
      </w:r>
      <w:r w:rsidRPr="0057700D">
        <w:rPr>
          <w:rFonts w:ascii="Century Schoolbook" w:eastAsia="Calibri" w:hAnsi="Century Schoolbook" w:cs="Times New Roman"/>
          <w:bCs/>
          <w:iCs/>
          <w:sz w:val="26"/>
          <w:szCs w:val="26"/>
        </w:rPr>
        <w:t xml:space="preserve"> practice was to approach people in the parking lots </w:t>
      </w:r>
      <w:r w:rsidR="00A4284A" w:rsidRPr="0057700D">
        <w:rPr>
          <w:rFonts w:ascii="Century Schoolbook" w:eastAsia="Calibri" w:hAnsi="Century Schoolbook" w:cs="Times New Roman"/>
          <w:bCs/>
          <w:iCs/>
          <w:sz w:val="26"/>
          <w:szCs w:val="26"/>
        </w:rPr>
        <w:t xml:space="preserve">to </w:t>
      </w:r>
      <w:r w:rsidR="005A5802" w:rsidRPr="0057700D">
        <w:rPr>
          <w:rFonts w:ascii="Century Schoolbook" w:eastAsia="Calibri" w:hAnsi="Century Schoolbook" w:cs="Times New Roman"/>
          <w:bCs/>
          <w:iCs/>
          <w:sz w:val="26"/>
          <w:szCs w:val="26"/>
        </w:rPr>
        <w:t>“</w:t>
      </w:r>
      <w:r w:rsidR="00A4284A" w:rsidRPr="0057700D">
        <w:rPr>
          <w:rFonts w:ascii="Century Schoolbook" w:eastAsia="Calibri" w:hAnsi="Century Schoolbook" w:cs="Times New Roman"/>
          <w:sz w:val="26"/>
          <w:szCs w:val="26"/>
        </w:rPr>
        <w:t>have a voluntary encounter to observe if the subject was on a lease of the property.</w:t>
      </w:r>
      <w:r w:rsidR="005A5802" w:rsidRPr="0057700D">
        <w:rPr>
          <w:rFonts w:ascii="Century Schoolbook" w:eastAsia="Calibri" w:hAnsi="Century Schoolbook" w:cs="Times New Roman"/>
          <w:sz w:val="26"/>
          <w:szCs w:val="26"/>
        </w:rPr>
        <w:t>”</w:t>
      </w:r>
      <w:r w:rsidR="00A4284A" w:rsidRPr="0057700D">
        <w:rPr>
          <w:rFonts w:ascii="Century Schoolbook" w:eastAsia="Calibri" w:hAnsi="Century Schoolbook" w:cs="Times New Roman"/>
          <w:sz w:val="26"/>
          <w:szCs w:val="26"/>
        </w:rPr>
        <w:t xml:space="preserve"> </w:t>
      </w:r>
      <w:r w:rsidR="009D45E8"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bCs/>
          <w:iCs/>
          <w:sz w:val="26"/>
          <w:szCs w:val="26"/>
        </w:rPr>
        <w:t xml:space="preserve">His understanding was that guests were allowed but should get out of the car and walk to an apartment. </w:t>
      </w:r>
      <w:r w:rsidR="00952866" w:rsidRPr="0057700D">
        <w:rPr>
          <w:rFonts w:ascii="Century Schoolbook" w:eastAsia="Calibri" w:hAnsi="Century Schoolbook" w:cs="Times New Roman"/>
          <w:bCs/>
          <w:iCs/>
          <w:sz w:val="26"/>
          <w:szCs w:val="26"/>
        </w:rPr>
        <w:t xml:space="preserve"> </w:t>
      </w:r>
      <w:r w:rsidR="00F547E2" w:rsidRPr="0057700D">
        <w:rPr>
          <w:rFonts w:ascii="Century Schoolbook" w:eastAsia="Calibri" w:hAnsi="Century Schoolbook" w:cs="Times New Roman"/>
          <w:sz w:val="26"/>
          <w:szCs w:val="26"/>
        </w:rPr>
        <w:t xml:space="preserve">Kuchen </w:t>
      </w:r>
      <w:r w:rsidR="00CF3DC2" w:rsidRPr="0057700D">
        <w:rPr>
          <w:rFonts w:ascii="Century Schoolbook" w:eastAsia="Calibri" w:hAnsi="Century Schoolbook" w:cs="Times New Roman"/>
          <w:sz w:val="26"/>
          <w:szCs w:val="26"/>
        </w:rPr>
        <w:t xml:space="preserve">estimated </w:t>
      </w:r>
      <w:r w:rsidR="003252E0" w:rsidRPr="0057700D">
        <w:rPr>
          <w:rFonts w:ascii="Century Schoolbook" w:eastAsia="Calibri" w:hAnsi="Century Schoolbook" w:cs="Times New Roman"/>
          <w:sz w:val="26"/>
          <w:szCs w:val="26"/>
        </w:rPr>
        <w:t>that once o</w:t>
      </w:r>
      <w:r w:rsidR="00B07DEE" w:rsidRPr="0057700D">
        <w:rPr>
          <w:rFonts w:ascii="Century Schoolbook" w:eastAsia="Calibri" w:hAnsi="Century Schoolbook" w:cs="Times New Roman"/>
          <w:sz w:val="26"/>
          <w:szCs w:val="26"/>
        </w:rPr>
        <w:t>r</w:t>
      </w:r>
      <w:r w:rsidR="003252E0" w:rsidRPr="0057700D">
        <w:rPr>
          <w:rFonts w:ascii="Century Schoolbook" w:eastAsia="Calibri" w:hAnsi="Century Schoolbook" w:cs="Times New Roman"/>
          <w:sz w:val="26"/>
          <w:szCs w:val="26"/>
        </w:rPr>
        <w:t xml:space="preserve"> twice a shift he would ride through Raleigh North</w:t>
      </w:r>
      <w:r w:rsidR="00952866" w:rsidRPr="0057700D">
        <w:rPr>
          <w:rFonts w:ascii="Century Schoolbook" w:eastAsia="Calibri" w:hAnsi="Century Schoolbook" w:cs="Times New Roman"/>
          <w:sz w:val="26"/>
          <w:szCs w:val="26"/>
        </w:rPr>
        <w:t xml:space="preserve"> and have </w:t>
      </w:r>
      <w:r w:rsidR="00B146A4" w:rsidRPr="0057700D">
        <w:rPr>
          <w:rFonts w:ascii="Century Schoolbook" w:eastAsia="Calibri" w:hAnsi="Century Schoolbook" w:cs="Times New Roman"/>
          <w:sz w:val="26"/>
          <w:szCs w:val="26"/>
        </w:rPr>
        <w:t>these</w:t>
      </w:r>
      <w:r w:rsidR="00952866" w:rsidRPr="0057700D">
        <w:rPr>
          <w:rFonts w:ascii="Century Schoolbook" w:eastAsia="Calibri" w:hAnsi="Century Schoolbook" w:cs="Times New Roman"/>
          <w:sz w:val="26"/>
          <w:szCs w:val="26"/>
        </w:rPr>
        <w:t xml:space="preserve"> </w:t>
      </w:r>
      <w:r w:rsidR="00BA797F" w:rsidRPr="0057700D">
        <w:rPr>
          <w:rFonts w:ascii="Century Schoolbook" w:eastAsia="Calibri" w:hAnsi="Century Schoolbook" w:cs="Times New Roman"/>
          <w:sz w:val="26"/>
          <w:szCs w:val="26"/>
        </w:rPr>
        <w:t>“</w:t>
      </w:r>
      <w:r w:rsidR="00952866" w:rsidRPr="0057700D">
        <w:rPr>
          <w:rFonts w:ascii="Century Schoolbook" w:eastAsia="Calibri" w:hAnsi="Century Schoolbook" w:cs="Times New Roman"/>
          <w:sz w:val="26"/>
          <w:szCs w:val="26"/>
        </w:rPr>
        <w:t>voluntary</w:t>
      </w:r>
      <w:r w:rsidR="00BA797F" w:rsidRPr="0057700D">
        <w:rPr>
          <w:rFonts w:ascii="Century Schoolbook" w:eastAsia="Calibri" w:hAnsi="Century Schoolbook" w:cs="Times New Roman"/>
          <w:sz w:val="26"/>
          <w:szCs w:val="26"/>
        </w:rPr>
        <w:t>”</w:t>
      </w:r>
      <w:r w:rsidR="00952866" w:rsidRPr="0057700D">
        <w:rPr>
          <w:rFonts w:ascii="Century Schoolbook" w:eastAsia="Calibri" w:hAnsi="Century Schoolbook" w:cs="Times New Roman"/>
          <w:sz w:val="26"/>
          <w:szCs w:val="26"/>
        </w:rPr>
        <w:t xml:space="preserve"> </w:t>
      </w:r>
      <w:r w:rsidR="00952866" w:rsidRPr="0057700D">
        <w:rPr>
          <w:rFonts w:ascii="Century Schoolbook" w:eastAsia="Calibri" w:hAnsi="Century Schoolbook" w:cs="Times New Roman"/>
          <w:sz w:val="26"/>
          <w:szCs w:val="26"/>
        </w:rPr>
        <w:lastRenderedPageBreak/>
        <w:t>encounters</w:t>
      </w:r>
      <w:r w:rsidR="003252E0" w:rsidRPr="0057700D">
        <w:rPr>
          <w:rFonts w:ascii="Century Schoolbook" w:eastAsia="Calibri" w:hAnsi="Century Schoolbook" w:cs="Times New Roman"/>
          <w:sz w:val="26"/>
          <w:szCs w:val="26"/>
        </w:rPr>
        <w:t xml:space="preserve">.  </w:t>
      </w:r>
      <w:r w:rsidR="002D78E8" w:rsidRPr="0057700D">
        <w:rPr>
          <w:rFonts w:ascii="Century Schoolbook" w:eastAsia="Calibri" w:hAnsi="Century Schoolbook" w:cs="Times New Roman"/>
          <w:sz w:val="26"/>
          <w:szCs w:val="26"/>
        </w:rPr>
        <w:t xml:space="preserve">On cross-examination, </w:t>
      </w:r>
      <w:r w:rsidR="009D45E8" w:rsidRPr="0057700D">
        <w:rPr>
          <w:rFonts w:ascii="Century Schoolbook" w:eastAsia="Calibri" w:hAnsi="Century Schoolbook" w:cs="Times New Roman"/>
          <w:bCs/>
          <w:iCs/>
          <w:sz w:val="26"/>
          <w:szCs w:val="26"/>
        </w:rPr>
        <w:t xml:space="preserve">Kuchen acknowledged that the trespassing agreement did not give him additional legal authority to stop people.  </w:t>
      </w:r>
      <w:r w:rsidR="00952866" w:rsidRPr="0057700D">
        <w:rPr>
          <w:rFonts w:ascii="Century Schoolbook" w:eastAsia="Calibri" w:hAnsi="Century Schoolbook" w:cs="Times New Roman"/>
          <w:sz w:val="26"/>
          <w:szCs w:val="26"/>
        </w:rPr>
        <w:t>(</w:t>
      </w:r>
      <w:proofErr w:type="spellStart"/>
      <w:r w:rsidR="00952866" w:rsidRPr="0057700D">
        <w:rPr>
          <w:rFonts w:ascii="Century Schoolbook" w:eastAsia="Calibri" w:hAnsi="Century Schoolbook" w:cs="Times New Roman"/>
          <w:sz w:val="26"/>
          <w:szCs w:val="26"/>
        </w:rPr>
        <w:t>Tpp</w:t>
      </w:r>
      <w:proofErr w:type="spellEnd"/>
      <w:r w:rsidR="00952866" w:rsidRPr="0057700D">
        <w:rPr>
          <w:rFonts w:ascii="Century Schoolbook" w:eastAsia="Calibri" w:hAnsi="Century Schoolbook" w:cs="Times New Roman"/>
          <w:sz w:val="26"/>
          <w:szCs w:val="26"/>
        </w:rPr>
        <w:t xml:space="preserve"> </w:t>
      </w:r>
      <w:r w:rsidR="009D45E8" w:rsidRPr="0057700D">
        <w:rPr>
          <w:rFonts w:ascii="Century Schoolbook" w:eastAsia="Calibri" w:hAnsi="Century Schoolbook" w:cs="Times New Roman"/>
          <w:sz w:val="26"/>
          <w:szCs w:val="26"/>
        </w:rPr>
        <w:t xml:space="preserve">23-25, </w:t>
      </w:r>
      <w:r w:rsidR="005F07B5" w:rsidRPr="0057700D">
        <w:rPr>
          <w:rFonts w:ascii="Century Schoolbook" w:eastAsia="Calibri" w:hAnsi="Century Schoolbook" w:cs="Times New Roman"/>
          <w:sz w:val="26"/>
          <w:szCs w:val="26"/>
        </w:rPr>
        <w:t>3</w:t>
      </w:r>
      <w:r w:rsidR="003252E0" w:rsidRPr="0057700D">
        <w:rPr>
          <w:rFonts w:ascii="Century Schoolbook" w:eastAsia="Calibri" w:hAnsi="Century Schoolbook" w:cs="Times New Roman"/>
          <w:sz w:val="26"/>
          <w:szCs w:val="26"/>
        </w:rPr>
        <w:t>7</w:t>
      </w:r>
      <w:r w:rsidR="005F07B5" w:rsidRPr="0057700D">
        <w:rPr>
          <w:rFonts w:ascii="Century Schoolbook" w:eastAsia="Calibri" w:hAnsi="Century Schoolbook" w:cs="Times New Roman"/>
          <w:sz w:val="26"/>
          <w:szCs w:val="26"/>
        </w:rPr>
        <w:t>-39</w:t>
      </w:r>
      <w:r w:rsidR="0011116D" w:rsidRPr="0057700D">
        <w:rPr>
          <w:rFonts w:ascii="Century Schoolbook" w:eastAsia="Calibri" w:hAnsi="Century Schoolbook" w:cs="Times New Roman"/>
          <w:sz w:val="26"/>
          <w:szCs w:val="26"/>
        </w:rPr>
        <w:t xml:space="preserve">, </w:t>
      </w:r>
      <w:r w:rsidR="00B07DEE" w:rsidRPr="0057700D">
        <w:rPr>
          <w:rFonts w:ascii="Century Schoolbook" w:eastAsia="Calibri" w:hAnsi="Century Schoolbook" w:cs="Times New Roman"/>
          <w:sz w:val="26"/>
          <w:szCs w:val="26"/>
        </w:rPr>
        <w:t>41,</w:t>
      </w:r>
      <w:r w:rsidR="00952866" w:rsidRPr="0057700D">
        <w:rPr>
          <w:rFonts w:ascii="Century Schoolbook" w:eastAsia="Calibri" w:hAnsi="Century Schoolbook" w:cs="Times New Roman"/>
          <w:sz w:val="26"/>
          <w:szCs w:val="26"/>
        </w:rPr>
        <w:t xml:space="preserve"> </w:t>
      </w:r>
      <w:r w:rsidR="009D45E8" w:rsidRPr="0057700D">
        <w:rPr>
          <w:rFonts w:ascii="Century Schoolbook" w:eastAsia="Calibri" w:hAnsi="Century Schoolbook" w:cs="Times New Roman"/>
          <w:sz w:val="26"/>
          <w:szCs w:val="26"/>
        </w:rPr>
        <w:t>56-</w:t>
      </w:r>
      <w:r w:rsidR="0011116D" w:rsidRPr="0057700D">
        <w:rPr>
          <w:rFonts w:ascii="Century Schoolbook" w:eastAsia="Calibri" w:hAnsi="Century Schoolbook" w:cs="Times New Roman"/>
          <w:sz w:val="26"/>
          <w:szCs w:val="26"/>
        </w:rPr>
        <w:t>61</w:t>
      </w:r>
      <w:r w:rsidR="00952866" w:rsidRPr="0057700D">
        <w:rPr>
          <w:rFonts w:ascii="Century Schoolbook" w:eastAsia="Calibri" w:hAnsi="Century Schoolbook" w:cs="Times New Roman"/>
          <w:sz w:val="26"/>
          <w:szCs w:val="26"/>
        </w:rPr>
        <w:t>)</w:t>
      </w:r>
    </w:p>
    <w:p w14:paraId="264DF653" w14:textId="69A0091B" w:rsidR="007B0F13" w:rsidRPr="0057700D" w:rsidRDefault="00215AD1" w:rsidP="00215AD1">
      <w:pPr>
        <w:spacing w:after="0" w:line="480" w:lineRule="auto"/>
        <w:ind w:firstLine="720"/>
        <w:rPr>
          <w:rFonts w:ascii="Century Schoolbook" w:eastAsia="Calibri" w:hAnsi="Century Schoolbook" w:cs="Times New Roman"/>
          <w:bCs/>
          <w:iCs/>
          <w:sz w:val="26"/>
          <w:szCs w:val="26"/>
        </w:rPr>
      </w:pPr>
      <w:r w:rsidRPr="0057700D">
        <w:rPr>
          <w:rFonts w:ascii="Century Schoolbook" w:eastAsia="Calibri" w:hAnsi="Century Schoolbook" w:cs="Times New Roman"/>
          <w:sz w:val="26"/>
          <w:szCs w:val="26"/>
        </w:rPr>
        <w:t xml:space="preserve">At the equal protection portion of the suppression hearing, Mr. Johnson called </w:t>
      </w:r>
      <w:r w:rsidR="007B0F13" w:rsidRPr="0057700D">
        <w:rPr>
          <w:rFonts w:ascii="Century Schoolbook" w:eastAsia="Calibri" w:hAnsi="Century Schoolbook" w:cs="Times New Roman"/>
          <w:bCs/>
          <w:iCs/>
          <w:sz w:val="26"/>
          <w:szCs w:val="26"/>
        </w:rPr>
        <w:t>three</w:t>
      </w:r>
      <w:r w:rsidR="00D471C7" w:rsidRPr="0057700D">
        <w:rPr>
          <w:rFonts w:ascii="Century Schoolbook" w:eastAsia="Calibri" w:hAnsi="Century Schoolbook" w:cs="Times New Roman"/>
          <w:bCs/>
          <w:iCs/>
          <w:sz w:val="26"/>
          <w:szCs w:val="26"/>
        </w:rPr>
        <w:t xml:space="preserve"> witnesses</w:t>
      </w:r>
      <w:r w:rsidR="007B0F13" w:rsidRPr="0057700D">
        <w:rPr>
          <w:rFonts w:ascii="Century Schoolbook" w:eastAsia="Calibri" w:hAnsi="Century Schoolbook" w:cs="Times New Roman"/>
          <w:bCs/>
          <w:iCs/>
          <w:sz w:val="26"/>
          <w:szCs w:val="26"/>
        </w:rPr>
        <w:t xml:space="preserve">.  An attorney at a civil rights non-profit, Ian Mance, testified that he used traffic stop data, the collection of which is mandated by N.C.G.S. § </w:t>
      </w:r>
      <w:r w:rsidR="007B0F13" w:rsidRPr="0057700D">
        <w:rPr>
          <w:rFonts w:ascii="Century Schoolbook" w:eastAsia="Calibri" w:hAnsi="Century Schoolbook" w:cs="Times New Roman"/>
          <w:sz w:val="26"/>
          <w:szCs w:val="26"/>
        </w:rPr>
        <w:t>143B-903</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bCs/>
          <w:iCs/>
          <w:sz w:val="26"/>
          <w:szCs w:val="26"/>
        </w:rPr>
        <w:instrText xml:space="preserve">N.C.G.S. § </w:instrText>
      </w:r>
      <w:r w:rsidR="00825D98" w:rsidRPr="0057700D">
        <w:rPr>
          <w:rFonts w:ascii="Century Schoolbook" w:eastAsia="Calibri" w:hAnsi="Century Schoolbook" w:cs="Times New Roman"/>
          <w:sz w:val="26"/>
          <w:szCs w:val="26"/>
        </w:rPr>
        <w:instrText>143B-903</w:instrText>
      </w:r>
      <w:r w:rsidR="00825D98" w:rsidRPr="0057700D">
        <w:instrText xml:space="preserve">" \s "N.C.G.S. § 143B-903" \c 2 </w:instrText>
      </w:r>
      <w:r w:rsidR="00825D98" w:rsidRPr="0057700D">
        <w:rPr>
          <w:rFonts w:ascii="Century Schoolbook" w:eastAsia="Calibri" w:hAnsi="Century Schoolbook" w:cs="Times New Roman"/>
          <w:sz w:val="26"/>
          <w:szCs w:val="26"/>
        </w:rPr>
        <w:fldChar w:fldCharType="end"/>
      </w:r>
      <w:r w:rsidR="007B0F13" w:rsidRPr="0057700D">
        <w:rPr>
          <w:rFonts w:ascii="Century Schoolbook" w:eastAsia="Calibri" w:hAnsi="Century Schoolbook" w:cs="Times New Roman"/>
          <w:bCs/>
          <w:iCs/>
          <w:sz w:val="26"/>
          <w:szCs w:val="26"/>
        </w:rPr>
        <w:t>, to discover Officer Kuchen had stopped 299 drivers, 245 of whom were Black.  Mance testified that</w:t>
      </w:r>
      <w:r w:rsidR="00593821" w:rsidRPr="0057700D">
        <w:rPr>
          <w:rFonts w:ascii="Century Schoolbook" w:eastAsia="Calibri" w:hAnsi="Century Schoolbook" w:cs="Times New Roman"/>
          <w:bCs/>
          <w:iCs/>
          <w:sz w:val="26"/>
          <w:szCs w:val="26"/>
        </w:rPr>
        <w:t xml:space="preserve">, pursuant to </w:t>
      </w:r>
      <w:r w:rsidR="002D78E8" w:rsidRPr="0057700D">
        <w:rPr>
          <w:rFonts w:ascii="Century Schoolbook" w:eastAsia="Calibri" w:hAnsi="Century Schoolbook" w:cs="Times New Roman"/>
          <w:bCs/>
          <w:iCs/>
          <w:sz w:val="26"/>
          <w:szCs w:val="26"/>
        </w:rPr>
        <w:t xml:space="preserve">the </w:t>
      </w:r>
      <w:r w:rsidR="00593821" w:rsidRPr="0057700D">
        <w:rPr>
          <w:rFonts w:ascii="Century Schoolbook" w:eastAsia="Calibri" w:hAnsi="Century Schoolbook" w:cs="Times New Roman"/>
          <w:bCs/>
          <w:iCs/>
          <w:sz w:val="26"/>
          <w:szCs w:val="26"/>
        </w:rPr>
        <w:t xml:space="preserve">statute, </w:t>
      </w:r>
      <w:r w:rsidR="007B0F13" w:rsidRPr="0057700D">
        <w:rPr>
          <w:rFonts w:ascii="Century Schoolbook" w:eastAsia="Calibri" w:hAnsi="Century Schoolbook" w:cs="Times New Roman"/>
          <w:bCs/>
          <w:iCs/>
          <w:sz w:val="26"/>
          <w:szCs w:val="26"/>
        </w:rPr>
        <w:t xml:space="preserve">each officer in jurisdictions of over 10,000 people </w:t>
      </w:r>
      <w:r w:rsidR="00593821" w:rsidRPr="0057700D">
        <w:rPr>
          <w:rFonts w:ascii="Century Schoolbook" w:eastAsia="Calibri" w:hAnsi="Century Schoolbook" w:cs="Times New Roman"/>
          <w:bCs/>
          <w:iCs/>
          <w:sz w:val="26"/>
          <w:szCs w:val="26"/>
        </w:rPr>
        <w:t xml:space="preserve">is required to </w:t>
      </w:r>
      <w:r w:rsidR="007B0F13" w:rsidRPr="0057700D">
        <w:rPr>
          <w:rFonts w:ascii="Century Schoolbook" w:eastAsia="Calibri" w:hAnsi="Century Schoolbook" w:cs="Times New Roman"/>
          <w:bCs/>
          <w:iCs/>
          <w:sz w:val="26"/>
          <w:szCs w:val="26"/>
        </w:rPr>
        <w:t>report data from every traffic stop, excluding checkpoints.  The data entered does not include the exact location of each traffic stop,</w:t>
      </w:r>
      <w:r w:rsidR="007B0F13" w:rsidRPr="0057700D">
        <w:rPr>
          <w:rFonts w:ascii="Century Schoolbook" w:eastAsia="Calibri" w:hAnsi="Century Schoolbook" w:cs="Times New Roman"/>
          <w:bCs/>
          <w:iCs/>
          <w:sz w:val="26"/>
          <w:szCs w:val="26"/>
          <w:vertAlign w:val="superscript"/>
        </w:rPr>
        <w:footnoteReference w:id="4"/>
      </w:r>
      <w:r w:rsidR="007B0F13" w:rsidRPr="0057700D">
        <w:rPr>
          <w:rFonts w:ascii="Century Schoolbook" w:eastAsia="Calibri" w:hAnsi="Century Schoolbook" w:cs="Times New Roman"/>
          <w:bCs/>
          <w:iCs/>
          <w:sz w:val="26"/>
          <w:szCs w:val="26"/>
        </w:rPr>
        <w:t xml:space="preserve"> so </w:t>
      </w:r>
      <w:r w:rsidR="006A0DA1" w:rsidRPr="0057700D">
        <w:rPr>
          <w:rFonts w:ascii="Century Schoolbook" w:eastAsia="Calibri" w:hAnsi="Century Schoolbook" w:cs="Times New Roman"/>
          <w:bCs/>
          <w:iCs/>
          <w:sz w:val="26"/>
          <w:szCs w:val="26"/>
        </w:rPr>
        <w:t>Mance</w:t>
      </w:r>
      <w:r w:rsidR="007B0F13" w:rsidRPr="0057700D">
        <w:rPr>
          <w:rFonts w:ascii="Century Schoolbook" w:eastAsia="Calibri" w:hAnsi="Century Schoolbook" w:cs="Times New Roman"/>
          <w:bCs/>
          <w:iCs/>
          <w:sz w:val="26"/>
          <w:szCs w:val="26"/>
        </w:rPr>
        <w:t xml:space="preserve"> was unable to </w:t>
      </w:r>
      <w:r w:rsidR="00380652" w:rsidRPr="0057700D">
        <w:rPr>
          <w:rFonts w:ascii="Century Schoolbook" w:eastAsia="Calibri" w:hAnsi="Century Schoolbook" w:cs="Times New Roman"/>
          <w:bCs/>
          <w:iCs/>
          <w:sz w:val="26"/>
          <w:szCs w:val="26"/>
        </w:rPr>
        <w:t xml:space="preserve">testify </w:t>
      </w:r>
      <w:r w:rsidR="00100FE8" w:rsidRPr="0057700D">
        <w:rPr>
          <w:rFonts w:ascii="Century Schoolbook" w:eastAsia="Calibri" w:hAnsi="Century Schoolbook" w:cs="Times New Roman"/>
          <w:bCs/>
          <w:iCs/>
          <w:sz w:val="26"/>
          <w:szCs w:val="26"/>
        </w:rPr>
        <w:t xml:space="preserve">specifically </w:t>
      </w:r>
      <w:r w:rsidR="00380652" w:rsidRPr="0057700D">
        <w:rPr>
          <w:rFonts w:ascii="Century Schoolbook" w:eastAsia="Calibri" w:hAnsi="Century Schoolbook" w:cs="Times New Roman"/>
          <w:bCs/>
          <w:iCs/>
          <w:sz w:val="26"/>
          <w:szCs w:val="26"/>
        </w:rPr>
        <w:t xml:space="preserve">where the stops had occurred.  </w:t>
      </w:r>
      <w:r w:rsidR="0024169C" w:rsidRPr="0057700D">
        <w:rPr>
          <w:rFonts w:ascii="Century Schoolbook" w:eastAsia="Calibri" w:hAnsi="Century Schoolbook" w:cs="Times New Roman"/>
          <w:bCs/>
          <w:iCs/>
          <w:sz w:val="26"/>
          <w:szCs w:val="26"/>
        </w:rPr>
        <w:t>(</w:t>
      </w:r>
      <w:proofErr w:type="spellStart"/>
      <w:r w:rsidR="0024169C" w:rsidRPr="0057700D">
        <w:rPr>
          <w:rFonts w:ascii="Century Schoolbook" w:eastAsia="Calibri" w:hAnsi="Century Schoolbook" w:cs="Times New Roman"/>
          <w:bCs/>
          <w:iCs/>
          <w:sz w:val="26"/>
          <w:szCs w:val="26"/>
        </w:rPr>
        <w:t>Tpp</w:t>
      </w:r>
      <w:proofErr w:type="spellEnd"/>
      <w:r w:rsidR="0024169C" w:rsidRPr="0057700D">
        <w:rPr>
          <w:rFonts w:ascii="Century Schoolbook" w:eastAsia="Calibri" w:hAnsi="Century Schoolbook" w:cs="Times New Roman"/>
          <w:bCs/>
          <w:iCs/>
          <w:sz w:val="26"/>
          <w:szCs w:val="26"/>
        </w:rPr>
        <w:t xml:space="preserve"> </w:t>
      </w:r>
      <w:r w:rsidR="009A5C57" w:rsidRPr="0057700D">
        <w:rPr>
          <w:rFonts w:ascii="Century Schoolbook" w:eastAsia="Calibri" w:hAnsi="Century Schoolbook" w:cs="Times New Roman"/>
          <w:bCs/>
          <w:iCs/>
          <w:sz w:val="26"/>
          <w:szCs w:val="26"/>
        </w:rPr>
        <w:t>84</w:t>
      </w:r>
      <w:r w:rsidR="0024169C" w:rsidRPr="0057700D">
        <w:rPr>
          <w:rFonts w:ascii="Century Schoolbook" w:eastAsia="Calibri" w:hAnsi="Century Schoolbook" w:cs="Times New Roman"/>
          <w:bCs/>
          <w:iCs/>
          <w:sz w:val="26"/>
          <w:szCs w:val="26"/>
        </w:rPr>
        <w:t xml:space="preserve">-90) </w:t>
      </w:r>
      <w:r w:rsidR="007B0F13" w:rsidRPr="0057700D">
        <w:rPr>
          <w:rFonts w:ascii="Century Schoolbook" w:eastAsia="Calibri" w:hAnsi="Century Schoolbook" w:cs="Times New Roman"/>
          <w:bCs/>
          <w:iCs/>
          <w:sz w:val="26"/>
          <w:szCs w:val="26"/>
        </w:rPr>
        <w:t xml:space="preserve">  </w:t>
      </w:r>
    </w:p>
    <w:p w14:paraId="17EF95A3" w14:textId="61442FF5" w:rsidR="007B0F13" w:rsidRPr="0057700D" w:rsidRDefault="007B0F13" w:rsidP="007B0F13">
      <w:pPr>
        <w:spacing w:after="0" w:line="480" w:lineRule="auto"/>
        <w:ind w:firstLine="720"/>
        <w:rPr>
          <w:rFonts w:ascii="Century Schoolbook" w:eastAsia="Calibri" w:hAnsi="Century Schoolbook" w:cs="Times New Roman"/>
          <w:bCs/>
          <w:iCs/>
          <w:sz w:val="26"/>
          <w:szCs w:val="26"/>
        </w:rPr>
      </w:pPr>
      <w:r w:rsidRPr="0057700D">
        <w:rPr>
          <w:rFonts w:ascii="Century Schoolbook" w:eastAsia="Calibri" w:hAnsi="Century Schoolbook" w:cs="Times New Roman"/>
          <w:bCs/>
          <w:iCs/>
          <w:sz w:val="26"/>
          <w:szCs w:val="26"/>
        </w:rPr>
        <w:t>Mance reported that 82% of Kuchen’s stops were of Black drivers</w:t>
      </w:r>
      <w:r w:rsidR="00E25DD8" w:rsidRPr="0057700D">
        <w:rPr>
          <w:rFonts w:ascii="Century Schoolbook" w:eastAsia="Calibri" w:hAnsi="Century Schoolbook" w:cs="Times New Roman"/>
          <w:bCs/>
          <w:iCs/>
          <w:sz w:val="26"/>
          <w:szCs w:val="26"/>
        </w:rPr>
        <w:t xml:space="preserve">.  By </w:t>
      </w:r>
      <w:r w:rsidRPr="0057700D">
        <w:rPr>
          <w:rFonts w:ascii="Century Schoolbook" w:eastAsia="Calibri" w:hAnsi="Century Schoolbook" w:cs="Times New Roman"/>
          <w:bCs/>
          <w:iCs/>
          <w:sz w:val="26"/>
          <w:szCs w:val="26"/>
        </w:rPr>
        <w:t xml:space="preserve">comparison, of all Raleigh Police Department traffic stops </w:t>
      </w:r>
      <w:r w:rsidR="00593821" w:rsidRPr="0057700D">
        <w:rPr>
          <w:rFonts w:ascii="Century Schoolbook" w:eastAsia="Calibri" w:hAnsi="Century Schoolbook" w:cs="Times New Roman"/>
          <w:bCs/>
          <w:iCs/>
          <w:sz w:val="26"/>
          <w:szCs w:val="26"/>
        </w:rPr>
        <w:t xml:space="preserve">entered in the database </w:t>
      </w:r>
      <w:r w:rsidRPr="0057700D">
        <w:rPr>
          <w:rFonts w:ascii="Century Schoolbook" w:eastAsia="Calibri" w:hAnsi="Century Schoolbook" w:cs="Times New Roman"/>
          <w:bCs/>
          <w:iCs/>
          <w:sz w:val="26"/>
          <w:szCs w:val="26"/>
        </w:rPr>
        <w:t xml:space="preserve">since 2002, </w:t>
      </w:r>
      <w:r w:rsidR="009A5E86" w:rsidRPr="0057700D">
        <w:rPr>
          <w:rFonts w:ascii="Century Schoolbook" w:eastAsia="Calibri" w:hAnsi="Century Schoolbook" w:cs="Times New Roman"/>
          <w:bCs/>
          <w:iCs/>
          <w:sz w:val="26"/>
          <w:szCs w:val="26"/>
        </w:rPr>
        <w:t xml:space="preserve">numbering </w:t>
      </w:r>
      <w:r w:rsidR="00E25DD8" w:rsidRPr="0057700D">
        <w:rPr>
          <w:rFonts w:ascii="Century Schoolbook" w:eastAsia="Calibri" w:hAnsi="Century Schoolbook" w:cs="Times New Roman"/>
          <w:bCs/>
          <w:iCs/>
          <w:sz w:val="26"/>
          <w:szCs w:val="26"/>
        </w:rPr>
        <w:t xml:space="preserve">nearly one million stops, </w:t>
      </w:r>
      <w:r w:rsidRPr="0057700D">
        <w:rPr>
          <w:rFonts w:ascii="Century Schoolbook" w:eastAsia="Calibri" w:hAnsi="Century Schoolbook" w:cs="Times New Roman"/>
          <w:bCs/>
          <w:iCs/>
          <w:sz w:val="26"/>
          <w:szCs w:val="26"/>
        </w:rPr>
        <w:t xml:space="preserve">46% were </w:t>
      </w:r>
      <w:r w:rsidR="009A5E86" w:rsidRPr="0057700D">
        <w:rPr>
          <w:rFonts w:ascii="Century Schoolbook" w:eastAsia="Calibri" w:hAnsi="Century Schoolbook" w:cs="Times New Roman"/>
          <w:bCs/>
          <w:iCs/>
          <w:sz w:val="26"/>
          <w:szCs w:val="26"/>
        </w:rPr>
        <w:t>o</w:t>
      </w:r>
      <w:r w:rsidRPr="0057700D">
        <w:rPr>
          <w:rFonts w:ascii="Century Schoolbook" w:eastAsia="Calibri" w:hAnsi="Century Schoolbook" w:cs="Times New Roman"/>
          <w:bCs/>
          <w:iCs/>
          <w:sz w:val="26"/>
          <w:szCs w:val="26"/>
        </w:rPr>
        <w:t xml:space="preserve">f Black drivers.  </w:t>
      </w:r>
      <w:r w:rsidR="00E732FC" w:rsidRPr="0057700D">
        <w:rPr>
          <w:rFonts w:ascii="Century Schoolbook" w:eastAsia="Calibri" w:hAnsi="Century Schoolbook" w:cs="Times New Roman"/>
          <w:bCs/>
          <w:iCs/>
          <w:sz w:val="26"/>
          <w:szCs w:val="26"/>
        </w:rPr>
        <w:t>(</w:t>
      </w:r>
      <w:proofErr w:type="spellStart"/>
      <w:r w:rsidR="00E732FC" w:rsidRPr="0057700D">
        <w:rPr>
          <w:rFonts w:ascii="Century Schoolbook" w:eastAsia="Calibri" w:hAnsi="Century Schoolbook" w:cs="Times New Roman"/>
          <w:bCs/>
          <w:iCs/>
          <w:sz w:val="26"/>
          <w:szCs w:val="26"/>
        </w:rPr>
        <w:t>Tp</w:t>
      </w:r>
      <w:proofErr w:type="spellEnd"/>
      <w:r w:rsidR="00E732FC" w:rsidRPr="0057700D">
        <w:rPr>
          <w:rFonts w:ascii="Century Schoolbook" w:eastAsia="Calibri" w:hAnsi="Century Schoolbook" w:cs="Times New Roman"/>
          <w:bCs/>
          <w:iCs/>
          <w:sz w:val="26"/>
          <w:szCs w:val="26"/>
        </w:rPr>
        <w:t xml:space="preserve"> 90)</w:t>
      </w:r>
      <w:r w:rsidR="00E25DD8" w:rsidRPr="0057700D">
        <w:rPr>
          <w:rFonts w:ascii="Century Schoolbook" w:eastAsia="Calibri" w:hAnsi="Century Schoolbook" w:cs="Times New Roman"/>
          <w:bCs/>
          <w:iCs/>
          <w:sz w:val="26"/>
          <w:szCs w:val="26"/>
        </w:rPr>
        <w:t xml:space="preserve"> </w:t>
      </w:r>
      <w:r w:rsidR="0088423B" w:rsidRPr="0057700D">
        <w:rPr>
          <w:rFonts w:ascii="Century Schoolbook" w:eastAsia="Calibri" w:hAnsi="Century Schoolbook" w:cs="Times New Roman"/>
          <w:bCs/>
          <w:iCs/>
          <w:sz w:val="26"/>
          <w:szCs w:val="26"/>
        </w:rPr>
        <w:t xml:space="preserve"> </w:t>
      </w:r>
      <w:proofErr w:type="spellStart"/>
      <w:r w:rsidR="0088423B" w:rsidRPr="0057700D">
        <w:rPr>
          <w:rFonts w:ascii="Century Schoolbook" w:eastAsia="Calibri" w:hAnsi="Century Schoolbook" w:cs="Times New Roman"/>
          <w:bCs/>
          <w:iCs/>
          <w:sz w:val="26"/>
          <w:szCs w:val="26"/>
        </w:rPr>
        <w:t>Mance</w:t>
      </w:r>
      <w:proofErr w:type="spellEnd"/>
      <w:r w:rsidR="0088423B" w:rsidRPr="0057700D">
        <w:rPr>
          <w:rFonts w:ascii="Century Schoolbook" w:eastAsia="Calibri" w:hAnsi="Century Schoolbook" w:cs="Times New Roman"/>
          <w:bCs/>
          <w:iCs/>
          <w:sz w:val="26"/>
          <w:szCs w:val="26"/>
        </w:rPr>
        <w:t xml:space="preserve"> also reported that U.S. C</w:t>
      </w:r>
      <w:r w:rsidR="00B76ACB" w:rsidRPr="0057700D">
        <w:rPr>
          <w:rFonts w:ascii="Century Schoolbook" w:eastAsia="Calibri" w:hAnsi="Century Schoolbook" w:cs="Times New Roman"/>
          <w:bCs/>
          <w:iCs/>
          <w:sz w:val="26"/>
          <w:szCs w:val="26"/>
        </w:rPr>
        <w:t>en</w:t>
      </w:r>
      <w:r w:rsidRPr="0057700D">
        <w:rPr>
          <w:rFonts w:ascii="Century Schoolbook" w:eastAsia="Calibri" w:hAnsi="Century Schoolbook" w:cs="Times New Roman"/>
          <w:bCs/>
          <w:iCs/>
          <w:sz w:val="26"/>
          <w:szCs w:val="26"/>
        </w:rPr>
        <w:t>sus data from 2016 show</w:t>
      </w:r>
      <w:r w:rsidR="0088423B" w:rsidRPr="0057700D">
        <w:rPr>
          <w:rFonts w:ascii="Century Schoolbook" w:eastAsia="Calibri" w:hAnsi="Century Schoolbook" w:cs="Times New Roman"/>
          <w:bCs/>
          <w:iCs/>
          <w:sz w:val="26"/>
          <w:szCs w:val="26"/>
        </w:rPr>
        <w:t>ed</w:t>
      </w:r>
      <w:r w:rsidRPr="0057700D">
        <w:rPr>
          <w:rFonts w:ascii="Century Schoolbook" w:eastAsia="Calibri" w:hAnsi="Century Schoolbook" w:cs="Times New Roman"/>
          <w:bCs/>
          <w:iCs/>
          <w:sz w:val="26"/>
          <w:szCs w:val="26"/>
        </w:rPr>
        <w:t xml:space="preserve"> Black people then made up 28% of the population of Raleigh.  </w:t>
      </w:r>
      <w:r w:rsidR="00DE4BF0" w:rsidRPr="0057700D">
        <w:rPr>
          <w:rFonts w:ascii="Century Schoolbook" w:eastAsia="Calibri" w:hAnsi="Century Schoolbook" w:cs="Times New Roman"/>
          <w:bCs/>
          <w:iCs/>
          <w:sz w:val="26"/>
          <w:szCs w:val="26"/>
        </w:rPr>
        <w:t>(</w:t>
      </w:r>
      <w:proofErr w:type="spellStart"/>
      <w:r w:rsidR="00DE4BF0" w:rsidRPr="0057700D">
        <w:rPr>
          <w:rFonts w:ascii="Century Schoolbook" w:eastAsia="Calibri" w:hAnsi="Century Schoolbook" w:cs="Times New Roman"/>
          <w:bCs/>
          <w:iCs/>
          <w:sz w:val="26"/>
          <w:szCs w:val="26"/>
        </w:rPr>
        <w:t>Tp</w:t>
      </w:r>
      <w:proofErr w:type="spellEnd"/>
      <w:r w:rsidR="00DE4BF0" w:rsidRPr="0057700D">
        <w:rPr>
          <w:rFonts w:ascii="Century Schoolbook" w:eastAsia="Calibri" w:hAnsi="Century Schoolbook" w:cs="Times New Roman"/>
          <w:bCs/>
          <w:iCs/>
          <w:sz w:val="26"/>
          <w:szCs w:val="26"/>
        </w:rPr>
        <w:t xml:space="preserve"> 90)</w:t>
      </w:r>
    </w:p>
    <w:p w14:paraId="5D4C4CA1" w14:textId="2A171235" w:rsidR="007B0F13" w:rsidRPr="0057700D" w:rsidRDefault="007B0F13" w:rsidP="007B0F13">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lastRenderedPageBreak/>
        <w:t>An intern at the Wake County Public Defender’s office testified that he searched North Carolina’s criminal court database, ACIS, and found that, of all cases listing Officer Kuchen as a complainant, 166 of 204 people charged (or 81.4%) were Black.</w:t>
      </w:r>
      <w:r w:rsidR="00E94499" w:rsidRPr="0057700D">
        <w:rPr>
          <w:rFonts w:ascii="Century Schoolbook" w:eastAsia="Calibri" w:hAnsi="Century Schoolbook" w:cs="Times New Roman"/>
          <w:sz w:val="26"/>
          <w:szCs w:val="26"/>
        </w:rPr>
        <w:t xml:space="preserve">  (</w:t>
      </w:r>
      <w:proofErr w:type="spellStart"/>
      <w:r w:rsidR="00E94499" w:rsidRPr="0057700D">
        <w:rPr>
          <w:rFonts w:ascii="Century Schoolbook" w:eastAsia="Calibri" w:hAnsi="Century Schoolbook" w:cs="Times New Roman"/>
          <w:sz w:val="26"/>
          <w:szCs w:val="26"/>
        </w:rPr>
        <w:t>Tp</w:t>
      </w:r>
      <w:r w:rsidR="00F8172D" w:rsidRPr="0057700D">
        <w:rPr>
          <w:rFonts w:ascii="Century Schoolbook" w:eastAsia="Calibri" w:hAnsi="Century Schoolbook" w:cs="Times New Roman"/>
          <w:sz w:val="26"/>
          <w:szCs w:val="26"/>
        </w:rPr>
        <w:t>p</w:t>
      </w:r>
      <w:proofErr w:type="spellEnd"/>
      <w:r w:rsidR="00F8172D" w:rsidRPr="0057700D">
        <w:rPr>
          <w:rFonts w:ascii="Century Schoolbook" w:eastAsia="Calibri" w:hAnsi="Century Schoolbook" w:cs="Times New Roman"/>
          <w:sz w:val="26"/>
          <w:szCs w:val="26"/>
        </w:rPr>
        <w:t xml:space="preserve"> 103-</w:t>
      </w:r>
      <w:r w:rsidR="00752D29" w:rsidRPr="0057700D">
        <w:rPr>
          <w:rFonts w:ascii="Century Schoolbook" w:eastAsia="Calibri" w:hAnsi="Century Schoolbook" w:cs="Times New Roman"/>
          <w:sz w:val="26"/>
          <w:szCs w:val="26"/>
        </w:rPr>
        <w:t>04)</w:t>
      </w:r>
      <w:r w:rsidR="00E94499" w:rsidRPr="0057700D">
        <w:rPr>
          <w:rFonts w:ascii="Century Schoolbook" w:eastAsia="Calibri" w:hAnsi="Century Schoolbook" w:cs="Times New Roman"/>
          <w:sz w:val="26"/>
          <w:szCs w:val="26"/>
        </w:rPr>
        <w:t xml:space="preserve"> </w:t>
      </w:r>
    </w:p>
    <w:p w14:paraId="5324A217" w14:textId="5AACD1EB" w:rsidR="007B0F13" w:rsidRPr="0057700D" w:rsidRDefault="007B0F13" w:rsidP="007B0F13">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The defense also called Officer Kuchen.  </w:t>
      </w:r>
      <w:r w:rsidR="00E578F4" w:rsidRPr="0057700D">
        <w:rPr>
          <w:rFonts w:ascii="Century Schoolbook" w:eastAsia="Calibri" w:hAnsi="Century Schoolbook" w:cs="Times New Roman"/>
          <w:sz w:val="26"/>
          <w:szCs w:val="26"/>
        </w:rPr>
        <w:t xml:space="preserve">Kuchen had earlier </w:t>
      </w:r>
      <w:r w:rsidRPr="0057700D">
        <w:rPr>
          <w:rFonts w:ascii="Century Schoolbook" w:eastAsia="Calibri" w:hAnsi="Century Schoolbook" w:cs="Times New Roman"/>
          <w:sz w:val="26"/>
          <w:szCs w:val="26"/>
        </w:rPr>
        <w:t xml:space="preserve">testified his field training </w:t>
      </w:r>
      <w:r w:rsidR="00992E21" w:rsidRPr="0057700D">
        <w:rPr>
          <w:rFonts w:ascii="Century Schoolbook" w:eastAsia="Calibri" w:hAnsi="Century Schoolbook" w:cs="Times New Roman"/>
          <w:sz w:val="26"/>
          <w:szCs w:val="26"/>
        </w:rPr>
        <w:t xml:space="preserve">began in May 2017 and </w:t>
      </w:r>
      <w:r w:rsidRPr="0057700D">
        <w:rPr>
          <w:rFonts w:ascii="Century Schoolbook" w:eastAsia="Calibri" w:hAnsi="Century Schoolbook" w:cs="Times New Roman"/>
          <w:sz w:val="26"/>
          <w:szCs w:val="26"/>
        </w:rPr>
        <w:t xml:space="preserve">was split between the Raleigh Police Department’s southeast and northwest districts.  </w:t>
      </w:r>
      <w:r w:rsidR="0032166A" w:rsidRPr="0057700D">
        <w:rPr>
          <w:rFonts w:ascii="Century Schoolbook" w:eastAsia="Calibri" w:hAnsi="Century Schoolbook" w:cs="Times New Roman"/>
          <w:sz w:val="26"/>
          <w:szCs w:val="26"/>
        </w:rPr>
        <w:t>Wh</w:t>
      </w:r>
      <w:r w:rsidR="00357683" w:rsidRPr="0057700D">
        <w:rPr>
          <w:rFonts w:ascii="Century Schoolbook" w:eastAsia="Calibri" w:hAnsi="Century Schoolbook" w:cs="Times New Roman"/>
          <w:sz w:val="26"/>
          <w:szCs w:val="26"/>
        </w:rPr>
        <w:t>en</w:t>
      </w:r>
      <w:r w:rsidR="0032166A" w:rsidRPr="0057700D">
        <w:rPr>
          <w:rFonts w:ascii="Century Schoolbook" w:eastAsia="Calibri" w:hAnsi="Century Schoolbook" w:cs="Times New Roman"/>
          <w:sz w:val="26"/>
          <w:szCs w:val="26"/>
        </w:rPr>
        <w:t xml:space="preserve"> he </w:t>
      </w:r>
      <w:r w:rsidR="00357683" w:rsidRPr="0057700D">
        <w:rPr>
          <w:rFonts w:ascii="Century Schoolbook" w:eastAsia="Calibri" w:hAnsi="Century Schoolbook" w:cs="Times New Roman"/>
          <w:sz w:val="26"/>
          <w:szCs w:val="26"/>
        </w:rPr>
        <w:t>rode</w:t>
      </w:r>
      <w:r w:rsidR="0032166A" w:rsidRPr="0057700D">
        <w:rPr>
          <w:rFonts w:ascii="Century Schoolbook" w:eastAsia="Calibri" w:hAnsi="Century Schoolbook" w:cs="Times New Roman"/>
          <w:sz w:val="26"/>
          <w:szCs w:val="26"/>
        </w:rPr>
        <w:t xml:space="preserve"> with a supervisor during his training, </w:t>
      </w:r>
      <w:r w:rsidRPr="0057700D">
        <w:rPr>
          <w:rFonts w:ascii="Century Schoolbook" w:eastAsia="Calibri" w:hAnsi="Century Schoolbook" w:cs="Times New Roman"/>
          <w:sz w:val="26"/>
          <w:szCs w:val="26"/>
        </w:rPr>
        <w:t xml:space="preserve">Kuchen initiated </w:t>
      </w:r>
      <w:r w:rsidR="00AC02ED" w:rsidRPr="0057700D">
        <w:rPr>
          <w:rFonts w:ascii="Century Schoolbook" w:eastAsia="Calibri" w:hAnsi="Century Schoolbook" w:cs="Times New Roman"/>
          <w:sz w:val="26"/>
          <w:szCs w:val="26"/>
        </w:rPr>
        <w:t xml:space="preserve">most of the </w:t>
      </w:r>
      <w:r w:rsidRPr="0057700D">
        <w:rPr>
          <w:rFonts w:ascii="Century Schoolbook" w:eastAsia="Calibri" w:hAnsi="Century Schoolbook" w:cs="Times New Roman"/>
          <w:sz w:val="26"/>
          <w:szCs w:val="26"/>
        </w:rPr>
        <w:t>stops.  When Kuchen began patrolling on his own in October 2017, he was assigned to the southeast district.  He did not have a specific beat</w:t>
      </w:r>
      <w:r w:rsidR="00DA6216" w:rsidRPr="0057700D">
        <w:rPr>
          <w:rFonts w:ascii="Century Schoolbook" w:eastAsia="Calibri" w:hAnsi="Century Schoolbook" w:cs="Times New Roman"/>
          <w:sz w:val="26"/>
          <w:szCs w:val="26"/>
        </w:rPr>
        <w:t>; he</w:t>
      </w:r>
      <w:r w:rsidRPr="0057700D">
        <w:rPr>
          <w:rFonts w:ascii="Century Schoolbook" w:eastAsia="Calibri" w:hAnsi="Century Schoolbook" w:cs="Times New Roman"/>
          <w:sz w:val="26"/>
          <w:szCs w:val="26"/>
        </w:rPr>
        <w:t xml:space="preserve"> </w:t>
      </w:r>
      <w:r w:rsidR="00DA6216" w:rsidRPr="0057700D">
        <w:rPr>
          <w:rFonts w:ascii="Century Schoolbook" w:eastAsia="Calibri" w:hAnsi="Century Schoolbook" w:cs="Times New Roman"/>
          <w:sz w:val="26"/>
          <w:szCs w:val="26"/>
        </w:rPr>
        <w:t>“</w:t>
      </w:r>
      <w:r w:rsidRPr="0057700D">
        <w:rPr>
          <w:rFonts w:ascii="Century Schoolbook" w:eastAsia="Calibri" w:hAnsi="Century Schoolbook" w:cs="Times New Roman"/>
          <w:sz w:val="26"/>
          <w:szCs w:val="26"/>
        </w:rPr>
        <w:t xml:space="preserve">floated around the entire district.”  </w:t>
      </w:r>
      <w:r w:rsidR="00D83771" w:rsidRPr="0057700D">
        <w:rPr>
          <w:rFonts w:ascii="Century Schoolbook" w:eastAsia="Calibri" w:hAnsi="Century Schoolbook" w:cs="Times New Roman"/>
          <w:sz w:val="26"/>
          <w:szCs w:val="26"/>
        </w:rPr>
        <w:t>(</w:t>
      </w:r>
      <w:proofErr w:type="spellStart"/>
      <w:r w:rsidR="00752D29" w:rsidRPr="0057700D">
        <w:rPr>
          <w:rFonts w:ascii="Century Schoolbook" w:eastAsia="Calibri" w:hAnsi="Century Schoolbook" w:cs="Times New Roman"/>
          <w:sz w:val="26"/>
          <w:szCs w:val="26"/>
        </w:rPr>
        <w:t>Tpp</w:t>
      </w:r>
      <w:proofErr w:type="spellEnd"/>
      <w:r w:rsidR="00752D29" w:rsidRPr="0057700D">
        <w:rPr>
          <w:rFonts w:ascii="Century Schoolbook" w:eastAsia="Calibri" w:hAnsi="Century Schoolbook" w:cs="Times New Roman"/>
          <w:sz w:val="26"/>
          <w:szCs w:val="26"/>
        </w:rPr>
        <w:t xml:space="preserve"> </w:t>
      </w:r>
      <w:r w:rsidR="002D262B" w:rsidRPr="0057700D">
        <w:rPr>
          <w:rFonts w:ascii="Century Schoolbook" w:eastAsia="Calibri" w:hAnsi="Century Schoolbook" w:cs="Times New Roman"/>
          <w:sz w:val="26"/>
          <w:szCs w:val="26"/>
        </w:rPr>
        <w:t>19-</w:t>
      </w:r>
      <w:r w:rsidR="00393237" w:rsidRPr="0057700D">
        <w:rPr>
          <w:rFonts w:ascii="Century Schoolbook" w:eastAsia="Calibri" w:hAnsi="Century Schoolbook" w:cs="Times New Roman"/>
          <w:sz w:val="26"/>
          <w:szCs w:val="26"/>
        </w:rPr>
        <w:t>23)</w:t>
      </w:r>
      <w:r w:rsidR="00752D29" w:rsidRPr="0057700D">
        <w:rPr>
          <w:rFonts w:ascii="Century Schoolbook" w:eastAsia="Calibri" w:hAnsi="Century Schoolbook" w:cs="Times New Roman"/>
          <w:sz w:val="26"/>
          <w:szCs w:val="26"/>
        </w:rPr>
        <w:t xml:space="preserve"> </w:t>
      </w:r>
    </w:p>
    <w:p w14:paraId="3F6B31E2" w14:textId="00DFDFE6" w:rsidR="007B0F13" w:rsidRPr="0057700D" w:rsidRDefault="007B0F13" w:rsidP="007B0F13">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Kuchen testified that the southeast district included wealthier areas such as Oakwood, Lions Park, and Wake Medical Center.  </w:t>
      </w:r>
      <w:r w:rsidR="002A67A5" w:rsidRPr="0057700D">
        <w:rPr>
          <w:rFonts w:ascii="Century Schoolbook" w:eastAsia="Calibri" w:hAnsi="Century Schoolbook" w:cs="Times New Roman"/>
          <w:sz w:val="26"/>
          <w:szCs w:val="26"/>
        </w:rPr>
        <w:t>The district</w:t>
      </w:r>
      <w:r w:rsidRPr="0057700D">
        <w:rPr>
          <w:rFonts w:ascii="Century Schoolbook" w:eastAsia="Calibri" w:hAnsi="Century Schoolbook" w:cs="Times New Roman"/>
          <w:sz w:val="26"/>
          <w:szCs w:val="26"/>
        </w:rPr>
        <w:t xml:space="preserve"> included portions of major thoroughfares to downtown, such as New Bern Avenue and Capital Boulevard, which he sometimes patrolled during rush hour.  </w:t>
      </w:r>
      <w:r w:rsidR="002A67A5" w:rsidRPr="0057700D">
        <w:rPr>
          <w:rFonts w:ascii="Century Schoolbook" w:eastAsia="Calibri" w:hAnsi="Century Schoolbook" w:cs="Times New Roman"/>
          <w:sz w:val="26"/>
          <w:szCs w:val="26"/>
        </w:rPr>
        <w:t>Kuchen</w:t>
      </w:r>
      <w:r w:rsidRPr="0057700D">
        <w:rPr>
          <w:rFonts w:ascii="Century Schoolbook" w:eastAsia="Calibri" w:hAnsi="Century Schoolbook" w:cs="Times New Roman"/>
          <w:sz w:val="26"/>
          <w:szCs w:val="26"/>
        </w:rPr>
        <w:t xml:space="preserve"> did not know the racial makeup of the southeast district, nor of Raleigh as a whole.</w:t>
      </w:r>
      <w:r w:rsidR="0062216C" w:rsidRPr="0057700D">
        <w:rPr>
          <w:rFonts w:ascii="Century Schoolbook" w:eastAsia="Calibri" w:hAnsi="Century Schoolbook" w:cs="Times New Roman"/>
          <w:sz w:val="26"/>
          <w:szCs w:val="26"/>
        </w:rPr>
        <w:t xml:space="preserve">  (</w:t>
      </w:r>
      <w:proofErr w:type="spellStart"/>
      <w:r w:rsidR="0062216C" w:rsidRPr="0057700D">
        <w:rPr>
          <w:rFonts w:ascii="Century Schoolbook" w:eastAsia="Calibri" w:hAnsi="Century Schoolbook" w:cs="Times New Roman"/>
          <w:sz w:val="26"/>
          <w:szCs w:val="26"/>
        </w:rPr>
        <w:t>Tpp</w:t>
      </w:r>
      <w:proofErr w:type="spellEnd"/>
      <w:r w:rsidR="0062216C" w:rsidRPr="0057700D">
        <w:rPr>
          <w:rFonts w:ascii="Century Schoolbook" w:eastAsia="Calibri" w:hAnsi="Century Schoolbook" w:cs="Times New Roman"/>
          <w:sz w:val="26"/>
          <w:szCs w:val="26"/>
        </w:rPr>
        <w:t xml:space="preserve"> 11</w:t>
      </w:r>
      <w:r w:rsidR="008038B3" w:rsidRPr="0057700D">
        <w:rPr>
          <w:rFonts w:ascii="Century Schoolbook" w:eastAsia="Calibri" w:hAnsi="Century Schoolbook" w:cs="Times New Roman"/>
          <w:sz w:val="26"/>
          <w:szCs w:val="26"/>
        </w:rPr>
        <w:t>3-</w:t>
      </w:r>
      <w:r w:rsidR="00E578F4" w:rsidRPr="0057700D">
        <w:rPr>
          <w:rFonts w:ascii="Century Schoolbook" w:eastAsia="Calibri" w:hAnsi="Century Schoolbook" w:cs="Times New Roman"/>
          <w:sz w:val="26"/>
          <w:szCs w:val="26"/>
        </w:rPr>
        <w:t>15)</w:t>
      </w:r>
    </w:p>
    <w:p w14:paraId="0E6589AA" w14:textId="3509A7C9" w:rsidR="007B0F13" w:rsidRPr="0057700D" w:rsidRDefault="007B0F13" w:rsidP="007B0F13">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The State did not </w:t>
      </w:r>
      <w:r w:rsidR="00CB0257" w:rsidRPr="0057700D">
        <w:rPr>
          <w:rFonts w:ascii="Century Schoolbook" w:eastAsia="Calibri" w:hAnsi="Century Schoolbook" w:cs="Times New Roman"/>
          <w:sz w:val="26"/>
          <w:szCs w:val="26"/>
        </w:rPr>
        <w:t xml:space="preserve">question Kuchen during the </w:t>
      </w:r>
      <w:r w:rsidR="00532BCB" w:rsidRPr="0057700D">
        <w:rPr>
          <w:rFonts w:ascii="Century Schoolbook" w:eastAsia="Calibri" w:hAnsi="Century Schoolbook" w:cs="Times New Roman"/>
          <w:sz w:val="26"/>
          <w:szCs w:val="26"/>
        </w:rPr>
        <w:t xml:space="preserve">equal protection </w:t>
      </w:r>
      <w:r w:rsidR="00CB0257" w:rsidRPr="0057700D">
        <w:rPr>
          <w:rFonts w:ascii="Century Schoolbook" w:eastAsia="Calibri" w:hAnsi="Century Schoolbook" w:cs="Times New Roman"/>
          <w:sz w:val="26"/>
          <w:szCs w:val="26"/>
        </w:rPr>
        <w:t>portion of the hearing</w:t>
      </w:r>
      <w:r w:rsidR="003A7954" w:rsidRPr="0057700D">
        <w:rPr>
          <w:rFonts w:ascii="Century Schoolbook" w:eastAsia="Calibri" w:hAnsi="Century Schoolbook" w:cs="Times New Roman"/>
          <w:sz w:val="26"/>
          <w:szCs w:val="26"/>
        </w:rPr>
        <w:t>, n</w:t>
      </w:r>
      <w:r w:rsidR="00CB0257" w:rsidRPr="0057700D">
        <w:rPr>
          <w:rFonts w:ascii="Century Schoolbook" w:eastAsia="Calibri" w:hAnsi="Century Schoolbook" w:cs="Times New Roman"/>
          <w:sz w:val="26"/>
          <w:szCs w:val="26"/>
        </w:rPr>
        <w:t>or did it call any other witness or present any evidence</w:t>
      </w:r>
      <w:r w:rsidR="006449A3" w:rsidRPr="0057700D">
        <w:rPr>
          <w:rFonts w:ascii="Century Schoolbook" w:eastAsia="Calibri" w:hAnsi="Century Schoolbook" w:cs="Times New Roman"/>
          <w:sz w:val="26"/>
          <w:szCs w:val="26"/>
        </w:rPr>
        <w:t xml:space="preserve"> other than the one-page trespass agreement between Raleigh North and the </w:t>
      </w:r>
      <w:r w:rsidR="006449A3" w:rsidRPr="0057700D">
        <w:rPr>
          <w:rFonts w:ascii="Century Schoolbook" w:eastAsia="Calibri" w:hAnsi="Century Schoolbook" w:cs="Times New Roman"/>
          <w:sz w:val="26"/>
          <w:szCs w:val="26"/>
        </w:rPr>
        <w:lastRenderedPageBreak/>
        <w:t>Raleigh police department.  (Rp 31)</w:t>
      </w:r>
      <w:r w:rsidR="00CB0257" w:rsidRPr="0057700D">
        <w:rPr>
          <w:rFonts w:ascii="Century Schoolbook" w:eastAsia="Calibri" w:hAnsi="Century Schoolbook" w:cs="Times New Roman"/>
          <w:sz w:val="26"/>
          <w:szCs w:val="26"/>
        </w:rPr>
        <w:t xml:space="preserve">  The State did not </w:t>
      </w:r>
      <w:r w:rsidRPr="0057700D">
        <w:rPr>
          <w:rFonts w:ascii="Century Schoolbook" w:eastAsia="Calibri" w:hAnsi="Century Schoolbook" w:cs="Times New Roman"/>
          <w:sz w:val="26"/>
          <w:szCs w:val="26"/>
        </w:rPr>
        <w:t xml:space="preserve">ask Kuchen </w:t>
      </w:r>
      <w:r w:rsidR="008E3A26" w:rsidRPr="0057700D">
        <w:rPr>
          <w:rFonts w:ascii="Century Schoolbook" w:eastAsia="Calibri" w:hAnsi="Century Schoolbook" w:cs="Times New Roman"/>
          <w:sz w:val="26"/>
          <w:szCs w:val="26"/>
        </w:rPr>
        <w:t>whether he was the officer identified in the traffic stop database, nor how Kuchen would explain the statistics that showed he disproportionately stopped and arrested Black people</w:t>
      </w:r>
      <w:r w:rsidR="003A24A7" w:rsidRPr="0057700D">
        <w:rPr>
          <w:rFonts w:ascii="Century Schoolbook" w:eastAsia="Calibri" w:hAnsi="Century Schoolbook" w:cs="Times New Roman"/>
          <w:sz w:val="26"/>
          <w:szCs w:val="26"/>
        </w:rPr>
        <w:t xml:space="preserve">.  </w:t>
      </w:r>
      <w:r w:rsidR="009124F5" w:rsidRPr="0057700D">
        <w:rPr>
          <w:rFonts w:ascii="Century Schoolbook" w:eastAsia="Calibri" w:hAnsi="Century Schoolbook" w:cs="Times New Roman"/>
          <w:sz w:val="26"/>
          <w:szCs w:val="26"/>
        </w:rPr>
        <w:t>(</w:t>
      </w:r>
      <w:proofErr w:type="spellStart"/>
      <w:r w:rsidR="009124F5" w:rsidRPr="0057700D">
        <w:rPr>
          <w:rFonts w:ascii="Century Schoolbook" w:eastAsia="Calibri" w:hAnsi="Century Schoolbook" w:cs="Times New Roman"/>
          <w:sz w:val="26"/>
          <w:szCs w:val="26"/>
        </w:rPr>
        <w:t>Tp</w:t>
      </w:r>
      <w:proofErr w:type="spellEnd"/>
      <w:r w:rsidR="009124F5" w:rsidRPr="0057700D">
        <w:rPr>
          <w:rFonts w:ascii="Century Schoolbook" w:eastAsia="Calibri" w:hAnsi="Century Schoolbook" w:cs="Times New Roman"/>
          <w:sz w:val="26"/>
          <w:szCs w:val="26"/>
        </w:rPr>
        <w:t xml:space="preserve"> </w:t>
      </w:r>
      <w:r w:rsidR="00A378F0" w:rsidRPr="0057700D">
        <w:rPr>
          <w:rFonts w:ascii="Century Schoolbook" w:eastAsia="Calibri" w:hAnsi="Century Schoolbook" w:cs="Times New Roman"/>
          <w:sz w:val="26"/>
          <w:szCs w:val="26"/>
        </w:rPr>
        <w:t>116</w:t>
      </w:r>
      <w:r w:rsidR="009124F5" w:rsidRPr="0057700D">
        <w:rPr>
          <w:rFonts w:ascii="Century Schoolbook" w:eastAsia="Calibri" w:hAnsi="Century Schoolbook" w:cs="Times New Roman"/>
          <w:sz w:val="26"/>
          <w:szCs w:val="26"/>
        </w:rPr>
        <w:t xml:space="preserve">)  </w:t>
      </w:r>
    </w:p>
    <w:p w14:paraId="1C6FD915" w14:textId="77777777" w:rsidR="007B0F13" w:rsidRPr="0057700D" w:rsidRDefault="007B0F13" w:rsidP="007B0F13">
      <w:pPr>
        <w:spacing w:after="0" w:line="480" w:lineRule="auto"/>
        <w:ind w:firstLine="720"/>
        <w:rPr>
          <w:rFonts w:ascii="Century Schoolbook" w:eastAsia="Calibri" w:hAnsi="Century Schoolbook" w:cs="Times New Roman"/>
          <w:b/>
          <w:bCs/>
          <w:i/>
          <w:iCs/>
          <w:sz w:val="26"/>
          <w:szCs w:val="26"/>
        </w:rPr>
      </w:pPr>
      <w:r w:rsidRPr="0057700D">
        <w:rPr>
          <w:rFonts w:ascii="Century Schoolbook" w:eastAsia="Calibri" w:hAnsi="Century Schoolbook" w:cs="Times New Roman"/>
          <w:b/>
          <w:bCs/>
          <w:i/>
          <w:iCs/>
          <w:sz w:val="26"/>
          <w:szCs w:val="26"/>
        </w:rPr>
        <w:t>Appeal</w:t>
      </w:r>
    </w:p>
    <w:p w14:paraId="09E7CEB4" w14:textId="793A80C5" w:rsidR="007B0F13" w:rsidRPr="0057700D" w:rsidRDefault="007B0F13" w:rsidP="007B0F13">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On appeal, Mr. Johnson challenged the trial court’s ruling on the </w:t>
      </w:r>
      <w:r w:rsidR="00844E8C" w:rsidRPr="0057700D">
        <w:rPr>
          <w:rFonts w:ascii="Century Schoolbook" w:eastAsia="Calibri" w:hAnsi="Century Schoolbook" w:cs="Times New Roman"/>
          <w:sz w:val="26"/>
          <w:szCs w:val="26"/>
        </w:rPr>
        <w:t>e</w:t>
      </w:r>
      <w:r w:rsidRPr="0057700D">
        <w:rPr>
          <w:rFonts w:ascii="Century Schoolbook" w:eastAsia="Calibri" w:hAnsi="Century Schoolbook" w:cs="Times New Roman"/>
          <w:sz w:val="26"/>
          <w:szCs w:val="26"/>
        </w:rPr>
        <w:t xml:space="preserve">qual </w:t>
      </w:r>
      <w:r w:rsidR="00844E8C" w:rsidRPr="0057700D">
        <w:rPr>
          <w:rFonts w:ascii="Century Schoolbook" w:eastAsia="Calibri" w:hAnsi="Century Schoolbook" w:cs="Times New Roman"/>
          <w:sz w:val="26"/>
          <w:szCs w:val="26"/>
        </w:rPr>
        <w:t>p</w:t>
      </w:r>
      <w:r w:rsidRPr="0057700D">
        <w:rPr>
          <w:rFonts w:ascii="Century Schoolbook" w:eastAsia="Calibri" w:hAnsi="Century Schoolbook" w:cs="Times New Roman"/>
          <w:sz w:val="26"/>
          <w:szCs w:val="26"/>
        </w:rPr>
        <w:t>rotection claim and argued that Officer Kuchen engaged in selective enforcement by approaching and detaining him.  Mr. Johnson argued th</w:t>
      </w:r>
      <w:r w:rsidR="00A10A59" w:rsidRPr="0057700D">
        <w:rPr>
          <w:rFonts w:ascii="Century Schoolbook" w:eastAsia="Calibri" w:hAnsi="Century Schoolbook" w:cs="Times New Roman"/>
          <w:sz w:val="26"/>
          <w:szCs w:val="26"/>
        </w:rPr>
        <w:t xml:space="preserve">at </w:t>
      </w:r>
      <w:r w:rsidRPr="0057700D">
        <w:rPr>
          <w:rFonts w:ascii="Century Schoolbook" w:eastAsia="Calibri" w:hAnsi="Century Schoolbook" w:cs="Times New Roman"/>
          <w:sz w:val="26"/>
          <w:szCs w:val="26"/>
        </w:rPr>
        <w:t xml:space="preserve">his statistical evidence supported an inference of </w:t>
      </w:r>
      <w:r w:rsidR="00BA559B" w:rsidRPr="0057700D">
        <w:rPr>
          <w:rFonts w:ascii="Century Schoolbook" w:eastAsia="Calibri" w:hAnsi="Century Schoolbook" w:cs="Times New Roman"/>
          <w:sz w:val="26"/>
          <w:szCs w:val="26"/>
        </w:rPr>
        <w:t xml:space="preserve">both </w:t>
      </w:r>
      <w:r w:rsidRPr="0057700D">
        <w:rPr>
          <w:rFonts w:ascii="Century Schoolbook" w:eastAsia="Calibri" w:hAnsi="Century Schoolbook" w:cs="Times New Roman"/>
          <w:sz w:val="26"/>
          <w:szCs w:val="26"/>
        </w:rPr>
        <w:t xml:space="preserve">discriminatory </w:t>
      </w:r>
      <w:r w:rsidR="003B4451" w:rsidRPr="0057700D">
        <w:rPr>
          <w:rFonts w:ascii="Century Schoolbook" w:eastAsia="Calibri" w:hAnsi="Century Schoolbook" w:cs="Times New Roman"/>
          <w:sz w:val="26"/>
          <w:szCs w:val="26"/>
        </w:rPr>
        <w:t>purpose</w:t>
      </w:r>
      <w:r w:rsidR="00BA559B" w:rsidRPr="0057700D">
        <w:rPr>
          <w:rFonts w:ascii="Century Schoolbook" w:eastAsia="Calibri" w:hAnsi="Century Schoolbook" w:cs="Times New Roman"/>
          <w:sz w:val="26"/>
          <w:szCs w:val="26"/>
        </w:rPr>
        <w:t xml:space="preserve"> and effect</w:t>
      </w:r>
      <w:r w:rsidRPr="0057700D">
        <w:rPr>
          <w:rFonts w:ascii="Century Schoolbook" w:eastAsia="Calibri" w:hAnsi="Century Schoolbook" w:cs="Times New Roman"/>
          <w:sz w:val="26"/>
          <w:szCs w:val="26"/>
        </w:rPr>
        <w:t xml:space="preserve">, </w:t>
      </w:r>
      <w:r w:rsidR="00FE6C2C" w:rsidRPr="0057700D">
        <w:rPr>
          <w:rFonts w:ascii="Century Schoolbook" w:eastAsia="Calibri" w:hAnsi="Century Schoolbook" w:cs="Times New Roman"/>
          <w:sz w:val="26"/>
          <w:szCs w:val="26"/>
        </w:rPr>
        <w:t xml:space="preserve">satisfying the required prima facie showing which then shifted </w:t>
      </w:r>
      <w:r w:rsidRPr="0057700D">
        <w:rPr>
          <w:rFonts w:ascii="Century Schoolbook" w:eastAsia="Calibri" w:hAnsi="Century Schoolbook" w:cs="Times New Roman"/>
          <w:sz w:val="26"/>
          <w:szCs w:val="26"/>
        </w:rPr>
        <w:t>the burden to the State.</w:t>
      </w:r>
      <w:r w:rsidR="00C155F6" w:rsidRPr="0057700D">
        <w:rPr>
          <w:rStyle w:val="FootnoteReference"/>
          <w:rFonts w:ascii="Century Schoolbook" w:eastAsia="Calibri" w:hAnsi="Century Schoolbook" w:cs="Times New Roman"/>
          <w:sz w:val="26"/>
          <w:szCs w:val="26"/>
        </w:rPr>
        <w:footnoteReference w:id="5"/>
      </w:r>
      <w:r w:rsidR="00C155F6"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sz w:val="26"/>
          <w:szCs w:val="26"/>
        </w:rPr>
        <w:t xml:space="preserve"> Mr. Johnson argued the trial court erred by holding his evidence did not raise an inference of discrimination, and that the State’s failure to rebut </w:t>
      </w:r>
      <w:r w:rsidR="00BA559B" w:rsidRPr="0057700D">
        <w:rPr>
          <w:rFonts w:ascii="Century Schoolbook" w:eastAsia="Calibri" w:hAnsi="Century Schoolbook" w:cs="Times New Roman"/>
          <w:sz w:val="26"/>
          <w:szCs w:val="26"/>
        </w:rPr>
        <w:t xml:space="preserve">the prima facie showing </w:t>
      </w:r>
      <w:r w:rsidRPr="0057700D">
        <w:rPr>
          <w:rFonts w:ascii="Century Schoolbook" w:eastAsia="Calibri" w:hAnsi="Century Schoolbook" w:cs="Times New Roman"/>
          <w:sz w:val="26"/>
          <w:szCs w:val="26"/>
        </w:rPr>
        <w:t>should have resulted in granting the suppression motion and excluding the evidence.</w:t>
      </w:r>
      <w:r w:rsidR="00A85443" w:rsidRPr="0057700D">
        <w:rPr>
          <w:rFonts w:ascii="Century Schoolbook" w:eastAsia="Calibri" w:hAnsi="Century Schoolbook" w:cs="Times New Roman"/>
          <w:sz w:val="26"/>
          <w:szCs w:val="26"/>
        </w:rPr>
        <w:t xml:space="preserve"> </w:t>
      </w:r>
      <w:r w:rsidR="00D4113F" w:rsidRPr="0057700D">
        <w:rPr>
          <w:rFonts w:ascii="Century Schoolbook" w:eastAsia="Calibri" w:hAnsi="Century Schoolbook" w:cs="Times New Roman"/>
          <w:sz w:val="26"/>
          <w:szCs w:val="26"/>
        </w:rPr>
        <w:t xml:space="preserve"> </w:t>
      </w:r>
    </w:p>
    <w:p w14:paraId="1CF17B3A" w14:textId="48126D48" w:rsidR="007B0F13" w:rsidRPr="0057700D" w:rsidRDefault="007B0F13" w:rsidP="007B0F13">
      <w:pPr>
        <w:spacing w:after="0" w:line="480" w:lineRule="auto"/>
        <w:ind w:firstLine="720"/>
        <w:rPr>
          <w:rFonts w:ascii="Century Schoolbook" w:eastAsia="Calibri" w:hAnsi="Century Schoolbook" w:cs="Times New Roman"/>
          <w:b/>
          <w:bCs/>
          <w:i/>
          <w:iCs/>
          <w:sz w:val="26"/>
          <w:szCs w:val="26"/>
        </w:rPr>
      </w:pPr>
      <w:r w:rsidRPr="0057700D">
        <w:rPr>
          <w:rFonts w:ascii="Century Schoolbook" w:eastAsia="Calibri" w:hAnsi="Century Schoolbook" w:cs="Times New Roman"/>
          <w:b/>
          <w:bCs/>
          <w:i/>
          <w:iCs/>
          <w:sz w:val="26"/>
          <w:szCs w:val="26"/>
        </w:rPr>
        <w:t>Court of Appeals opinion</w:t>
      </w:r>
    </w:p>
    <w:p w14:paraId="77111D82" w14:textId="364D3E51" w:rsidR="007B0F13" w:rsidRPr="0057700D" w:rsidRDefault="007B0F13" w:rsidP="007B0F13">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The panel opinion</w:t>
      </w:r>
      <w:r w:rsidR="002556D2" w:rsidRPr="0057700D">
        <w:rPr>
          <w:rStyle w:val="FootnoteReference"/>
          <w:rFonts w:ascii="Century Schoolbook" w:eastAsia="Calibri" w:hAnsi="Century Schoolbook" w:cs="Times New Roman"/>
          <w:sz w:val="26"/>
          <w:szCs w:val="26"/>
        </w:rPr>
        <w:footnoteReference w:id="6"/>
      </w:r>
      <w:r w:rsidRPr="0057700D">
        <w:rPr>
          <w:rFonts w:ascii="Century Schoolbook" w:eastAsia="Calibri" w:hAnsi="Century Schoolbook" w:cs="Times New Roman"/>
          <w:sz w:val="26"/>
          <w:szCs w:val="26"/>
        </w:rPr>
        <w:t xml:space="preserve"> acknowledged that selective enforcement of the law based on race violates both the United States and North Carolina </w:t>
      </w:r>
      <w:r w:rsidRPr="0057700D">
        <w:rPr>
          <w:rFonts w:ascii="Century Schoolbook" w:eastAsia="Calibri" w:hAnsi="Century Schoolbook" w:cs="Times New Roman"/>
          <w:sz w:val="26"/>
          <w:szCs w:val="26"/>
        </w:rPr>
        <w:lastRenderedPageBreak/>
        <w:t xml:space="preserve">Constitutions.  (Slip op at 10-11)  It held that a defendant has the initial burden of producing sufficient evidence to raise a reasonable inference of discrimination by showing discriminatory purpose and effect.  (Slip op at 12-13)  It acknowledged that “courts frequently rely on statistical evidence to establish this prong.”  (Slip op at 13)  It noted the statistics must contain “adequate population benchmarks from which a court can determine whether the complained-of law enforcement action has a discriminatory effect.”  (Slip op at 14)  It acknowledged that a discriminatory purpose can be inferred from “stark” statistics showing disparate impact.  (Slip op at 17)  It found that the statistics presented </w:t>
      </w:r>
      <w:r w:rsidR="000D342A" w:rsidRPr="0057700D">
        <w:rPr>
          <w:rFonts w:ascii="Century Schoolbook" w:eastAsia="Calibri" w:hAnsi="Century Schoolbook" w:cs="Times New Roman"/>
          <w:sz w:val="26"/>
          <w:szCs w:val="26"/>
        </w:rPr>
        <w:t xml:space="preserve">by Mr. Johnson </w:t>
      </w:r>
      <w:r w:rsidRPr="0057700D">
        <w:rPr>
          <w:rFonts w:ascii="Century Schoolbook" w:eastAsia="Calibri" w:hAnsi="Century Schoolbook" w:cs="Times New Roman"/>
          <w:sz w:val="26"/>
          <w:szCs w:val="26"/>
        </w:rPr>
        <w:t>“certainly appear[ed] ‘stark’ at first glance.”  However, it concluded Mr. Johnson did not present a prima facie case of selective enforcement because there was no “adequate population benchmark from which we can assess the racial compositions of individuals and motorists ‘faced by’ Officer Kuchen”</w:t>
      </w:r>
      <w:r w:rsidR="00B75AFF" w:rsidRPr="0057700D">
        <w:rPr>
          <w:rFonts w:ascii="Century Schoolbook" w:eastAsia="Calibri" w:hAnsi="Century Schoolbook" w:cs="Times New Roman"/>
          <w:sz w:val="26"/>
          <w:szCs w:val="26"/>
        </w:rPr>
        <w:t xml:space="preserve"> and because there was insufficient detail presented about Kuchen’s arrests.</w:t>
      </w:r>
      <w:r w:rsidRPr="0057700D">
        <w:rPr>
          <w:rFonts w:ascii="Century Schoolbook" w:eastAsia="Calibri" w:hAnsi="Century Schoolbook" w:cs="Times New Roman"/>
          <w:sz w:val="26"/>
          <w:szCs w:val="26"/>
        </w:rPr>
        <w:t xml:space="preserve">  (Slip op at 20-21)  </w:t>
      </w:r>
    </w:p>
    <w:p w14:paraId="05C9D591" w14:textId="6B74418B" w:rsidR="00611B18" w:rsidRPr="0057700D" w:rsidRDefault="00611B18" w:rsidP="007B0F13">
      <w:pPr>
        <w:spacing w:after="0" w:line="240" w:lineRule="auto"/>
        <w:jc w:val="center"/>
        <w:rPr>
          <w:rFonts w:ascii="Century Schoolbook" w:eastAsia="Calibri" w:hAnsi="Century Schoolbook" w:cs="Times New Roman"/>
          <w:b/>
          <w:bCs/>
          <w:sz w:val="26"/>
          <w:szCs w:val="26"/>
          <w:u w:val="single"/>
        </w:rPr>
      </w:pPr>
    </w:p>
    <w:p w14:paraId="660371FF" w14:textId="2D393142" w:rsidR="00B75AFF" w:rsidRPr="0057700D" w:rsidRDefault="00B75AFF" w:rsidP="007B0F13">
      <w:pPr>
        <w:spacing w:after="0" w:line="240" w:lineRule="auto"/>
        <w:jc w:val="center"/>
        <w:rPr>
          <w:rFonts w:ascii="Century Schoolbook" w:eastAsia="Calibri" w:hAnsi="Century Schoolbook" w:cs="Times New Roman"/>
          <w:b/>
          <w:bCs/>
          <w:sz w:val="26"/>
          <w:szCs w:val="26"/>
          <w:u w:val="single"/>
        </w:rPr>
      </w:pPr>
    </w:p>
    <w:p w14:paraId="062380DB" w14:textId="1B12F6CD" w:rsidR="00B75AFF" w:rsidRPr="0057700D" w:rsidRDefault="00B75AFF" w:rsidP="007B0F13">
      <w:pPr>
        <w:spacing w:after="0" w:line="240" w:lineRule="auto"/>
        <w:jc w:val="center"/>
        <w:rPr>
          <w:rFonts w:ascii="Century Schoolbook" w:eastAsia="Calibri" w:hAnsi="Century Schoolbook" w:cs="Times New Roman"/>
          <w:b/>
          <w:bCs/>
          <w:sz w:val="26"/>
          <w:szCs w:val="26"/>
          <w:u w:val="single"/>
        </w:rPr>
      </w:pPr>
    </w:p>
    <w:p w14:paraId="4192D483" w14:textId="38EF8EB7" w:rsidR="00B75AFF" w:rsidRPr="0057700D" w:rsidRDefault="00B75AFF" w:rsidP="007B0F13">
      <w:pPr>
        <w:spacing w:after="0" w:line="240" w:lineRule="auto"/>
        <w:jc w:val="center"/>
        <w:rPr>
          <w:rFonts w:ascii="Century Schoolbook" w:eastAsia="Calibri" w:hAnsi="Century Schoolbook" w:cs="Times New Roman"/>
          <w:b/>
          <w:bCs/>
          <w:sz w:val="26"/>
          <w:szCs w:val="26"/>
          <w:u w:val="single"/>
        </w:rPr>
      </w:pPr>
    </w:p>
    <w:p w14:paraId="5942D640" w14:textId="742231EF" w:rsidR="00B75AFF" w:rsidRPr="0057700D" w:rsidRDefault="00B75AFF" w:rsidP="007B0F13">
      <w:pPr>
        <w:spacing w:after="0" w:line="240" w:lineRule="auto"/>
        <w:jc w:val="center"/>
        <w:rPr>
          <w:rFonts w:ascii="Century Schoolbook" w:eastAsia="Calibri" w:hAnsi="Century Schoolbook" w:cs="Times New Roman"/>
          <w:b/>
          <w:bCs/>
          <w:sz w:val="26"/>
          <w:szCs w:val="26"/>
          <w:u w:val="single"/>
        </w:rPr>
      </w:pPr>
    </w:p>
    <w:p w14:paraId="5EE2921D" w14:textId="350C38C7" w:rsidR="00B75AFF" w:rsidRPr="0057700D" w:rsidRDefault="00B75AFF" w:rsidP="007B0F13">
      <w:pPr>
        <w:spacing w:after="0" w:line="240" w:lineRule="auto"/>
        <w:jc w:val="center"/>
        <w:rPr>
          <w:rFonts w:ascii="Century Schoolbook" w:eastAsia="Calibri" w:hAnsi="Century Schoolbook" w:cs="Times New Roman"/>
          <w:b/>
          <w:bCs/>
          <w:sz w:val="26"/>
          <w:szCs w:val="26"/>
          <w:u w:val="single"/>
        </w:rPr>
      </w:pPr>
    </w:p>
    <w:p w14:paraId="30EB06C1" w14:textId="436EF97F" w:rsidR="00B75AFF" w:rsidRPr="0057700D" w:rsidRDefault="00B75AFF" w:rsidP="007B0F13">
      <w:pPr>
        <w:spacing w:after="0" w:line="240" w:lineRule="auto"/>
        <w:jc w:val="center"/>
        <w:rPr>
          <w:rFonts w:ascii="Century Schoolbook" w:eastAsia="Calibri" w:hAnsi="Century Schoolbook" w:cs="Times New Roman"/>
          <w:b/>
          <w:bCs/>
          <w:sz w:val="26"/>
          <w:szCs w:val="26"/>
          <w:u w:val="single"/>
        </w:rPr>
      </w:pPr>
    </w:p>
    <w:p w14:paraId="13665FBF" w14:textId="5973D75C" w:rsidR="00B75AFF" w:rsidRPr="0057700D" w:rsidRDefault="00B75AFF" w:rsidP="007B0F13">
      <w:pPr>
        <w:spacing w:after="0" w:line="240" w:lineRule="auto"/>
        <w:jc w:val="center"/>
        <w:rPr>
          <w:rFonts w:ascii="Century Schoolbook" w:eastAsia="Calibri" w:hAnsi="Century Schoolbook" w:cs="Times New Roman"/>
          <w:b/>
          <w:bCs/>
          <w:sz w:val="26"/>
          <w:szCs w:val="26"/>
          <w:u w:val="single"/>
        </w:rPr>
      </w:pPr>
    </w:p>
    <w:p w14:paraId="4C19CE5F" w14:textId="150EE636" w:rsidR="00B75AFF" w:rsidRPr="0057700D" w:rsidRDefault="00B75AFF" w:rsidP="007B0F13">
      <w:pPr>
        <w:spacing w:after="0" w:line="240" w:lineRule="auto"/>
        <w:jc w:val="center"/>
        <w:rPr>
          <w:rFonts w:ascii="Century Schoolbook" w:eastAsia="Calibri" w:hAnsi="Century Schoolbook" w:cs="Times New Roman"/>
          <w:b/>
          <w:bCs/>
          <w:sz w:val="26"/>
          <w:szCs w:val="26"/>
          <w:u w:val="single"/>
        </w:rPr>
      </w:pPr>
    </w:p>
    <w:p w14:paraId="77A254F8" w14:textId="77777777" w:rsidR="00B75AFF" w:rsidRPr="0057700D" w:rsidRDefault="00B75AFF" w:rsidP="007B0F13">
      <w:pPr>
        <w:spacing w:after="0" w:line="240" w:lineRule="auto"/>
        <w:jc w:val="center"/>
        <w:rPr>
          <w:rFonts w:ascii="Century Schoolbook" w:eastAsia="Calibri" w:hAnsi="Century Schoolbook" w:cs="Times New Roman"/>
          <w:b/>
          <w:bCs/>
          <w:sz w:val="26"/>
          <w:szCs w:val="26"/>
          <w:u w:val="single"/>
        </w:rPr>
      </w:pPr>
    </w:p>
    <w:p w14:paraId="63D4882C" w14:textId="12C76066" w:rsidR="007B0F13" w:rsidRPr="0057700D" w:rsidRDefault="007B6C3D" w:rsidP="007B0F13">
      <w:pPr>
        <w:spacing w:after="0" w:line="240" w:lineRule="auto"/>
        <w:jc w:val="center"/>
        <w:rPr>
          <w:rFonts w:ascii="Century Schoolbook" w:eastAsia="Calibri" w:hAnsi="Century Schoolbook" w:cs="Times New Roman"/>
          <w:b/>
          <w:bCs/>
          <w:sz w:val="26"/>
          <w:szCs w:val="26"/>
          <w:u w:val="single"/>
        </w:rPr>
      </w:pPr>
      <w:r w:rsidRPr="0057700D">
        <w:rPr>
          <w:rFonts w:ascii="Century Schoolbook" w:eastAsia="Calibri" w:hAnsi="Century Schoolbook" w:cs="Times New Roman"/>
          <w:b/>
          <w:bCs/>
          <w:sz w:val="26"/>
          <w:szCs w:val="26"/>
          <w:u w:val="single"/>
        </w:rPr>
        <w:lastRenderedPageBreak/>
        <w:t>ARGUMENT</w:t>
      </w:r>
    </w:p>
    <w:p w14:paraId="6B78E5F6" w14:textId="77777777" w:rsidR="007B0F13" w:rsidRPr="0057700D" w:rsidRDefault="007B0F13" w:rsidP="007B0F13">
      <w:pPr>
        <w:spacing w:after="0" w:line="240" w:lineRule="auto"/>
        <w:jc w:val="center"/>
        <w:rPr>
          <w:rFonts w:ascii="Century Schoolbook" w:eastAsia="Calibri" w:hAnsi="Century Schoolbook" w:cs="Times New Roman"/>
          <w:b/>
          <w:bCs/>
          <w:sz w:val="26"/>
          <w:szCs w:val="26"/>
          <w:u w:val="single"/>
        </w:rPr>
      </w:pPr>
    </w:p>
    <w:p w14:paraId="1F0AE0D4" w14:textId="1E3EE94C" w:rsidR="00C26AEC" w:rsidRPr="0057700D" w:rsidRDefault="005D2615" w:rsidP="005D2615">
      <w:pPr>
        <w:spacing w:after="0" w:line="240" w:lineRule="auto"/>
        <w:ind w:left="720" w:hanging="720"/>
        <w:textAlignment w:val="baseline"/>
        <w:rPr>
          <w:rFonts w:ascii="Century Schoolbook" w:eastAsia="Calibri" w:hAnsi="Century Schoolbook" w:cs="Times New Roman"/>
          <w:b/>
          <w:bCs/>
          <w:sz w:val="26"/>
          <w:szCs w:val="26"/>
        </w:rPr>
      </w:pPr>
      <w:r w:rsidRPr="0057700D">
        <w:rPr>
          <w:rFonts w:ascii="Century Schoolbook" w:eastAsia="Calibri" w:hAnsi="Century Schoolbook" w:cs="Times New Roman"/>
          <w:b/>
          <w:bCs/>
          <w:sz w:val="26"/>
          <w:szCs w:val="26"/>
        </w:rPr>
        <w:t xml:space="preserve">I.  </w:t>
      </w:r>
      <w:r w:rsidRPr="0057700D">
        <w:rPr>
          <w:rFonts w:ascii="Century Schoolbook" w:eastAsia="Calibri" w:hAnsi="Century Schoolbook" w:cs="Times New Roman"/>
          <w:b/>
          <w:bCs/>
          <w:sz w:val="26"/>
          <w:szCs w:val="26"/>
        </w:rPr>
        <w:tab/>
      </w:r>
      <w:r w:rsidR="003C0E56" w:rsidRPr="0057700D">
        <w:rPr>
          <w:rFonts w:ascii="Century Schoolbook" w:eastAsia="Calibri" w:hAnsi="Century Schoolbook" w:cs="Times New Roman"/>
          <w:b/>
          <w:bCs/>
          <w:sz w:val="26"/>
          <w:szCs w:val="26"/>
        </w:rPr>
        <w:t xml:space="preserve">MR. JOHNSON </w:t>
      </w:r>
      <w:r w:rsidR="005B1AF6" w:rsidRPr="0057700D">
        <w:rPr>
          <w:rFonts w:ascii="Century Schoolbook" w:eastAsia="Calibri" w:hAnsi="Century Schoolbook" w:cs="Times New Roman"/>
          <w:b/>
          <w:bCs/>
          <w:sz w:val="26"/>
          <w:szCs w:val="26"/>
        </w:rPr>
        <w:t xml:space="preserve">PRESENTED </w:t>
      </w:r>
      <w:r w:rsidR="00B2271E" w:rsidRPr="0057700D">
        <w:rPr>
          <w:rFonts w:ascii="Century Schoolbook" w:eastAsia="Calibri" w:hAnsi="Century Schoolbook" w:cs="Times New Roman"/>
          <w:b/>
          <w:bCs/>
          <w:sz w:val="26"/>
          <w:szCs w:val="26"/>
        </w:rPr>
        <w:t xml:space="preserve">A PRIMA FACIE CASE OF DISCRIMINATION.  BECAUSE THE STATE FAILED TO OFFER A RACE-NEUTRAL EXPLANATION, </w:t>
      </w:r>
      <w:r w:rsidR="004D1D76" w:rsidRPr="0057700D">
        <w:rPr>
          <w:rFonts w:ascii="Century Schoolbook" w:eastAsia="Calibri" w:hAnsi="Century Schoolbook" w:cs="Times New Roman"/>
          <w:b/>
          <w:bCs/>
          <w:sz w:val="26"/>
          <w:szCs w:val="26"/>
        </w:rPr>
        <w:t>THE</w:t>
      </w:r>
      <w:r w:rsidR="003C0E56" w:rsidRPr="0057700D">
        <w:rPr>
          <w:rFonts w:ascii="Century Schoolbook" w:eastAsia="Calibri" w:hAnsi="Century Schoolbook" w:cs="Times New Roman"/>
          <w:b/>
          <w:bCs/>
          <w:sz w:val="26"/>
          <w:szCs w:val="26"/>
        </w:rPr>
        <w:t xml:space="preserve"> EQUAL PROTECTION VIOLATION</w:t>
      </w:r>
      <w:r w:rsidR="00B2271E" w:rsidRPr="0057700D">
        <w:rPr>
          <w:rFonts w:ascii="Century Schoolbook" w:eastAsia="Calibri" w:hAnsi="Century Schoolbook" w:cs="Times New Roman"/>
          <w:b/>
          <w:bCs/>
          <w:sz w:val="26"/>
          <w:szCs w:val="26"/>
        </w:rPr>
        <w:t xml:space="preserve"> WAS ESTABLISHED</w:t>
      </w:r>
      <w:r w:rsidR="003C0E56" w:rsidRPr="0057700D">
        <w:rPr>
          <w:rFonts w:ascii="Century Schoolbook" w:eastAsia="Calibri" w:hAnsi="Century Schoolbook" w:cs="Times New Roman"/>
          <w:b/>
          <w:bCs/>
          <w:sz w:val="26"/>
          <w:szCs w:val="26"/>
        </w:rPr>
        <w:t xml:space="preserve">.  </w:t>
      </w:r>
    </w:p>
    <w:p w14:paraId="49334D69" w14:textId="77777777" w:rsidR="005D2615" w:rsidRPr="0057700D" w:rsidRDefault="005D2615" w:rsidP="005D2615">
      <w:pPr>
        <w:spacing w:after="0" w:line="240" w:lineRule="auto"/>
        <w:ind w:left="720" w:hanging="720"/>
        <w:textAlignment w:val="baseline"/>
        <w:rPr>
          <w:rFonts w:ascii="Century Schoolbook" w:eastAsia="Calibri" w:hAnsi="Century Schoolbook" w:cs="Times New Roman"/>
          <w:sz w:val="26"/>
          <w:szCs w:val="26"/>
        </w:rPr>
      </w:pPr>
    </w:p>
    <w:p w14:paraId="0659C871" w14:textId="70A7A26C" w:rsidR="008A3439" w:rsidRPr="0057700D" w:rsidRDefault="002D25DB" w:rsidP="002D25DB">
      <w:pPr>
        <w:spacing w:after="0" w:line="480" w:lineRule="auto"/>
        <w:ind w:firstLine="720"/>
        <w:textAlignment w:val="baseline"/>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Mr. Johnson introduced prima facie evidence of </w:t>
      </w:r>
      <w:r w:rsidR="00403404" w:rsidRPr="0057700D">
        <w:rPr>
          <w:rFonts w:ascii="Century Schoolbook" w:eastAsia="Calibri" w:hAnsi="Century Schoolbook" w:cs="Times New Roman"/>
          <w:sz w:val="26"/>
          <w:szCs w:val="26"/>
        </w:rPr>
        <w:t>selective enforcement</w:t>
      </w:r>
      <w:r w:rsidRPr="0057700D">
        <w:rPr>
          <w:rFonts w:ascii="Century Schoolbook" w:eastAsia="Calibri" w:hAnsi="Century Schoolbook" w:cs="Times New Roman"/>
          <w:sz w:val="26"/>
          <w:szCs w:val="26"/>
        </w:rPr>
        <w:t xml:space="preserve">, including data showing that 82% of the traffic stops initiated by </w:t>
      </w:r>
      <w:r w:rsidR="004D3974" w:rsidRPr="0057700D">
        <w:rPr>
          <w:rFonts w:ascii="Century Schoolbook" w:eastAsia="Calibri" w:hAnsi="Century Schoolbook" w:cs="Times New Roman"/>
          <w:sz w:val="26"/>
          <w:szCs w:val="26"/>
        </w:rPr>
        <w:t xml:space="preserve">Officer Kuchen </w:t>
      </w:r>
      <w:r w:rsidRPr="0057700D">
        <w:rPr>
          <w:rFonts w:ascii="Century Schoolbook" w:eastAsia="Calibri" w:hAnsi="Century Schoolbook" w:cs="Times New Roman"/>
          <w:sz w:val="26"/>
          <w:szCs w:val="26"/>
        </w:rPr>
        <w:t>were of Black people, in a city where the Black population was 28%</w:t>
      </w:r>
      <w:r w:rsidR="00984BEB" w:rsidRPr="0057700D">
        <w:rPr>
          <w:rFonts w:ascii="Century Schoolbook" w:eastAsia="Calibri" w:hAnsi="Century Schoolbook" w:cs="Times New Roman"/>
          <w:sz w:val="26"/>
          <w:szCs w:val="26"/>
        </w:rPr>
        <w:t xml:space="preserve">.  </w:t>
      </w:r>
      <w:r w:rsidR="000163B1" w:rsidRPr="0057700D">
        <w:rPr>
          <w:rFonts w:ascii="Century Schoolbook" w:eastAsia="Calibri" w:hAnsi="Century Schoolbook" w:cs="Times New Roman"/>
          <w:sz w:val="26"/>
          <w:szCs w:val="26"/>
        </w:rPr>
        <w:t>The State</w:t>
      </w:r>
      <w:r w:rsidR="00984BEB" w:rsidRPr="0057700D">
        <w:rPr>
          <w:rFonts w:ascii="Century Schoolbook" w:eastAsia="Calibri" w:hAnsi="Century Schoolbook" w:cs="Times New Roman"/>
          <w:sz w:val="26"/>
          <w:szCs w:val="26"/>
        </w:rPr>
        <w:t xml:space="preserve"> did</w:t>
      </w:r>
      <w:r w:rsidRPr="0057700D">
        <w:rPr>
          <w:rFonts w:ascii="Century Schoolbook" w:eastAsia="Calibri" w:hAnsi="Century Schoolbook" w:cs="Times New Roman"/>
          <w:sz w:val="26"/>
          <w:szCs w:val="26"/>
        </w:rPr>
        <w:t xml:space="preserve"> not provide an explanation that refuted </w:t>
      </w:r>
      <w:r w:rsidR="008813A9" w:rsidRPr="0057700D">
        <w:rPr>
          <w:rFonts w:ascii="Century Schoolbook" w:eastAsia="Calibri" w:hAnsi="Century Schoolbook" w:cs="Times New Roman"/>
          <w:sz w:val="26"/>
          <w:szCs w:val="26"/>
        </w:rPr>
        <w:t xml:space="preserve">unconstitutional </w:t>
      </w:r>
      <w:r w:rsidRPr="0057700D">
        <w:rPr>
          <w:rFonts w:ascii="Century Schoolbook" w:eastAsia="Calibri" w:hAnsi="Century Schoolbook" w:cs="Times New Roman"/>
          <w:sz w:val="26"/>
          <w:szCs w:val="26"/>
        </w:rPr>
        <w:t>racial profiling</w:t>
      </w:r>
      <w:r w:rsidR="004D3974" w:rsidRPr="0057700D">
        <w:rPr>
          <w:rFonts w:ascii="Century Schoolbook" w:eastAsia="Calibri" w:hAnsi="Century Schoolbook" w:cs="Times New Roman"/>
          <w:sz w:val="26"/>
          <w:szCs w:val="26"/>
        </w:rPr>
        <w:t xml:space="preserve">.  </w:t>
      </w:r>
      <w:r w:rsidR="00984BEB" w:rsidRPr="0057700D">
        <w:rPr>
          <w:rFonts w:ascii="Century Schoolbook" w:eastAsia="Calibri" w:hAnsi="Century Schoolbook" w:cs="Times New Roman"/>
          <w:sz w:val="26"/>
          <w:szCs w:val="26"/>
        </w:rPr>
        <w:t xml:space="preserve">Mr. Johnson’s </w:t>
      </w:r>
      <w:r w:rsidR="005B1AF6" w:rsidRPr="0057700D">
        <w:rPr>
          <w:rFonts w:ascii="Century Schoolbook" w:eastAsia="Calibri" w:hAnsi="Century Schoolbook" w:cs="Times New Roman"/>
          <w:sz w:val="26"/>
          <w:szCs w:val="26"/>
        </w:rPr>
        <w:t>motion to suppress should have been granted</w:t>
      </w:r>
      <w:r w:rsidR="00984BEB"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sz w:val="26"/>
          <w:szCs w:val="26"/>
        </w:rPr>
        <w:t xml:space="preserve"> </w:t>
      </w:r>
    </w:p>
    <w:p w14:paraId="10F88716" w14:textId="05CE88A0" w:rsidR="002D25DB" w:rsidRPr="0057700D" w:rsidRDefault="00B44ADD" w:rsidP="008A3439">
      <w:pPr>
        <w:spacing w:after="0" w:line="480" w:lineRule="auto"/>
        <w:ind w:firstLine="720"/>
        <w:textAlignment w:val="baseline"/>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The </w:t>
      </w:r>
      <w:r w:rsidR="003E320E" w:rsidRPr="0057700D">
        <w:rPr>
          <w:rFonts w:ascii="Century Schoolbook" w:eastAsia="Calibri" w:hAnsi="Century Schoolbook" w:cs="Times New Roman"/>
          <w:sz w:val="26"/>
          <w:szCs w:val="26"/>
        </w:rPr>
        <w:t xml:space="preserve">factual </w:t>
      </w:r>
      <w:r w:rsidRPr="0057700D">
        <w:rPr>
          <w:rFonts w:ascii="Century Schoolbook" w:eastAsia="Calibri" w:hAnsi="Century Schoolbook" w:cs="Times New Roman"/>
          <w:sz w:val="26"/>
          <w:szCs w:val="26"/>
        </w:rPr>
        <w:t xml:space="preserve">burden set by the panel </w:t>
      </w:r>
      <w:r w:rsidR="0018755F" w:rsidRPr="0057700D">
        <w:rPr>
          <w:rFonts w:ascii="Century Schoolbook" w:eastAsia="Calibri" w:hAnsi="Century Schoolbook" w:cs="Times New Roman"/>
          <w:sz w:val="26"/>
          <w:szCs w:val="26"/>
        </w:rPr>
        <w:t>opinio</w:t>
      </w:r>
      <w:r w:rsidRPr="0057700D">
        <w:rPr>
          <w:rFonts w:ascii="Century Schoolbook" w:eastAsia="Calibri" w:hAnsi="Century Schoolbook" w:cs="Times New Roman"/>
          <w:sz w:val="26"/>
          <w:szCs w:val="26"/>
        </w:rPr>
        <w:t xml:space="preserve">n is contrary to precedent </w:t>
      </w:r>
      <w:r w:rsidR="007018FD" w:rsidRPr="0057700D">
        <w:rPr>
          <w:rFonts w:ascii="Century Schoolbook" w:eastAsia="Calibri" w:hAnsi="Century Schoolbook" w:cs="Times New Roman"/>
          <w:sz w:val="26"/>
          <w:szCs w:val="26"/>
        </w:rPr>
        <w:t xml:space="preserve">in other contexts </w:t>
      </w:r>
      <w:r w:rsidRPr="0057700D">
        <w:rPr>
          <w:rFonts w:ascii="Century Schoolbook" w:eastAsia="Calibri" w:hAnsi="Century Schoolbook" w:cs="Times New Roman"/>
          <w:sz w:val="26"/>
          <w:szCs w:val="26"/>
        </w:rPr>
        <w:t>and is unfairly onerous</w:t>
      </w:r>
      <w:r w:rsidR="0018755F" w:rsidRPr="0057700D">
        <w:rPr>
          <w:rFonts w:ascii="Century Schoolbook" w:eastAsia="Calibri" w:hAnsi="Century Schoolbook" w:cs="Times New Roman"/>
          <w:sz w:val="26"/>
          <w:szCs w:val="26"/>
        </w:rPr>
        <w:t>.  E</w:t>
      </w:r>
      <w:r w:rsidR="00165E7C" w:rsidRPr="0057700D">
        <w:rPr>
          <w:rFonts w:ascii="Century Schoolbook" w:eastAsia="Calibri" w:hAnsi="Century Schoolbook" w:cs="Times New Roman"/>
          <w:sz w:val="26"/>
          <w:szCs w:val="26"/>
        </w:rPr>
        <w:t>qual protection violations in the context of traffic stops will be illusory</w:t>
      </w:r>
      <w:r w:rsidR="00FE414A" w:rsidRPr="0057700D">
        <w:rPr>
          <w:rFonts w:ascii="Century Schoolbook" w:eastAsia="Calibri" w:hAnsi="Century Schoolbook" w:cs="Times New Roman"/>
          <w:sz w:val="26"/>
          <w:szCs w:val="26"/>
        </w:rPr>
        <w:t xml:space="preserve"> </w:t>
      </w:r>
      <w:r w:rsidR="00F077DF" w:rsidRPr="0057700D">
        <w:rPr>
          <w:rFonts w:ascii="Century Schoolbook" w:eastAsia="Calibri" w:hAnsi="Century Schoolbook" w:cs="Times New Roman"/>
          <w:sz w:val="26"/>
          <w:szCs w:val="26"/>
        </w:rPr>
        <w:t>under</w:t>
      </w:r>
      <w:r w:rsidR="00FE414A" w:rsidRPr="0057700D">
        <w:rPr>
          <w:rFonts w:ascii="Century Schoolbook" w:eastAsia="Calibri" w:hAnsi="Century Schoolbook" w:cs="Times New Roman"/>
          <w:sz w:val="26"/>
          <w:szCs w:val="26"/>
        </w:rPr>
        <w:t xml:space="preserve"> th</w:t>
      </w:r>
      <w:r w:rsidR="002879BA" w:rsidRPr="0057700D">
        <w:rPr>
          <w:rFonts w:ascii="Century Schoolbook" w:eastAsia="Calibri" w:hAnsi="Century Schoolbook" w:cs="Times New Roman"/>
          <w:sz w:val="26"/>
          <w:szCs w:val="26"/>
        </w:rPr>
        <w:t>is standard</w:t>
      </w:r>
      <w:r w:rsidR="002D25DB" w:rsidRPr="0057700D">
        <w:rPr>
          <w:rFonts w:ascii="Century Schoolbook" w:eastAsia="Calibri" w:hAnsi="Century Schoolbook" w:cs="Times New Roman"/>
          <w:sz w:val="26"/>
          <w:szCs w:val="26"/>
        </w:rPr>
        <w:t xml:space="preserve">.  If this Court intends to take racial equity in policing seriously, the panel opinion must be overturned.   </w:t>
      </w:r>
    </w:p>
    <w:p w14:paraId="4FE3719E" w14:textId="46B05727" w:rsidR="002D25DB" w:rsidRPr="0057700D" w:rsidRDefault="00C26AEC" w:rsidP="007B0F13">
      <w:pPr>
        <w:spacing w:after="0" w:line="480" w:lineRule="auto"/>
        <w:ind w:firstLine="720"/>
        <w:rPr>
          <w:rFonts w:ascii="Century Schoolbook" w:eastAsia="Calibri" w:hAnsi="Century Schoolbook" w:cs="Times New Roman"/>
          <w:i/>
          <w:iCs/>
          <w:sz w:val="26"/>
          <w:szCs w:val="26"/>
        </w:rPr>
      </w:pPr>
      <w:r w:rsidRPr="0057700D">
        <w:rPr>
          <w:rFonts w:ascii="Century Schoolbook" w:eastAsia="Calibri" w:hAnsi="Century Schoolbook" w:cs="Times New Roman"/>
          <w:i/>
          <w:iCs/>
          <w:sz w:val="26"/>
          <w:szCs w:val="26"/>
        </w:rPr>
        <w:t xml:space="preserve">Standard of review  </w:t>
      </w:r>
    </w:p>
    <w:p w14:paraId="4BAB6F38" w14:textId="628FC119" w:rsidR="002519C3" w:rsidRPr="0057700D" w:rsidRDefault="002519C3" w:rsidP="002519C3">
      <w:pPr>
        <w:pStyle w:val="NoSpacing"/>
        <w:spacing w:line="480" w:lineRule="auto"/>
        <w:rPr>
          <w:rFonts w:ascii="Century Schoolbook" w:hAnsi="Century Schoolbook"/>
          <w:sz w:val="26"/>
          <w:szCs w:val="26"/>
        </w:rPr>
      </w:pPr>
      <w:r w:rsidRPr="0057700D">
        <w:rPr>
          <w:rFonts w:ascii="Century Schoolbook" w:hAnsi="Century Schoolbook"/>
          <w:sz w:val="26"/>
          <w:szCs w:val="26"/>
        </w:rPr>
        <w:tab/>
        <w:t xml:space="preserve">This Court reviews a Court of Appeals opinion to determine if it contains any error of law.  </w:t>
      </w:r>
      <w:r w:rsidRPr="0057700D">
        <w:rPr>
          <w:rFonts w:ascii="Century Schoolbook" w:hAnsi="Century Schoolbook"/>
          <w:i/>
          <w:sz w:val="26"/>
          <w:szCs w:val="26"/>
        </w:rPr>
        <w:t>State v. Brooks,</w:t>
      </w:r>
      <w:r w:rsidRPr="0057700D">
        <w:rPr>
          <w:rFonts w:ascii="Century Schoolbook" w:hAnsi="Century Schoolbook"/>
          <w:sz w:val="26"/>
          <w:szCs w:val="26"/>
        </w:rPr>
        <w:t xml:space="preserve"> 337 N.C. 132, 149 (1994)</w:t>
      </w:r>
      <w:r w:rsidRPr="0057700D">
        <w:rPr>
          <w:rFonts w:ascii="Century Schoolbook" w:hAnsi="Century Schoolbook"/>
          <w:sz w:val="26"/>
          <w:szCs w:val="26"/>
        </w:rPr>
        <w:fldChar w:fldCharType="begin"/>
      </w:r>
      <w:r w:rsidRPr="0057700D">
        <w:instrText xml:space="preserve"> TA \l "</w:instrText>
      </w:r>
      <w:r w:rsidRPr="0057700D">
        <w:rPr>
          <w:rFonts w:ascii="Century Schoolbook" w:hAnsi="Century Schoolbook"/>
          <w:i/>
          <w:sz w:val="26"/>
          <w:szCs w:val="26"/>
        </w:rPr>
        <w:instrText>State v. Brooks,</w:instrText>
      </w:r>
      <w:r w:rsidRPr="0057700D">
        <w:rPr>
          <w:rFonts w:ascii="Century Schoolbook" w:hAnsi="Century Schoolbook"/>
          <w:sz w:val="26"/>
          <w:szCs w:val="26"/>
        </w:rPr>
        <w:instrText xml:space="preserve"> 337 N.C. 132, 149, 446 S.E.2d 579, 590 (1994)</w:instrText>
      </w:r>
      <w:r w:rsidRPr="0057700D">
        <w:instrText xml:space="preserve">" \s "State v. Brooks, 337 N.C. 132, 149, 446 S.E.2d 579, 590 (1994)" \c 1 </w:instrText>
      </w:r>
      <w:r w:rsidRPr="0057700D">
        <w:rPr>
          <w:rFonts w:ascii="Century Schoolbook" w:hAnsi="Century Schoolbook"/>
          <w:sz w:val="26"/>
          <w:szCs w:val="26"/>
        </w:rPr>
        <w:fldChar w:fldCharType="end"/>
      </w:r>
      <w:r w:rsidRPr="0057700D">
        <w:rPr>
          <w:rFonts w:ascii="Century Schoolbook" w:hAnsi="Century Schoolbook"/>
          <w:sz w:val="26"/>
          <w:szCs w:val="26"/>
        </w:rPr>
        <w:t xml:space="preserve">.  </w:t>
      </w:r>
      <w:r w:rsidR="00E23F77" w:rsidRPr="0057700D">
        <w:rPr>
          <w:rFonts w:ascii="Century Schoolbook" w:hAnsi="Century Schoolbook"/>
          <w:sz w:val="26"/>
          <w:szCs w:val="26"/>
        </w:rPr>
        <w:t xml:space="preserve">Constitutional errors are reviewed de novo.  </w:t>
      </w:r>
      <w:r w:rsidR="00893068" w:rsidRPr="0057700D">
        <w:rPr>
          <w:rFonts w:ascii="Century Schoolbook" w:hAnsi="Century Schoolbook"/>
          <w:i/>
          <w:iCs/>
          <w:sz w:val="26"/>
          <w:szCs w:val="26"/>
        </w:rPr>
        <w:t>State v. Johnson</w:t>
      </w:r>
      <w:r w:rsidR="00893068" w:rsidRPr="0057700D">
        <w:rPr>
          <w:rFonts w:ascii="Century Schoolbook" w:hAnsi="Century Schoolbook"/>
          <w:sz w:val="26"/>
          <w:szCs w:val="26"/>
        </w:rPr>
        <w:t>, 2021-NCSC-165</w:t>
      </w:r>
      <w:r w:rsidR="00825D98" w:rsidRPr="0057700D">
        <w:rPr>
          <w:rFonts w:ascii="Century Schoolbook" w:hAnsi="Century Schoolbook"/>
          <w:sz w:val="26"/>
          <w:szCs w:val="26"/>
        </w:rPr>
        <w:fldChar w:fldCharType="begin"/>
      </w:r>
      <w:r w:rsidR="00825D98" w:rsidRPr="0057700D">
        <w:instrText xml:space="preserve"> TA \l "</w:instrText>
      </w:r>
      <w:r w:rsidR="00825D98" w:rsidRPr="0057700D">
        <w:rPr>
          <w:rFonts w:ascii="Century Schoolbook" w:hAnsi="Century Schoolbook"/>
          <w:i/>
          <w:iCs/>
          <w:sz w:val="26"/>
          <w:szCs w:val="26"/>
        </w:rPr>
        <w:instrText>State v. Johnson</w:instrText>
      </w:r>
      <w:r w:rsidR="00825D98" w:rsidRPr="0057700D">
        <w:rPr>
          <w:rFonts w:ascii="Century Schoolbook" w:hAnsi="Century Schoolbook"/>
          <w:sz w:val="26"/>
          <w:szCs w:val="26"/>
        </w:rPr>
        <w:instrText>, 2021-NCSC-165</w:instrText>
      </w:r>
      <w:r w:rsidR="00825D98" w:rsidRPr="0057700D">
        <w:instrText xml:space="preserve">" \s "State v. Johnson, 2021-NCSC-165" \c 1 </w:instrText>
      </w:r>
      <w:r w:rsidR="00825D98" w:rsidRPr="0057700D">
        <w:rPr>
          <w:rFonts w:ascii="Century Schoolbook" w:hAnsi="Century Schoolbook"/>
          <w:sz w:val="26"/>
          <w:szCs w:val="26"/>
        </w:rPr>
        <w:fldChar w:fldCharType="end"/>
      </w:r>
      <w:r w:rsidR="0043002D" w:rsidRPr="0057700D">
        <w:rPr>
          <w:rFonts w:ascii="Century Schoolbook" w:hAnsi="Century Schoolbook"/>
          <w:sz w:val="26"/>
          <w:szCs w:val="26"/>
        </w:rPr>
        <w:t>,</w:t>
      </w:r>
      <w:r w:rsidR="00893068" w:rsidRPr="0057700D">
        <w:rPr>
          <w:rFonts w:ascii="Century Schoolbook" w:hAnsi="Century Schoolbook"/>
          <w:sz w:val="26"/>
          <w:szCs w:val="26"/>
        </w:rPr>
        <w:t xml:space="preserve"> ¶ 17</w:t>
      </w:r>
      <w:r w:rsidR="00E23F77" w:rsidRPr="0057700D">
        <w:rPr>
          <w:rFonts w:ascii="Century Schoolbook" w:hAnsi="Century Schoolbook"/>
          <w:sz w:val="26"/>
          <w:szCs w:val="26"/>
        </w:rPr>
        <w:t xml:space="preserve">.  </w:t>
      </w:r>
      <w:r w:rsidR="00D330FE" w:rsidRPr="0057700D">
        <w:rPr>
          <w:rFonts w:ascii="Century Schoolbook" w:hAnsi="Century Schoolbook"/>
          <w:sz w:val="26"/>
          <w:szCs w:val="26"/>
        </w:rPr>
        <w:t xml:space="preserve">If the </w:t>
      </w:r>
      <w:r w:rsidR="00E23F77" w:rsidRPr="0057700D">
        <w:rPr>
          <w:rFonts w:ascii="Century Schoolbook" w:hAnsi="Century Schoolbook"/>
          <w:sz w:val="26"/>
          <w:szCs w:val="26"/>
        </w:rPr>
        <w:t xml:space="preserve">trial court’s findings </w:t>
      </w:r>
      <w:r w:rsidR="00B86DC4" w:rsidRPr="0057700D">
        <w:rPr>
          <w:rFonts w:ascii="Century Schoolbook" w:hAnsi="Century Schoolbook"/>
          <w:sz w:val="26"/>
          <w:szCs w:val="26"/>
        </w:rPr>
        <w:t xml:space="preserve">of fact </w:t>
      </w:r>
      <w:r w:rsidR="00E23F77" w:rsidRPr="0057700D">
        <w:rPr>
          <w:rFonts w:ascii="Century Schoolbook" w:hAnsi="Century Schoolbook"/>
          <w:sz w:val="26"/>
          <w:szCs w:val="26"/>
        </w:rPr>
        <w:t>are review</w:t>
      </w:r>
      <w:r w:rsidR="00B55299" w:rsidRPr="0057700D">
        <w:rPr>
          <w:rFonts w:ascii="Century Schoolbook" w:hAnsi="Century Schoolbook"/>
          <w:sz w:val="26"/>
          <w:szCs w:val="26"/>
        </w:rPr>
        <w:t>ed</w:t>
      </w:r>
      <w:r w:rsidR="00E23F77" w:rsidRPr="0057700D">
        <w:rPr>
          <w:rFonts w:ascii="Century Schoolbook" w:hAnsi="Century Schoolbook"/>
          <w:sz w:val="26"/>
          <w:szCs w:val="26"/>
        </w:rPr>
        <w:t xml:space="preserve">, the appellate court determines whether they are </w:t>
      </w:r>
      <w:r w:rsidR="00B80C29" w:rsidRPr="0057700D">
        <w:rPr>
          <w:rFonts w:ascii="Century Schoolbook" w:hAnsi="Century Schoolbook"/>
          <w:sz w:val="26"/>
          <w:szCs w:val="26"/>
        </w:rPr>
        <w:t>supported by competent evidence</w:t>
      </w:r>
      <w:r w:rsidR="00E23F77" w:rsidRPr="0057700D">
        <w:rPr>
          <w:rFonts w:ascii="Century Schoolbook" w:hAnsi="Century Schoolbook"/>
          <w:sz w:val="26"/>
          <w:szCs w:val="26"/>
        </w:rPr>
        <w:t xml:space="preserve">.  </w:t>
      </w:r>
      <w:r w:rsidR="00B80C29" w:rsidRPr="0057700D">
        <w:rPr>
          <w:rFonts w:ascii="Century Schoolbook" w:hAnsi="Century Schoolbook"/>
          <w:i/>
          <w:sz w:val="26"/>
          <w:szCs w:val="26"/>
        </w:rPr>
        <w:t xml:space="preserve">State v. Cooke, </w:t>
      </w:r>
      <w:r w:rsidR="00B80C29" w:rsidRPr="0057700D">
        <w:rPr>
          <w:rFonts w:ascii="Century Schoolbook" w:hAnsi="Century Schoolbook"/>
          <w:sz w:val="26"/>
          <w:szCs w:val="26"/>
        </w:rPr>
        <w:t>306 N.C. 132, 134 (1982)</w:t>
      </w:r>
      <w:r w:rsidR="00B80C29" w:rsidRPr="0057700D">
        <w:rPr>
          <w:rFonts w:ascii="Century Schoolbook" w:hAnsi="Century Schoolbook"/>
          <w:sz w:val="26"/>
          <w:szCs w:val="26"/>
        </w:rPr>
        <w:fldChar w:fldCharType="begin"/>
      </w:r>
      <w:r w:rsidR="00B80C29" w:rsidRPr="0057700D">
        <w:instrText xml:space="preserve"> TA \l "</w:instrText>
      </w:r>
      <w:r w:rsidR="00B80C29" w:rsidRPr="0057700D">
        <w:rPr>
          <w:rFonts w:ascii="Century Schoolbook" w:hAnsi="Century Schoolbook"/>
          <w:i/>
          <w:sz w:val="26"/>
          <w:szCs w:val="26"/>
        </w:rPr>
        <w:instrText xml:space="preserve">State v. Cooke, </w:instrText>
      </w:r>
      <w:r w:rsidR="00B80C29" w:rsidRPr="0057700D">
        <w:rPr>
          <w:rFonts w:ascii="Century Schoolbook" w:hAnsi="Century Schoolbook"/>
          <w:sz w:val="26"/>
          <w:szCs w:val="26"/>
        </w:rPr>
        <w:instrText>306 N.C. 132, 134, 291 S.E.2d 618, 619 (1982)</w:instrText>
      </w:r>
      <w:r w:rsidR="00B80C29" w:rsidRPr="0057700D">
        <w:instrText xml:space="preserve">" \s "State v. Cooke, 306 N.C. 132, 134, 291 S.E.2d 618, 619 (1982)" \c 1 </w:instrText>
      </w:r>
      <w:r w:rsidR="00B80C29" w:rsidRPr="0057700D">
        <w:rPr>
          <w:rFonts w:ascii="Century Schoolbook" w:hAnsi="Century Schoolbook"/>
          <w:sz w:val="26"/>
          <w:szCs w:val="26"/>
        </w:rPr>
        <w:fldChar w:fldCharType="end"/>
      </w:r>
      <w:r w:rsidR="00B80C29" w:rsidRPr="0057700D">
        <w:rPr>
          <w:rFonts w:ascii="Century Schoolbook" w:hAnsi="Century Schoolbook"/>
          <w:sz w:val="26"/>
          <w:szCs w:val="26"/>
        </w:rPr>
        <w:t>.</w:t>
      </w:r>
    </w:p>
    <w:p w14:paraId="5BD9B8A5" w14:textId="36DF945F" w:rsidR="00F95BF7" w:rsidRPr="0057700D" w:rsidRDefault="00C00A89" w:rsidP="007B0F13">
      <w:pPr>
        <w:spacing w:after="0" w:line="480" w:lineRule="auto"/>
        <w:ind w:firstLine="720"/>
        <w:rPr>
          <w:rFonts w:ascii="Century Schoolbook" w:eastAsia="Calibri" w:hAnsi="Century Schoolbook" w:cs="Times New Roman"/>
          <w:b/>
          <w:bCs/>
          <w:sz w:val="26"/>
          <w:szCs w:val="26"/>
        </w:rPr>
      </w:pPr>
      <w:r w:rsidRPr="0057700D">
        <w:rPr>
          <w:rFonts w:ascii="Century Schoolbook" w:eastAsia="Calibri" w:hAnsi="Century Schoolbook" w:cs="Times New Roman"/>
          <w:b/>
          <w:bCs/>
          <w:sz w:val="26"/>
          <w:szCs w:val="26"/>
        </w:rPr>
        <w:lastRenderedPageBreak/>
        <w:t xml:space="preserve">A. </w:t>
      </w:r>
      <w:r w:rsidR="00E44069" w:rsidRPr="0057700D">
        <w:rPr>
          <w:rFonts w:ascii="Century Schoolbook" w:eastAsia="Calibri" w:hAnsi="Century Schoolbook" w:cs="Times New Roman"/>
          <w:b/>
          <w:bCs/>
          <w:sz w:val="26"/>
          <w:szCs w:val="26"/>
        </w:rPr>
        <w:t xml:space="preserve"> Equal Protection </w:t>
      </w:r>
      <w:r w:rsidR="002B1D88" w:rsidRPr="0057700D">
        <w:rPr>
          <w:rFonts w:ascii="Century Schoolbook" w:eastAsia="Calibri" w:hAnsi="Century Schoolbook" w:cs="Times New Roman"/>
          <w:b/>
          <w:bCs/>
          <w:sz w:val="26"/>
          <w:szCs w:val="26"/>
        </w:rPr>
        <w:t>principles</w:t>
      </w:r>
    </w:p>
    <w:p w14:paraId="72C29697" w14:textId="0EC74EE4" w:rsidR="00E12CEF" w:rsidRPr="0057700D" w:rsidRDefault="008B2409" w:rsidP="005E1D4E">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Our federal and state </w:t>
      </w:r>
      <w:r w:rsidR="00F65C5E" w:rsidRPr="0057700D">
        <w:rPr>
          <w:rFonts w:ascii="Century Schoolbook" w:eastAsia="Calibri" w:hAnsi="Century Schoolbook" w:cs="Times New Roman"/>
          <w:sz w:val="26"/>
          <w:szCs w:val="26"/>
        </w:rPr>
        <w:t>C</w:t>
      </w:r>
      <w:r w:rsidR="00D82520" w:rsidRPr="0057700D">
        <w:rPr>
          <w:rFonts w:ascii="Century Schoolbook" w:eastAsia="Calibri" w:hAnsi="Century Schoolbook" w:cs="Times New Roman"/>
          <w:sz w:val="26"/>
          <w:szCs w:val="26"/>
        </w:rPr>
        <w:t>onstitutions require</w:t>
      </w:r>
      <w:r w:rsidR="0093656A" w:rsidRPr="0057700D">
        <w:rPr>
          <w:rFonts w:ascii="Century Schoolbook" w:eastAsia="Calibri" w:hAnsi="Century Schoolbook" w:cs="Times New Roman"/>
          <w:sz w:val="26"/>
          <w:szCs w:val="26"/>
        </w:rPr>
        <w:t xml:space="preserve"> equal protection under the law for all people</w:t>
      </w:r>
      <w:r w:rsidR="001E333B" w:rsidRPr="0057700D">
        <w:rPr>
          <w:rFonts w:ascii="Century Schoolbook" w:eastAsia="Calibri" w:hAnsi="Century Schoolbook" w:cs="Times New Roman"/>
          <w:sz w:val="26"/>
          <w:szCs w:val="26"/>
        </w:rPr>
        <w:t>.  U.S. Const. amend. XIV</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sz w:val="26"/>
          <w:szCs w:val="26"/>
        </w:rPr>
        <w:instrText>U.S. Const. amend. XIV</w:instrText>
      </w:r>
      <w:r w:rsidR="00825D98" w:rsidRPr="0057700D">
        <w:instrText xml:space="preserve">" \s "U.S. Const. amend. XIV" \c 7 </w:instrText>
      </w:r>
      <w:r w:rsidR="00825D98" w:rsidRPr="0057700D">
        <w:rPr>
          <w:rFonts w:ascii="Century Schoolbook" w:eastAsia="Calibri" w:hAnsi="Century Schoolbook" w:cs="Times New Roman"/>
          <w:sz w:val="26"/>
          <w:szCs w:val="26"/>
        </w:rPr>
        <w:fldChar w:fldCharType="end"/>
      </w:r>
      <w:r w:rsidR="001E333B" w:rsidRPr="0057700D">
        <w:rPr>
          <w:rFonts w:ascii="Century Schoolbook" w:eastAsia="Calibri" w:hAnsi="Century Schoolbook" w:cs="Times New Roman"/>
          <w:sz w:val="26"/>
          <w:szCs w:val="26"/>
        </w:rPr>
        <w:t>; N.C. Const. art. I, § 19</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sz w:val="26"/>
          <w:szCs w:val="26"/>
        </w:rPr>
        <w:instrText>N.C. Const. art. I, § 19</w:instrText>
      </w:r>
      <w:r w:rsidR="00825D98" w:rsidRPr="0057700D">
        <w:instrText xml:space="preserve">" \s "N.C. Const. art. I, § 19" \c 7 </w:instrText>
      </w:r>
      <w:r w:rsidR="00825D98" w:rsidRPr="0057700D">
        <w:rPr>
          <w:rFonts w:ascii="Century Schoolbook" w:eastAsia="Calibri" w:hAnsi="Century Schoolbook" w:cs="Times New Roman"/>
          <w:sz w:val="26"/>
          <w:szCs w:val="26"/>
        </w:rPr>
        <w:fldChar w:fldCharType="end"/>
      </w:r>
      <w:r w:rsidR="001E333B" w:rsidRPr="0057700D">
        <w:rPr>
          <w:rFonts w:ascii="Century Schoolbook" w:eastAsia="Calibri" w:hAnsi="Century Schoolbook" w:cs="Times New Roman"/>
          <w:sz w:val="26"/>
          <w:szCs w:val="26"/>
        </w:rPr>
        <w:t>.</w:t>
      </w:r>
      <w:r w:rsidR="009D47C9" w:rsidRPr="0057700D">
        <w:rPr>
          <w:rStyle w:val="FootnoteReference"/>
          <w:rFonts w:ascii="Century Schoolbook" w:eastAsia="Calibri" w:hAnsi="Century Schoolbook" w:cs="Times New Roman"/>
          <w:sz w:val="26"/>
          <w:szCs w:val="26"/>
        </w:rPr>
        <w:footnoteReference w:id="7"/>
      </w:r>
      <w:r w:rsidR="001E333B" w:rsidRPr="0057700D">
        <w:rPr>
          <w:rFonts w:ascii="Century Schoolbook" w:eastAsia="Calibri" w:hAnsi="Century Schoolbook" w:cs="Times New Roman"/>
          <w:sz w:val="26"/>
          <w:szCs w:val="26"/>
        </w:rPr>
        <w:t xml:space="preserve"> </w:t>
      </w:r>
      <w:r w:rsidR="0089118C" w:rsidRPr="0057700D">
        <w:rPr>
          <w:rFonts w:ascii="Century Schoolbook" w:eastAsia="Calibri" w:hAnsi="Century Schoolbook" w:cs="Times New Roman"/>
          <w:sz w:val="26"/>
          <w:szCs w:val="26"/>
        </w:rPr>
        <w:t xml:space="preserve"> </w:t>
      </w:r>
      <w:r w:rsidR="00245DD7" w:rsidRPr="0057700D">
        <w:rPr>
          <w:rFonts w:ascii="Century Schoolbook" w:eastAsia="Calibri" w:hAnsi="Century Schoolbook" w:cs="Times New Roman"/>
          <w:sz w:val="26"/>
          <w:szCs w:val="26"/>
        </w:rPr>
        <w:t xml:space="preserve">The </w:t>
      </w:r>
      <w:r w:rsidR="001E333B" w:rsidRPr="0057700D">
        <w:rPr>
          <w:rFonts w:ascii="Century Schoolbook" w:eastAsia="Calibri" w:hAnsi="Century Schoolbook" w:cs="Times New Roman"/>
          <w:sz w:val="26"/>
          <w:szCs w:val="26"/>
        </w:rPr>
        <w:t xml:space="preserve">Equal </w:t>
      </w:r>
      <w:r w:rsidR="00245DD7" w:rsidRPr="0057700D">
        <w:rPr>
          <w:rFonts w:ascii="Century Schoolbook" w:eastAsia="Calibri" w:hAnsi="Century Schoolbook" w:cs="Times New Roman"/>
          <w:sz w:val="26"/>
          <w:szCs w:val="26"/>
        </w:rPr>
        <w:t>P</w:t>
      </w:r>
      <w:r w:rsidR="001E333B" w:rsidRPr="0057700D">
        <w:rPr>
          <w:rFonts w:ascii="Century Schoolbook" w:eastAsia="Calibri" w:hAnsi="Century Schoolbook" w:cs="Times New Roman"/>
          <w:sz w:val="26"/>
          <w:szCs w:val="26"/>
        </w:rPr>
        <w:t>rotection</w:t>
      </w:r>
      <w:r w:rsidR="00245DD7" w:rsidRPr="0057700D">
        <w:rPr>
          <w:rFonts w:ascii="Century Schoolbook" w:eastAsia="Calibri" w:hAnsi="Century Schoolbook" w:cs="Times New Roman"/>
          <w:sz w:val="26"/>
          <w:szCs w:val="26"/>
        </w:rPr>
        <w:t xml:space="preserve"> Clause</w:t>
      </w:r>
      <w:r w:rsidR="001E333B" w:rsidRPr="0057700D">
        <w:rPr>
          <w:rFonts w:ascii="Century Schoolbook" w:eastAsia="Calibri" w:hAnsi="Century Schoolbook" w:cs="Times New Roman"/>
          <w:sz w:val="26"/>
          <w:szCs w:val="26"/>
        </w:rPr>
        <w:t xml:space="preserve"> </w:t>
      </w:r>
      <w:r w:rsidR="007B0F13" w:rsidRPr="0057700D">
        <w:rPr>
          <w:rFonts w:ascii="Century Schoolbook" w:eastAsia="Calibri" w:hAnsi="Century Schoolbook" w:cs="Times New Roman"/>
          <w:sz w:val="26"/>
          <w:szCs w:val="26"/>
        </w:rPr>
        <w:t xml:space="preserve">“prohibits selective enforcement of the law based on considerations such as race.”  </w:t>
      </w:r>
      <w:proofErr w:type="spellStart"/>
      <w:r w:rsidR="007B0F13" w:rsidRPr="0057700D">
        <w:rPr>
          <w:rFonts w:ascii="Century Schoolbook" w:eastAsia="Calibri" w:hAnsi="Century Schoolbook" w:cs="Times New Roman"/>
          <w:i/>
          <w:iCs/>
          <w:sz w:val="26"/>
          <w:szCs w:val="26"/>
        </w:rPr>
        <w:t>Whren</w:t>
      </w:r>
      <w:proofErr w:type="spellEnd"/>
      <w:r w:rsidR="007B0F13" w:rsidRPr="0057700D">
        <w:rPr>
          <w:rFonts w:ascii="Century Schoolbook" w:eastAsia="Calibri" w:hAnsi="Century Schoolbook" w:cs="Times New Roman"/>
          <w:i/>
          <w:iCs/>
          <w:sz w:val="26"/>
          <w:szCs w:val="26"/>
        </w:rPr>
        <w:t xml:space="preserve"> v. United States, </w:t>
      </w:r>
      <w:r w:rsidR="007B0F13" w:rsidRPr="0057700D">
        <w:rPr>
          <w:rFonts w:ascii="Century Schoolbook" w:eastAsia="Calibri" w:hAnsi="Century Schoolbook" w:cs="Times New Roman"/>
          <w:sz w:val="26"/>
          <w:szCs w:val="26"/>
        </w:rPr>
        <w:t>517 U.S. 806, 813 (1996)</w:t>
      </w:r>
      <w:r w:rsidR="00BD691D" w:rsidRPr="0057700D">
        <w:rPr>
          <w:rFonts w:ascii="Century Schoolbook" w:eastAsia="Calibri" w:hAnsi="Century Schoolbook" w:cs="Times New Roman"/>
          <w:sz w:val="26"/>
          <w:szCs w:val="26"/>
        </w:rPr>
        <w:t xml:space="preserve">; </w:t>
      </w:r>
      <w:proofErr w:type="spellStart"/>
      <w:r w:rsidR="00B0619D" w:rsidRPr="0057700D">
        <w:rPr>
          <w:rFonts w:ascii="Century Schoolbook" w:eastAsia="Calibri" w:hAnsi="Century Schoolbook" w:cs="Times New Roman"/>
          <w:i/>
          <w:iCs/>
          <w:sz w:val="26"/>
          <w:szCs w:val="26"/>
        </w:rPr>
        <w:t>Yick</w:t>
      </w:r>
      <w:proofErr w:type="spellEnd"/>
      <w:r w:rsidR="00B0619D" w:rsidRPr="0057700D">
        <w:rPr>
          <w:rFonts w:ascii="Century Schoolbook" w:eastAsia="Calibri" w:hAnsi="Century Schoolbook" w:cs="Times New Roman"/>
          <w:i/>
          <w:iCs/>
          <w:sz w:val="26"/>
          <w:szCs w:val="26"/>
        </w:rPr>
        <w:t xml:space="preserve"> Wo v. Hopkins,</w:t>
      </w:r>
      <w:r w:rsidR="00B0619D" w:rsidRPr="0057700D">
        <w:rPr>
          <w:rFonts w:ascii="Century Schoolbook" w:eastAsia="Calibri" w:hAnsi="Century Schoolbook" w:cs="Times New Roman"/>
          <w:sz w:val="26"/>
          <w:szCs w:val="26"/>
        </w:rPr>
        <w:t xml:space="preserve"> 118 U.S. 356, 373 (1886)</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Yick Wo v. Hopkins,</w:instrText>
      </w:r>
      <w:r w:rsidR="00825D98" w:rsidRPr="0057700D">
        <w:rPr>
          <w:rFonts w:ascii="Century Schoolbook" w:eastAsia="Calibri" w:hAnsi="Century Schoolbook" w:cs="Times New Roman"/>
          <w:sz w:val="26"/>
          <w:szCs w:val="26"/>
        </w:rPr>
        <w:instrText xml:space="preserve"> 118 U.S. 356, 373 (1886)</w:instrText>
      </w:r>
      <w:r w:rsidR="00825D98" w:rsidRPr="0057700D">
        <w:instrText xml:space="preserve">" \s "Yick Wo v. Hopkins, 118 U.S. 356, 373 (1886)" \c 1 </w:instrText>
      </w:r>
      <w:r w:rsidR="00825D98" w:rsidRPr="0057700D">
        <w:rPr>
          <w:rFonts w:ascii="Century Schoolbook" w:eastAsia="Calibri" w:hAnsi="Century Schoolbook" w:cs="Times New Roman"/>
          <w:sz w:val="26"/>
          <w:szCs w:val="26"/>
        </w:rPr>
        <w:fldChar w:fldCharType="end"/>
      </w:r>
      <w:r w:rsidR="00BD691D" w:rsidRPr="0057700D">
        <w:rPr>
          <w:rFonts w:ascii="Century Schoolbook" w:eastAsia="Calibri" w:hAnsi="Century Schoolbook" w:cs="Times New Roman"/>
          <w:sz w:val="26"/>
          <w:szCs w:val="26"/>
        </w:rPr>
        <w:t xml:space="preserve"> (s</w:t>
      </w:r>
      <w:r w:rsidR="00825D98" w:rsidRPr="0057700D">
        <w:rPr>
          <w:rFonts w:ascii="Century Schoolbook" w:eastAsia="Calibri" w:hAnsi="Century Schoolbook" w:cs="Times New Roman"/>
          <w:sz w:val="26"/>
          <w:szCs w:val="26"/>
        </w:rPr>
        <w:fldChar w:fldCharType="begin"/>
      </w:r>
      <w:r w:rsidR="00825D98" w:rsidRPr="0057700D">
        <w:instrText xml:space="preserve"> TA \s "Whren v. United States, 517 U.S. 806, 813 (1996)" </w:instrText>
      </w:r>
      <w:r w:rsidR="00825D98" w:rsidRPr="0057700D">
        <w:rPr>
          <w:rFonts w:ascii="Century Schoolbook" w:eastAsia="Calibri" w:hAnsi="Century Schoolbook" w:cs="Times New Roman"/>
          <w:sz w:val="26"/>
          <w:szCs w:val="26"/>
        </w:rPr>
        <w:fldChar w:fldCharType="end"/>
      </w:r>
      <w:r w:rsidR="00BD691D" w:rsidRPr="0057700D">
        <w:rPr>
          <w:rFonts w:ascii="Century Schoolbook" w:eastAsia="Calibri" w:hAnsi="Century Schoolbook" w:cs="Times New Roman"/>
          <w:sz w:val="26"/>
          <w:szCs w:val="26"/>
        </w:rPr>
        <w:t xml:space="preserve">elective enforcement of a facially neutral law against a particular race of persons violates equal protection).  </w:t>
      </w:r>
      <w:r w:rsidR="00DE4AF2" w:rsidRPr="0057700D">
        <w:rPr>
          <w:rFonts w:ascii="Century Schoolbook" w:eastAsia="Calibri" w:hAnsi="Century Schoolbook" w:cs="Times New Roman"/>
          <w:sz w:val="26"/>
          <w:szCs w:val="26"/>
        </w:rPr>
        <w:t xml:space="preserve">This Court has recognized that selective enforcement </w:t>
      </w:r>
      <w:r w:rsidR="00B62147" w:rsidRPr="0057700D">
        <w:rPr>
          <w:rFonts w:ascii="Century Schoolbook" w:eastAsia="Calibri" w:hAnsi="Century Schoolbook" w:cs="Times New Roman"/>
          <w:sz w:val="26"/>
          <w:szCs w:val="26"/>
        </w:rPr>
        <w:t>based on race in the context of a traffic stop wo</w:t>
      </w:r>
      <w:r w:rsidR="00DE4AF2" w:rsidRPr="0057700D">
        <w:rPr>
          <w:rFonts w:ascii="Century Schoolbook" w:eastAsia="Calibri" w:hAnsi="Century Schoolbook" w:cs="Times New Roman"/>
          <w:sz w:val="26"/>
          <w:szCs w:val="26"/>
        </w:rPr>
        <w:t xml:space="preserve">uld violate equal protection.  </w:t>
      </w:r>
      <w:r w:rsidR="00DE4AF2" w:rsidRPr="0057700D">
        <w:rPr>
          <w:rFonts w:ascii="Century Schoolbook" w:eastAsia="Calibri" w:hAnsi="Century Schoolbook" w:cs="Times New Roman"/>
          <w:i/>
          <w:iCs/>
          <w:sz w:val="26"/>
          <w:szCs w:val="26"/>
        </w:rPr>
        <w:t>State v. Ivey</w:t>
      </w:r>
      <w:r w:rsidR="00DE4AF2" w:rsidRPr="0057700D">
        <w:rPr>
          <w:rFonts w:ascii="Century Schoolbook" w:eastAsia="Calibri" w:hAnsi="Century Schoolbook" w:cs="Times New Roman"/>
          <w:sz w:val="26"/>
          <w:szCs w:val="26"/>
        </w:rPr>
        <w:t>, 360 N.C. 562, 564</w:t>
      </w:r>
      <w:r w:rsidR="006C5FEB" w:rsidRPr="0057700D">
        <w:rPr>
          <w:rFonts w:ascii="Century Schoolbook" w:eastAsia="Calibri" w:hAnsi="Century Schoolbook" w:cs="Times New Roman"/>
          <w:sz w:val="26"/>
          <w:szCs w:val="26"/>
        </w:rPr>
        <w:t xml:space="preserve"> </w:t>
      </w:r>
      <w:r w:rsidR="00DE4AF2" w:rsidRPr="0057700D">
        <w:rPr>
          <w:rFonts w:ascii="Century Schoolbook" w:eastAsia="Calibri" w:hAnsi="Century Schoolbook" w:cs="Times New Roman"/>
          <w:sz w:val="26"/>
          <w:szCs w:val="26"/>
        </w:rPr>
        <w:t>(2006)</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State v. Ivey</w:instrText>
      </w:r>
      <w:r w:rsidR="00825D98" w:rsidRPr="0057700D">
        <w:rPr>
          <w:rFonts w:ascii="Century Schoolbook" w:eastAsia="Calibri" w:hAnsi="Century Schoolbook" w:cs="Times New Roman"/>
          <w:sz w:val="26"/>
          <w:szCs w:val="26"/>
        </w:rPr>
        <w:instrText>, 360 N.C. 562, 564 (2006)</w:instrText>
      </w:r>
      <w:r w:rsidR="00825D98" w:rsidRPr="0057700D">
        <w:instrText xml:space="preserve">" \s "State v. Ivey, 360 N.C. 562, 564 (2006)" \c 1 </w:instrText>
      </w:r>
      <w:r w:rsidR="00825D98" w:rsidRPr="0057700D">
        <w:rPr>
          <w:rFonts w:ascii="Century Schoolbook" w:eastAsia="Calibri" w:hAnsi="Century Schoolbook" w:cs="Times New Roman"/>
          <w:sz w:val="26"/>
          <w:szCs w:val="26"/>
        </w:rPr>
        <w:fldChar w:fldCharType="end"/>
      </w:r>
      <w:r w:rsidR="00F65C5E" w:rsidRPr="0057700D">
        <w:rPr>
          <w:rFonts w:ascii="Century Schoolbook" w:eastAsia="Calibri" w:hAnsi="Century Schoolbook" w:cs="Times New Roman"/>
          <w:sz w:val="26"/>
          <w:szCs w:val="26"/>
        </w:rPr>
        <w:t xml:space="preserve">, </w:t>
      </w:r>
      <w:r w:rsidR="00DE4AF2" w:rsidRPr="0057700D">
        <w:rPr>
          <w:rFonts w:ascii="Century Schoolbook" w:eastAsia="Calibri" w:hAnsi="Century Schoolbook" w:cs="Times New Roman"/>
          <w:i/>
          <w:iCs/>
          <w:sz w:val="26"/>
          <w:szCs w:val="26"/>
        </w:rPr>
        <w:t>abrogated in part on other grounds by State v. Styles</w:t>
      </w:r>
      <w:r w:rsidR="00DE4AF2" w:rsidRPr="0057700D">
        <w:rPr>
          <w:rFonts w:ascii="Century Schoolbook" w:eastAsia="Calibri" w:hAnsi="Century Schoolbook" w:cs="Times New Roman"/>
          <w:sz w:val="26"/>
          <w:szCs w:val="26"/>
        </w:rPr>
        <w:t>, 362 N.C. 412 (2008).  Noting concerns over stops for “driving while black,” th</w:t>
      </w:r>
      <w:r w:rsidR="003841A1" w:rsidRPr="0057700D">
        <w:rPr>
          <w:rFonts w:ascii="Century Schoolbook" w:eastAsia="Calibri" w:hAnsi="Century Schoolbook" w:cs="Times New Roman"/>
          <w:sz w:val="26"/>
          <w:szCs w:val="26"/>
        </w:rPr>
        <w:t>i</w:t>
      </w:r>
      <w:r w:rsidR="00D20BC6" w:rsidRPr="0057700D">
        <w:rPr>
          <w:rFonts w:ascii="Century Schoolbook" w:eastAsia="Calibri" w:hAnsi="Century Schoolbook" w:cs="Times New Roman"/>
          <w:sz w:val="26"/>
          <w:szCs w:val="26"/>
        </w:rPr>
        <w:t>s</w:t>
      </w:r>
      <w:r w:rsidR="00DE4AF2" w:rsidRPr="0057700D">
        <w:rPr>
          <w:rFonts w:ascii="Century Schoolbook" w:eastAsia="Calibri" w:hAnsi="Century Schoolbook" w:cs="Times New Roman"/>
          <w:sz w:val="26"/>
          <w:szCs w:val="26"/>
        </w:rPr>
        <w:t xml:space="preserve"> </w:t>
      </w:r>
      <w:r w:rsidR="002D157B" w:rsidRPr="0057700D">
        <w:rPr>
          <w:rFonts w:ascii="Century Schoolbook" w:eastAsia="Calibri" w:hAnsi="Century Schoolbook" w:cs="Times New Roman"/>
          <w:sz w:val="26"/>
          <w:szCs w:val="26"/>
        </w:rPr>
        <w:t>C</w:t>
      </w:r>
      <w:r w:rsidR="00DE4AF2" w:rsidRPr="0057700D">
        <w:rPr>
          <w:rFonts w:ascii="Century Schoolbook" w:eastAsia="Calibri" w:hAnsi="Century Schoolbook" w:cs="Times New Roman"/>
          <w:sz w:val="26"/>
          <w:szCs w:val="26"/>
        </w:rPr>
        <w:t xml:space="preserve">ourt declared that it </w:t>
      </w:r>
      <w:r w:rsidR="00CE1BDE" w:rsidRPr="0057700D">
        <w:rPr>
          <w:rFonts w:ascii="Century Schoolbook" w:eastAsia="Calibri" w:hAnsi="Century Schoolbook" w:cs="Times New Roman"/>
          <w:sz w:val="26"/>
          <w:szCs w:val="26"/>
        </w:rPr>
        <w:t>would “</w:t>
      </w:r>
      <w:r w:rsidR="00DE4AF2" w:rsidRPr="0057700D">
        <w:rPr>
          <w:rFonts w:ascii="Century Schoolbook" w:eastAsia="Calibri" w:hAnsi="Century Schoolbook" w:cs="Times New Roman"/>
          <w:sz w:val="26"/>
          <w:szCs w:val="26"/>
        </w:rPr>
        <w:t xml:space="preserve">not tolerate discriminatory application of the law” based on race.  </w:t>
      </w:r>
      <w:r w:rsidR="00DE4AF2" w:rsidRPr="0057700D">
        <w:rPr>
          <w:rFonts w:ascii="Century Schoolbook" w:eastAsia="Calibri" w:hAnsi="Century Schoolbook" w:cs="Times New Roman"/>
          <w:i/>
          <w:iCs/>
          <w:sz w:val="26"/>
          <w:szCs w:val="26"/>
        </w:rPr>
        <w:t>Id</w:t>
      </w:r>
      <w:r w:rsidR="00DE4AF2" w:rsidRPr="0057700D">
        <w:rPr>
          <w:rFonts w:ascii="Century Schoolbook" w:eastAsia="Calibri" w:hAnsi="Century Schoolbook" w:cs="Times New Roman"/>
          <w:sz w:val="26"/>
          <w:szCs w:val="26"/>
        </w:rPr>
        <w:t>.</w:t>
      </w:r>
      <w:r w:rsidR="00825D98" w:rsidRPr="0057700D">
        <w:rPr>
          <w:rFonts w:ascii="Century Schoolbook" w:eastAsia="Calibri" w:hAnsi="Century Schoolbook" w:cs="Times New Roman"/>
          <w:sz w:val="26"/>
          <w:szCs w:val="26"/>
        </w:rPr>
        <w:fldChar w:fldCharType="begin"/>
      </w:r>
      <w:r w:rsidR="00825D98" w:rsidRPr="0057700D">
        <w:instrText xml:space="preserve"> TA \s "State v. Ivey, 360 N.C. 562, 564 (2006)" </w:instrText>
      </w:r>
      <w:r w:rsidR="00825D98" w:rsidRPr="0057700D">
        <w:rPr>
          <w:rFonts w:ascii="Century Schoolbook" w:eastAsia="Calibri" w:hAnsi="Century Schoolbook" w:cs="Times New Roman"/>
          <w:sz w:val="26"/>
          <w:szCs w:val="26"/>
        </w:rPr>
        <w:fldChar w:fldCharType="end"/>
      </w:r>
      <w:r w:rsidR="00DE4AF2" w:rsidRPr="0057700D">
        <w:rPr>
          <w:rFonts w:ascii="Century Schoolbook" w:eastAsia="Calibri" w:hAnsi="Century Schoolbook" w:cs="Times New Roman"/>
          <w:sz w:val="26"/>
          <w:szCs w:val="26"/>
        </w:rPr>
        <w:t xml:space="preserve"> </w:t>
      </w:r>
    </w:p>
    <w:p w14:paraId="328FFE87" w14:textId="2B4A1637" w:rsidR="008743B6" w:rsidRPr="0057700D" w:rsidRDefault="00C57F1A" w:rsidP="00D95512">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To succeed on a claim of selective enforcement</w:t>
      </w:r>
      <w:r w:rsidR="001A4B70" w:rsidRPr="0057700D">
        <w:rPr>
          <w:rFonts w:ascii="Century Schoolbook" w:eastAsia="Calibri" w:hAnsi="Century Schoolbook" w:cs="Times New Roman"/>
          <w:sz w:val="26"/>
          <w:szCs w:val="26"/>
        </w:rPr>
        <w:t xml:space="preserve"> based on race</w:t>
      </w:r>
      <w:r w:rsidRPr="0057700D">
        <w:rPr>
          <w:rFonts w:ascii="Century Schoolbook" w:eastAsia="Calibri" w:hAnsi="Century Schoolbook" w:cs="Times New Roman"/>
          <w:sz w:val="26"/>
          <w:szCs w:val="26"/>
        </w:rPr>
        <w:t>, a defendant must show that the challenged police action</w:t>
      </w:r>
      <w:r w:rsidR="009B6DF6" w:rsidRPr="0057700D">
        <w:rPr>
          <w:rFonts w:ascii="Century Schoolbook" w:eastAsia="Calibri" w:hAnsi="Century Schoolbook" w:cs="Times New Roman"/>
          <w:sz w:val="26"/>
          <w:szCs w:val="26"/>
        </w:rPr>
        <w:t xml:space="preserve"> (1) </w:t>
      </w:r>
      <w:r w:rsidRPr="0057700D">
        <w:rPr>
          <w:rFonts w:ascii="Century Schoolbook" w:eastAsia="Calibri" w:hAnsi="Century Schoolbook" w:cs="Times New Roman"/>
          <w:sz w:val="26"/>
          <w:szCs w:val="26"/>
        </w:rPr>
        <w:t>was motivated by a discriminatory purpose; and</w:t>
      </w:r>
      <w:r w:rsidR="009B6DF6" w:rsidRPr="0057700D">
        <w:rPr>
          <w:rFonts w:ascii="Century Schoolbook" w:eastAsia="Calibri" w:hAnsi="Century Schoolbook" w:cs="Times New Roman"/>
          <w:sz w:val="26"/>
          <w:szCs w:val="26"/>
        </w:rPr>
        <w:t xml:space="preserve"> (2) </w:t>
      </w:r>
      <w:r w:rsidRPr="0057700D">
        <w:rPr>
          <w:rFonts w:ascii="Century Schoolbook" w:eastAsia="Calibri" w:hAnsi="Century Schoolbook" w:cs="Times New Roman"/>
          <w:sz w:val="26"/>
          <w:szCs w:val="26"/>
        </w:rPr>
        <w:t xml:space="preserve">had a discriminatory effect on </w:t>
      </w:r>
      <w:r w:rsidR="00A66E90" w:rsidRPr="0057700D">
        <w:rPr>
          <w:rFonts w:ascii="Century Schoolbook" w:eastAsia="Calibri" w:hAnsi="Century Schoolbook" w:cs="Times New Roman"/>
          <w:sz w:val="26"/>
          <w:szCs w:val="26"/>
        </w:rPr>
        <w:t>the</w:t>
      </w:r>
      <w:r w:rsidRPr="0057700D">
        <w:rPr>
          <w:rFonts w:ascii="Century Schoolbook" w:eastAsia="Calibri" w:hAnsi="Century Schoolbook" w:cs="Times New Roman"/>
          <w:sz w:val="26"/>
          <w:szCs w:val="26"/>
        </w:rPr>
        <w:t xml:space="preserve"> racial group to which the defendant belongs.</w:t>
      </w:r>
      <w:r w:rsidR="009B6DF6" w:rsidRPr="0057700D">
        <w:rPr>
          <w:rFonts w:ascii="Century Schoolbook" w:eastAsia="Calibri" w:hAnsi="Century Schoolbook" w:cs="Times New Roman"/>
          <w:sz w:val="26"/>
          <w:szCs w:val="26"/>
        </w:rPr>
        <w:t xml:space="preserve"> </w:t>
      </w:r>
      <w:r w:rsidR="00C366FE" w:rsidRPr="0057700D">
        <w:rPr>
          <w:rFonts w:ascii="Century Schoolbook" w:eastAsia="Calibri" w:hAnsi="Century Schoolbook" w:cs="Times New Roman"/>
          <w:sz w:val="26"/>
          <w:szCs w:val="26"/>
        </w:rPr>
        <w:t xml:space="preserve"> </w:t>
      </w:r>
      <w:proofErr w:type="spellStart"/>
      <w:r w:rsidR="00C366FE" w:rsidRPr="0057700D">
        <w:rPr>
          <w:rFonts w:ascii="Century Schoolbook" w:eastAsia="Calibri" w:hAnsi="Century Schoolbook" w:cs="Times New Roman"/>
          <w:i/>
          <w:iCs/>
          <w:sz w:val="26"/>
          <w:szCs w:val="26"/>
        </w:rPr>
        <w:t>Wayte</w:t>
      </w:r>
      <w:proofErr w:type="spellEnd"/>
      <w:r w:rsidR="00C366FE" w:rsidRPr="0057700D">
        <w:rPr>
          <w:rFonts w:ascii="Century Schoolbook" w:eastAsia="Calibri" w:hAnsi="Century Schoolbook" w:cs="Times New Roman"/>
          <w:i/>
          <w:iCs/>
          <w:sz w:val="26"/>
          <w:szCs w:val="26"/>
        </w:rPr>
        <w:t xml:space="preserve"> v. United States</w:t>
      </w:r>
      <w:r w:rsidR="00C366FE" w:rsidRPr="0057700D">
        <w:rPr>
          <w:rFonts w:ascii="Century Schoolbook" w:eastAsia="Calibri" w:hAnsi="Century Schoolbook" w:cs="Times New Roman"/>
          <w:sz w:val="26"/>
          <w:szCs w:val="26"/>
        </w:rPr>
        <w:t xml:space="preserve">, 470 U.S. 598, </w:t>
      </w:r>
      <w:r w:rsidR="005A2028" w:rsidRPr="0057700D">
        <w:rPr>
          <w:rFonts w:ascii="Century Schoolbook" w:eastAsia="Calibri" w:hAnsi="Century Schoolbook" w:cs="Times New Roman"/>
          <w:sz w:val="26"/>
          <w:szCs w:val="26"/>
        </w:rPr>
        <w:lastRenderedPageBreak/>
        <w:t>609 (1985)</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Wayte v. United States</w:instrText>
      </w:r>
      <w:r w:rsidR="00825D98" w:rsidRPr="0057700D">
        <w:rPr>
          <w:rFonts w:ascii="Century Schoolbook" w:eastAsia="Calibri" w:hAnsi="Century Schoolbook" w:cs="Times New Roman"/>
          <w:sz w:val="26"/>
          <w:szCs w:val="26"/>
        </w:rPr>
        <w:instrText>, 470 U.S. 598, 609 (1985)</w:instrText>
      </w:r>
      <w:r w:rsidR="00825D98" w:rsidRPr="0057700D">
        <w:instrText xml:space="preserve">" \s "Wayte v. United States, 470 U.S. 598, 609 (1985)" \c 1 </w:instrText>
      </w:r>
      <w:r w:rsidR="00825D98" w:rsidRPr="0057700D">
        <w:rPr>
          <w:rFonts w:ascii="Century Schoolbook" w:eastAsia="Calibri" w:hAnsi="Century Schoolbook" w:cs="Times New Roman"/>
          <w:sz w:val="26"/>
          <w:szCs w:val="26"/>
        </w:rPr>
        <w:fldChar w:fldCharType="end"/>
      </w:r>
      <w:r w:rsidR="005A2028" w:rsidRPr="0057700D">
        <w:rPr>
          <w:rFonts w:ascii="Century Schoolbook" w:eastAsia="Calibri" w:hAnsi="Century Schoolbook" w:cs="Times New Roman"/>
          <w:sz w:val="26"/>
          <w:szCs w:val="26"/>
        </w:rPr>
        <w:t>;</w:t>
      </w:r>
      <w:r w:rsidR="009B6DF6"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i/>
          <w:iCs/>
          <w:sz w:val="26"/>
          <w:szCs w:val="26"/>
        </w:rPr>
        <w:t>S. S. Kresge Co. v. Davis</w:t>
      </w:r>
      <w:r w:rsidRPr="0057700D">
        <w:rPr>
          <w:rFonts w:ascii="Century Schoolbook" w:eastAsia="Calibri" w:hAnsi="Century Schoolbook" w:cs="Times New Roman"/>
          <w:sz w:val="26"/>
          <w:szCs w:val="26"/>
        </w:rPr>
        <w:t>, 277 N.C. 654</w:t>
      </w:r>
      <w:r w:rsidR="00430C3A" w:rsidRPr="0057700D">
        <w:rPr>
          <w:rFonts w:ascii="Century Schoolbook" w:eastAsia="Calibri" w:hAnsi="Century Schoolbook" w:cs="Times New Roman"/>
          <w:sz w:val="26"/>
          <w:szCs w:val="26"/>
        </w:rPr>
        <w:t xml:space="preserve">, 662 </w:t>
      </w:r>
      <w:r w:rsidRPr="0057700D">
        <w:rPr>
          <w:rFonts w:ascii="Century Schoolbook" w:eastAsia="Calibri" w:hAnsi="Century Schoolbook" w:cs="Times New Roman"/>
          <w:sz w:val="26"/>
          <w:szCs w:val="26"/>
        </w:rPr>
        <w:t>(1971)</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S. S. Kresge Co. v. Davis</w:instrText>
      </w:r>
      <w:r w:rsidR="00825D98" w:rsidRPr="0057700D">
        <w:rPr>
          <w:rFonts w:ascii="Century Schoolbook" w:eastAsia="Calibri" w:hAnsi="Century Schoolbook" w:cs="Times New Roman"/>
          <w:sz w:val="26"/>
          <w:szCs w:val="26"/>
        </w:rPr>
        <w:instrText>, 277 N.C. 654, 662 (1971)</w:instrText>
      </w:r>
      <w:r w:rsidR="00825D98" w:rsidRPr="0057700D">
        <w:instrText xml:space="preserve">" \s "S. S. Kresge Co. v. Davis, 277 N.C. 654, 662 (1971)" \c 1 </w:instrText>
      </w:r>
      <w:r w:rsidR="00825D98" w:rsidRPr="0057700D">
        <w:rPr>
          <w:rFonts w:ascii="Century Schoolbook" w:eastAsia="Calibri" w:hAnsi="Century Schoolbook" w:cs="Times New Roman"/>
          <w:sz w:val="26"/>
          <w:szCs w:val="26"/>
        </w:rPr>
        <w:fldChar w:fldCharType="end"/>
      </w:r>
      <w:r w:rsidR="009B6DF6" w:rsidRPr="0057700D">
        <w:rPr>
          <w:rFonts w:ascii="Century Schoolbook" w:eastAsia="Calibri" w:hAnsi="Century Schoolbook" w:cs="Times New Roman"/>
          <w:sz w:val="26"/>
          <w:szCs w:val="26"/>
        </w:rPr>
        <w:t xml:space="preserve">. </w:t>
      </w:r>
      <w:r w:rsidR="00F95B9E" w:rsidRPr="0057700D">
        <w:rPr>
          <w:rFonts w:ascii="Century Schoolbook" w:eastAsia="Calibri" w:hAnsi="Century Schoolbook" w:cs="Times New Roman"/>
          <w:sz w:val="26"/>
          <w:szCs w:val="26"/>
        </w:rPr>
        <w:t xml:space="preserve"> </w:t>
      </w:r>
      <w:r w:rsidR="00F858AC" w:rsidRPr="0057700D">
        <w:rPr>
          <w:rFonts w:ascii="Century Schoolbook" w:eastAsia="Calibri" w:hAnsi="Century Schoolbook" w:cs="Times New Roman"/>
          <w:sz w:val="26"/>
          <w:szCs w:val="26"/>
        </w:rPr>
        <w:t>D</w:t>
      </w:r>
      <w:r w:rsidR="00204BFB" w:rsidRPr="0057700D">
        <w:rPr>
          <w:rFonts w:ascii="Century Schoolbook" w:eastAsia="Calibri" w:hAnsi="Century Schoolbook" w:cs="Times New Roman"/>
          <w:sz w:val="26"/>
          <w:szCs w:val="26"/>
        </w:rPr>
        <w:t xml:space="preserve">iscriminatory intent </w:t>
      </w:r>
      <w:r w:rsidR="00824E60" w:rsidRPr="0057700D">
        <w:rPr>
          <w:rFonts w:ascii="Century Schoolbook" w:eastAsia="Calibri" w:hAnsi="Century Schoolbook" w:cs="Times New Roman"/>
          <w:sz w:val="26"/>
          <w:szCs w:val="26"/>
        </w:rPr>
        <w:t>– just like any subjective intent</w:t>
      </w:r>
      <w:r w:rsidR="00DC46F9" w:rsidRPr="0057700D">
        <w:rPr>
          <w:rStyle w:val="FootnoteReference"/>
          <w:rFonts w:ascii="Century Schoolbook" w:eastAsia="Calibri" w:hAnsi="Century Schoolbook" w:cs="Times New Roman"/>
          <w:sz w:val="26"/>
          <w:szCs w:val="26"/>
        </w:rPr>
        <w:footnoteReference w:id="8"/>
      </w:r>
      <w:r w:rsidR="00824E60" w:rsidRPr="0057700D">
        <w:rPr>
          <w:rFonts w:ascii="Century Schoolbook" w:eastAsia="Calibri" w:hAnsi="Century Schoolbook" w:cs="Times New Roman"/>
          <w:sz w:val="26"/>
          <w:szCs w:val="26"/>
        </w:rPr>
        <w:t xml:space="preserve"> – </w:t>
      </w:r>
      <w:r w:rsidR="00204BFB" w:rsidRPr="0057700D">
        <w:rPr>
          <w:rFonts w:ascii="Century Schoolbook" w:eastAsia="Calibri" w:hAnsi="Century Schoolbook" w:cs="Times New Roman"/>
          <w:sz w:val="26"/>
          <w:szCs w:val="26"/>
        </w:rPr>
        <w:t xml:space="preserve">may </w:t>
      </w:r>
      <w:r w:rsidR="00F858AC" w:rsidRPr="0057700D">
        <w:rPr>
          <w:rFonts w:ascii="Century Schoolbook" w:eastAsia="Calibri" w:hAnsi="Century Schoolbook" w:cs="Times New Roman"/>
          <w:sz w:val="26"/>
          <w:szCs w:val="26"/>
        </w:rPr>
        <w:t xml:space="preserve">be established </w:t>
      </w:r>
      <w:r w:rsidR="00FA4FF9" w:rsidRPr="0057700D">
        <w:rPr>
          <w:rFonts w:ascii="Century Schoolbook" w:eastAsia="Calibri" w:hAnsi="Century Schoolbook" w:cs="Times New Roman"/>
          <w:sz w:val="26"/>
          <w:szCs w:val="26"/>
        </w:rPr>
        <w:t>through circumstantial evidence</w:t>
      </w:r>
      <w:r w:rsidR="009129F9" w:rsidRPr="0057700D">
        <w:rPr>
          <w:rFonts w:ascii="Century Schoolbook" w:eastAsia="Calibri" w:hAnsi="Century Schoolbook" w:cs="Times New Roman"/>
          <w:sz w:val="26"/>
          <w:szCs w:val="26"/>
        </w:rPr>
        <w:t>, including statistical evidence</w:t>
      </w:r>
      <w:r w:rsidR="00FA4FF9" w:rsidRPr="0057700D">
        <w:rPr>
          <w:rFonts w:ascii="Century Schoolbook" w:eastAsia="Calibri" w:hAnsi="Century Schoolbook" w:cs="Times New Roman"/>
          <w:sz w:val="26"/>
          <w:szCs w:val="26"/>
        </w:rPr>
        <w:t xml:space="preserve">. </w:t>
      </w:r>
      <w:r w:rsidR="00AD38F6" w:rsidRPr="0057700D">
        <w:rPr>
          <w:rFonts w:ascii="Century Schoolbook" w:eastAsia="Calibri" w:hAnsi="Century Schoolbook" w:cs="Times New Roman"/>
          <w:sz w:val="26"/>
          <w:szCs w:val="26"/>
        </w:rPr>
        <w:t xml:space="preserve"> </w:t>
      </w:r>
      <w:proofErr w:type="spellStart"/>
      <w:r w:rsidR="008C45CD" w:rsidRPr="0057700D">
        <w:rPr>
          <w:rFonts w:ascii="Century Schoolbook" w:eastAsia="Calibri" w:hAnsi="Century Schoolbook" w:cs="Times New Roman"/>
          <w:i/>
          <w:iCs/>
          <w:sz w:val="26"/>
          <w:szCs w:val="26"/>
        </w:rPr>
        <w:t>McKleskey</w:t>
      </w:r>
      <w:proofErr w:type="spellEnd"/>
      <w:r w:rsidR="008C45CD" w:rsidRPr="0057700D">
        <w:rPr>
          <w:rFonts w:ascii="Century Schoolbook" w:eastAsia="Calibri" w:hAnsi="Century Schoolbook" w:cs="Times New Roman"/>
          <w:i/>
          <w:iCs/>
          <w:sz w:val="26"/>
          <w:szCs w:val="26"/>
        </w:rPr>
        <w:t xml:space="preserve"> v. Kemp</w:t>
      </w:r>
      <w:r w:rsidR="008C45CD" w:rsidRPr="0057700D">
        <w:rPr>
          <w:rFonts w:ascii="Century Schoolbook" w:eastAsia="Calibri" w:hAnsi="Century Schoolbook" w:cs="Times New Roman"/>
          <w:sz w:val="26"/>
          <w:szCs w:val="26"/>
        </w:rPr>
        <w:t xml:space="preserve">, 481 </w:t>
      </w:r>
      <w:r w:rsidR="009129F9" w:rsidRPr="0057700D">
        <w:rPr>
          <w:rFonts w:ascii="Century Schoolbook" w:eastAsia="Calibri" w:hAnsi="Century Schoolbook" w:cs="Times New Roman"/>
          <w:sz w:val="26"/>
          <w:szCs w:val="26"/>
        </w:rPr>
        <w:t>U</w:t>
      </w:r>
      <w:r w:rsidR="008C45CD" w:rsidRPr="0057700D">
        <w:rPr>
          <w:rFonts w:ascii="Century Schoolbook" w:eastAsia="Calibri" w:hAnsi="Century Schoolbook" w:cs="Times New Roman"/>
          <w:sz w:val="26"/>
          <w:szCs w:val="26"/>
        </w:rPr>
        <w:t>.S. 279, 294 (19</w:t>
      </w:r>
      <w:r w:rsidR="00FB61A9" w:rsidRPr="0057700D">
        <w:rPr>
          <w:rFonts w:ascii="Century Schoolbook" w:eastAsia="Calibri" w:hAnsi="Century Schoolbook" w:cs="Times New Roman"/>
          <w:sz w:val="26"/>
          <w:szCs w:val="26"/>
        </w:rPr>
        <w:t>87</w:t>
      </w:r>
      <w:r w:rsidR="008C45CD" w:rsidRPr="0057700D">
        <w:rPr>
          <w:rFonts w:ascii="Century Schoolbook" w:eastAsia="Calibri" w:hAnsi="Century Schoolbook" w:cs="Times New Roman"/>
          <w:sz w:val="26"/>
          <w:szCs w:val="26"/>
        </w:rPr>
        <w:t>)</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McKleskey v. Kemp</w:instrText>
      </w:r>
      <w:r w:rsidR="00825D98" w:rsidRPr="0057700D">
        <w:rPr>
          <w:rFonts w:ascii="Century Schoolbook" w:eastAsia="Calibri" w:hAnsi="Century Schoolbook" w:cs="Times New Roman"/>
          <w:sz w:val="26"/>
          <w:szCs w:val="26"/>
        </w:rPr>
        <w:instrText>, 481 U.S. 279, 294 (1987)</w:instrText>
      </w:r>
      <w:r w:rsidR="00825D98" w:rsidRPr="0057700D">
        <w:instrText xml:space="preserve">" \s "McKleskey v. Kemp, 481 U.S. 279, 294 (1987)" \c 1 </w:instrText>
      </w:r>
      <w:r w:rsidR="00825D98" w:rsidRPr="0057700D">
        <w:rPr>
          <w:rFonts w:ascii="Century Schoolbook" w:eastAsia="Calibri" w:hAnsi="Century Schoolbook" w:cs="Times New Roman"/>
          <w:sz w:val="26"/>
          <w:szCs w:val="26"/>
        </w:rPr>
        <w:fldChar w:fldCharType="end"/>
      </w:r>
      <w:r w:rsidR="008C45CD" w:rsidRPr="0057700D">
        <w:rPr>
          <w:rFonts w:ascii="Century Schoolbook" w:eastAsia="Calibri" w:hAnsi="Century Schoolbook" w:cs="Times New Roman"/>
          <w:sz w:val="26"/>
          <w:szCs w:val="26"/>
        </w:rPr>
        <w:t xml:space="preserve"> (</w:t>
      </w:r>
      <w:r w:rsidR="00303E7F" w:rsidRPr="0057700D">
        <w:rPr>
          <w:rFonts w:ascii="Century Schoolbook" w:eastAsia="Calibri" w:hAnsi="Century Schoolbook" w:cs="Times New Roman"/>
          <w:sz w:val="26"/>
          <w:szCs w:val="26"/>
        </w:rPr>
        <w:t xml:space="preserve">noting acceptance of statistical evidence as </w:t>
      </w:r>
      <w:r w:rsidR="006C7831" w:rsidRPr="0057700D">
        <w:rPr>
          <w:rFonts w:ascii="Century Schoolbook" w:eastAsia="Calibri" w:hAnsi="Century Schoolbook" w:cs="Times New Roman"/>
          <w:sz w:val="26"/>
          <w:szCs w:val="26"/>
        </w:rPr>
        <w:t xml:space="preserve">sole </w:t>
      </w:r>
      <w:r w:rsidR="00303E7F" w:rsidRPr="0057700D">
        <w:rPr>
          <w:rFonts w:ascii="Century Schoolbook" w:eastAsia="Calibri" w:hAnsi="Century Schoolbook" w:cs="Times New Roman"/>
          <w:sz w:val="26"/>
          <w:szCs w:val="26"/>
        </w:rPr>
        <w:t xml:space="preserve">proof of discriminatory intent </w:t>
      </w:r>
      <w:r w:rsidR="006C7831" w:rsidRPr="0057700D">
        <w:rPr>
          <w:rFonts w:ascii="Century Schoolbook" w:eastAsia="Calibri" w:hAnsi="Century Schoolbook" w:cs="Times New Roman"/>
          <w:sz w:val="26"/>
          <w:szCs w:val="26"/>
        </w:rPr>
        <w:t>where disparities are “stark”)</w:t>
      </w:r>
      <w:r w:rsidR="008743B6" w:rsidRPr="0057700D">
        <w:rPr>
          <w:rFonts w:ascii="Century Schoolbook" w:eastAsia="Calibri" w:hAnsi="Century Schoolbook" w:cs="Times New Roman"/>
          <w:sz w:val="26"/>
          <w:szCs w:val="26"/>
        </w:rPr>
        <w:t xml:space="preserve">; </w:t>
      </w:r>
      <w:r w:rsidR="008743B6" w:rsidRPr="0057700D">
        <w:rPr>
          <w:rFonts w:ascii="Century Schoolbook" w:eastAsia="Calibri" w:hAnsi="Century Schoolbook" w:cs="Times New Roman"/>
          <w:i/>
          <w:iCs/>
          <w:sz w:val="26"/>
          <w:szCs w:val="26"/>
        </w:rPr>
        <w:t>Batson v. Kentucky</w:t>
      </w:r>
      <w:r w:rsidR="008743B6" w:rsidRPr="0057700D">
        <w:rPr>
          <w:rFonts w:ascii="Century Schoolbook" w:eastAsia="Calibri" w:hAnsi="Century Schoolbook" w:cs="Times New Roman"/>
          <w:sz w:val="26"/>
          <w:szCs w:val="26"/>
        </w:rPr>
        <w:t>, 476 U.S. 79, 93 (1986)</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Batson v. Kentucky</w:instrText>
      </w:r>
      <w:r w:rsidR="00825D98" w:rsidRPr="0057700D">
        <w:rPr>
          <w:rFonts w:ascii="Century Schoolbook" w:eastAsia="Calibri" w:hAnsi="Century Schoolbook" w:cs="Times New Roman"/>
          <w:sz w:val="26"/>
          <w:szCs w:val="26"/>
        </w:rPr>
        <w:instrText>, 476 U.S. 79, 93 (1986)</w:instrText>
      </w:r>
      <w:r w:rsidR="00825D98" w:rsidRPr="0057700D">
        <w:instrText xml:space="preserve">" \s "Batson v. Kentucky, 476 U.S. 79, 93 (1986)" \c 1 </w:instrText>
      </w:r>
      <w:r w:rsidR="00825D98" w:rsidRPr="0057700D">
        <w:rPr>
          <w:rFonts w:ascii="Century Schoolbook" w:eastAsia="Calibri" w:hAnsi="Century Schoolbook" w:cs="Times New Roman"/>
          <w:sz w:val="26"/>
          <w:szCs w:val="26"/>
        </w:rPr>
        <w:fldChar w:fldCharType="end"/>
      </w:r>
      <w:r w:rsidR="008743B6" w:rsidRPr="0057700D">
        <w:rPr>
          <w:rFonts w:ascii="Century Schoolbook" w:eastAsia="Calibri" w:hAnsi="Century Schoolbook" w:cs="Times New Roman"/>
          <w:sz w:val="26"/>
          <w:szCs w:val="26"/>
        </w:rPr>
        <w:t xml:space="preserve"> (</w:t>
      </w:r>
      <w:r w:rsidR="00210C22" w:rsidRPr="0057700D">
        <w:rPr>
          <w:rFonts w:ascii="Century Schoolbook" w:eastAsia="Calibri" w:hAnsi="Century Schoolbook" w:cs="Times New Roman"/>
          <w:sz w:val="26"/>
          <w:szCs w:val="26"/>
        </w:rPr>
        <w:t xml:space="preserve">noting that </w:t>
      </w:r>
      <w:r w:rsidR="00A62689" w:rsidRPr="0057700D">
        <w:rPr>
          <w:rFonts w:ascii="Century Schoolbook" w:eastAsia="Calibri" w:hAnsi="Century Schoolbook" w:cs="Times New Roman"/>
          <w:sz w:val="26"/>
          <w:szCs w:val="26"/>
        </w:rPr>
        <w:t>proof of discriminatory impact may demonstrate unconstitutionality where the dis</w:t>
      </w:r>
      <w:r w:rsidR="008529A2" w:rsidRPr="0057700D">
        <w:rPr>
          <w:rFonts w:ascii="Century Schoolbook" w:eastAsia="Calibri" w:hAnsi="Century Schoolbook" w:cs="Times New Roman"/>
          <w:sz w:val="26"/>
          <w:szCs w:val="26"/>
        </w:rPr>
        <w:t xml:space="preserve">parity is </w:t>
      </w:r>
      <w:r w:rsidR="00A62689" w:rsidRPr="0057700D">
        <w:rPr>
          <w:rFonts w:ascii="Century Schoolbook" w:eastAsia="Calibri" w:hAnsi="Century Schoolbook" w:cs="Times New Roman"/>
          <w:sz w:val="26"/>
          <w:szCs w:val="26"/>
        </w:rPr>
        <w:t>“very difficult to explain on nonracial grounds</w:t>
      </w:r>
      <w:r w:rsidR="0083679A" w:rsidRPr="0057700D">
        <w:rPr>
          <w:rFonts w:ascii="Century Schoolbook" w:eastAsia="Calibri" w:hAnsi="Century Schoolbook" w:cs="Times New Roman"/>
          <w:sz w:val="26"/>
          <w:szCs w:val="26"/>
        </w:rPr>
        <w:t>”)</w:t>
      </w:r>
      <w:r w:rsidR="003B2A8A" w:rsidRPr="0057700D">
        <w:rPr>
          <w:rFonts w:ascii="Century Schoolbook" w:eastAsia="Calibri" w:hAnsi="Century Schoolbook" w:cs="Times New Roman"/>
          <w:sz w:val="26"/>
          <w:szCs w:val="26"/>
        </w:rPr>
        <w:t xml:space="preserve"> (internal citations omitted)</w:t>
      </w:r>
      <w:r w:rsidR="0083679A" w:rsidRPr="0057700D">
        <w:rPr>
          <w:rFonts w:ascii="Century Schoolbook" w:eastAsia="Calibri" w:hAnsi="Century Schoolbook" w:cs="Times New Roman"/>
          <w:sz w:val="26"/>
          <w:szCs w:val="26"/>
        </w:rPr>
        <w:t>.</w:t>
      </w:r>
    </w:p>
    <w:p w14:paraId="44988A5F" w14:textId="0EFFF29B" w:rsidR="005E1D4E" w:rsidRPr="0057700D" w:rsidRDefault="00896C4A" w:rsidP="005E1D4E">
      <w:pPr>
        <w:spacing w:after="0" w:line="480" w:lineRule="auto"/>
        <w:ind w:firstLine="720"/>
        <w:rPr>
          <w:rFonts w:ascii="Century Schoolbook" w:eastAsia="Times New Roman" w:hAnsi="Century Schoolbook" w:cs="Times New Roman"/>
          <w:sz w:val="26"/>
          <w:szCs w:val="26"/>
        </w:rPr>
      </w:pPr>
      <w:r w:rsidRPr="0057700D">
        <w:rPr>
          <w:rFonts w:ascii="Century Schoolbook" w:eastAsia="Calibri" w:hAnsi="Century Schoolbook" w:cs="Times New Roman"/>
          <w:sz w:val="26"/>
          <w:szCs w:val="26"/>
        </w:rPr>
        <w:t>Courts analyze e</w:t>
      </w:r>
      <w:r w:rsidR="00C64683" w:rsidRPr="0057700D">
        <w:rPr>
          <w:rFonts w:ascii="Century Schoolbook" w:eastAsia="Calibri" w:hAnsi="Century Schoolbook" w:cs="Times New Roman"/>
          <w:sz w:val="26"/>
          <w:szCs w:val="26"/>
        </w:rPr>
        <w:t xml:space="preserve">qual protection </w:t>
      </w:r>
      <w:r w:rsidR="004B1068" w:rsidRPr="0057700D">
        <w:rPr>
          <w:rFonts w:ascii="Century Schoolbook" w:eastAsia="Calibri" w:hAnsi="Century Schoolbook" w:cs="Times New Roman"/>
          <w:sz w:val="26"/>
          <w:szCs w:val="26"/>
        </w:rPr>
        <w:t xml:space="preserve">violations </w:t>
      </w:r>
      <w:r w:rsidRPr="0057700D">
        <w:rPr>
          <w:rFonts w:ascii="Century Schoolbook" w:eastAsia="Calibri" w:hAnsi="Century Schoolbook" w:cs="Times New Roman"/>
          <w:sz w:val="26"/>
          <w:szCs w:val="26"/>
        </w:rPr>
        <w:t xml:space="preserve">using </w:t>
      </w:r>
      <w:r w:rsidR="004B1068" w:rsidRPr="0057700D">
        <w:rPr>
          <w:rFonts w:ascii="Century Schoolbook" w:eastAsia="Calibri" w:hAnsi="Century Schoolbook" w:cs="Times New Roman"/>
          <w:sz w:val="26"/>
          <w:szCs w:val="26"/>
        </w:rPr>
        <w:t xml:space="preserve">a </w:t>
      </w:r>
      <w:r w:rsidR="00C64683" w:rsidRPr="0057700D">
        <w:rPr>
          <w:rFonts w:ascii="Century Schoolbook" w:eastAsia="Calibri" w:hAnsi="Century Schoolbook" w:cs="Times New Roman"/>
          <w:sz w:val="26"/>
          <w:szCs w:val="26"/>
        </w:rPr>
        <w:t>burden-shifting a</w:t>
      </w:r>
      <w:r w:rsidR="004B1068" w:rsidRPr="0057700D">
        <w:rPr>
          <w:rFonts w:ascii="Century Schoolbook" w:eastAsia="Calibri" w:hAnsi="Century Schoolbook" w:cs="Times New Roman"/>
          <w:sz w:val="26"/>
          <w:szCs w:val="26"/>
        </w:rPr>
        <w:t>pproach</w:t>
      </w:r>
      <w:r w:rsidR="006953CE" w:rsidRPr="0057700D">
        <w:rPr>
          <w:rFonts w:ascii="Century Schoolbook" w:eastAsia="Calibri" w:hAnsi="Century Schoolbook" w:cs="Times New Roman"/>
          <w:sz w:val="26"/>
          <w:szCs w:val="26"/>
        </w:rPr>
        <w:t xml:space="preserve">:  </w:t>
      </w:r>
      <w:r w:rsidR="004B1068" w:rsidRPr="0057700D">
        <w:rPr>
          <w:rFonts w:ascii="Century Schoolbook" w:eastAsia="Calibri" w:hAnsi="Century Schoolbook" w:cs="Times New Roman"/>
          <w:sz w:val="26"/>
          <w:szCs w:val="26"/>
        </w:rPr>
        <w:t>the m</w:t>
      </w:r>
      <w:r w:rsidR="003410E0" w:rsidRPr="0057700D">
        <w:rPr>
          <w:rFonts w:ascii="Century Schoolbook" w:eastAsia="Calibri" w:hAnsi="Century Schoolbook" w:cs="Times New Roman"/>
          <w:sz w:val="26"/>
          <w:szCs w:val="26"/>
        </w:rPr>
        <w:t xml:space="preserve">ovant must present prima facie evidence of discrimination, after which the burden shifts to the </w:t>
      </w:r>
      <w:r w:rsidR="00EF7E51" w:rsidRPr="0057700D">
        <w:rPr>
          <w:rFonts w:ascii="Century Schoolbook" w:eastAsia="Calibri" w:hAnsi="Century Schoolbook" w:cs="Times New Roman"/>
          <w:sz w:val="26"/>
          <w:szCs w:val="26"/>
        </w:rPr>
        <w:t xml:space="preserve">respondent </w:t>
      </w:r>
      <w:r w:rsidR="003410E0" w:rsidRPr="0057700D">
        <w:rPr>
          <w:rFonts w:ascii="Century Schoolbook" w:eastAsia="Calibri" w:hAnsi="Century Schoolbook" w:cs="Times New Roman"/>
          <w:sz w:val="26"/>
          <w:szCs w:val="26"/>
        </w:rPr>
        <w:t xml:space="preserve">to rebut the presumption of unconstitutional action. </w:t>
      </w:r>
      <w:r w:rsidR="006953CE" w:rsidRPr="0057700D">
        <w:rPr>
          <w:rFonts w:ascii="Century Schoolbook" w:eastAsia="Calibri" w:hAnsi="Century Schoolbook" w:cs="Times New Roman"/>
          <w:sz w:val="26"/>
          <w:szCs w:val="26"/>
        </w:rPr>
        <w:t xml:space="preserve"> </w:t>
      </w:r>
      <w:r w:rsidR="00E21B7D" w:rsidRPr="0057700D">
        <w:rPr>
          <w:rFonts w:ascii="Century Schoolbook" w:eastAsia="Calibri" w:hAnsi="Century Schoolbook" w:cs="Times New Roman"/>
          <w:i/>
          <w:iCs/>
          <w:sz w:val="26"/>
          <w:szCs w:val="26"/>
        </w:rPr>
        <w:t>Washington v. Davis</w:t>
      </w:r>
      <w:r w:rsidR="00E21B7D" w:rsidRPr="0057700D">
        <w:rPr>
          <w:rFonts w:ascii="Century Schoolbook" w:eastAsia="Calibri" w:hAnsi="Century Schoolbook" w:cs="Times New Roman"/>
          <w:sz w:val="26"/>
          <w:szCs w:val="26"/>
        </w:rPr>
        <w:t>, 426 U.S. 229, 241 (1976)</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Washington v. Davis</w:instrText>
      </w:r>
      <w:r w:rsidR="00825D98" w:rsidRPr="0057700D">
        <w:rPr>
          <w:rFonts w:ascii="Century Schoolbook" w:eastAsia="Calibri" w:hAnsi="Century Schoolbook" w:cs="Times New Roman"/>
          <w:sz w:val="26"/>
          <w:szCs w:val="26"/>
        </w:rPr>
        <w:instrText>, 426 U.S. 229, 241 (1976)</w:instrText>
      </w:r>
      <w:r w:rsidR="00825D98" w:rsidRPr="0057700D">
        <w:instrText xml:space="preserve">" \s "Washington v. Davis, 426 U.S. 229, 241 (1976)" \c 1 </w:instrText>
      </w:r>
      <w:r w:rsidR="00825D98" w:rsidRPr="0057700D">
        <w:rPr>
          <w:rFonts w:ascii="Century Schoolbook" w:eastAsia="Calibri" w:hAnsi="Century Schoolbook" w:cs="Times New Roman"/>
          <w:sz w:val="26"/>
          <w:szCs w:val="26"/>
        </w:rPr>
        <w:fldChar w:fldCharType="end"/>
      </w:r>
      <w:r w:rsidR="004054D8" w:rsidRPr="0057700D">
        <w:rPr>
          <w:rFonts w:ascii="Century Schoolbook" w:eastAsia="Calibri" w:hAnsi="Century Schoolbook" w:cs="Times New Roman"/>
          <w:sz w:val="26"/>
          <w:szCs w:val="26"/>
        </w:rPr>
        <w:t xml:space="preserve"> (</w:t>
      </w:r>
      <w:r w:rsidR="00E43BB7" w:rsidRPr="0057700D">
        <w:rPr>
          <w:rFonts w:ascii="Century Schoolbook" w:eastAsia="Calibri" w:hAnsi="Century Schoolbook" w:cs="Times New Roman"/>
          <w:sz w:val="26"/>
          <w:szCs w:val="26"/>
        </w:rPr>
        <w:t>reviewing discrimination in police entrance exam)</w:t>
      </w:r>
      <w:r w:rsidR="00BF2998" w:rsidRPr="0057700D">
        <w:rPr>
          <w:rFonts w:ascii="Century Schoolbook" w:eastAsia="Calibri" w:hAnsi="Century Schoolbook" w:cs="Times New Roman"/>
          <w:sz w:val="26"/>
          <w:szCs w:val="26"/>
        </w:rPr>
        <w:t>;</w:t>
      </w:r>
      <w:r w:rsidR="00E21B7D" w:rsidRPr="0057700D">
        <w:rPr>
          <w:rFonts w:ascii="Century Schoolbook" w:eastAsia="Calibri" w:hAnsi="Century Schoolbook" w:cs="Times New Roman"/>
          <w:sz w:val="26"/>
          <w:szCs w:val="26"/>
        </w:rPr>
        <w:t xml:space="preserve"> </w:t>
      </w:r>
      <w:r w:rsidR="00825D98" w:rsidRPr="0057700D">
        <w:rPr>
          <w:rFonts w:ascii="Century Schoolbook" w:eastAsia="Times New Roman" w:hAnsi="Century Schoolbook" w:cs="Times New Roman"/>
          <w:i/>
          <w:iCs/>
          <w:sz w:val="26"/>
          <w:szCs w:val="26"/>
        </w:rPr>
        <w:fldChar w:fldCharType="begin"/>
      </w:r>
      <w:r w:rsidR="00825D98" w:rsidRPr="0057700D">
        <w:instrText xml:space="preserve"> TA \l "</w:instrText>
      </w:r>
      <w:r w:rsidR="00825D98" w:rsidRPr="0057700D">
        <w:rPr>
          <w:rFonts w:ascii="Century Schoolbook" w:eastAsia="Times New Roman" w:hAnsi="Century Schoolbook" w:cs="Times New Roman"/>
          <w:i/>
          <w:iCs/>
          <w:sz w:val="26"/>
          <w:szCs w:val="26"/>
        </w:rPr>
        <w:instrText>Batson v. Kentucky</w:instrText>
      </w:r>
      <w:r w:rsidR="00825D98" w:rsidRPr="0057700D">
        <w:rPr>
          <w:rFonts w:ascii="Century Schoolbook" w:eastAsia="Times New Roman" w:hAnsi="Century Schoolbook" w:cs="Times New Roman"/>
          <w:sz w:val="26"/>
          <w:szCs w:val="26"/>
        </w:rPr>
        <w:instrText>, 476 U.S. 79 (1986)</w:instrText>
      </w:r>
      <w:r w:rsidR="00825D98" w:rsidRPr="0057700D">
        <w:instrText xml:space="preserve">" \s "Batson v. Kentucky, 476 U.S. 79 (1986)" \c 1 </w:instrText>
      </w:r>
      <w:r w:rsidR="00825D98" w:rsidRPr="0057700D">
        <w:rPr>
          <w:rFonts w:ascii="Century Schoolbook" w:eastAsia="Times New Roman" w:hAnsi="Century Schoolbook" w:cs="Times New Roman"/>
          <w:i/>
          <w:iCs/>
          <w:sz w:val="26"/>
          <w:szCs w:val="26"/>
        </w:rPr>
        <w:fldChar w:fldCharType="end"/>
      </w:r>
      <w:r w:rsidR="00B57EDE" w:rsidRPr="0057700D">
        <w:rPr>
          <w:rFonts w:ascii="Century Schoolbook" w:eastAsia="Times New Roman" w:hAnsi="Century Schoolbook" w:cs="Times New Roman"/>
          <w:i/>
          <w:iCs/>
          <w:sz w:val="26"/>
          <w:szCs w:val="26"/>
        </w:rPr>
        <w:t>Batson</w:t>
      </w:r>
      <w:r w:rsidR="00B57EDE" w:rsidRPr="0057700D">
        <w:rPr>
          <w:rFonts w:ascii="Century Schoolbook" w:eastAsia="Times New Roman" w:hAnsi="Century Schoolbook" w:cs="Times New Roman"/>
          <w:sz w:val="26"/>
          <w:szCs w:val="26"/>
        </w:rPr>
        <w:t xml:space="preserve">, 476 U.S. </w:t>
      </w:r>
      <w:r w:rsidR="00C76822" w:rsidRPr="0057700D">
        <w:rPr>
          <w:rFonts w:ascii="Century Schoolbook" w:eastAsia="Times New Roman" w:hAnsi="Century Schoolbook" w:cs="Times New Roman"/>
          <w:sz w:val="26"/>
          <w:szCs w:val="26"/>
        </w:rPr>
        <w:t>at</w:t>
      </w:r>
      <w:r w:rsidR="00096E16" w:rsidRPr="0057700D">
        <w:rPr>
          <w:rFonts w:ascii="Century Schoolbook" w:eastAsia="Times New Roman" w:hAnsi="Century Schoolbook" w:cs="Times New Roman"/>
          <w:sz w:val="26"/>
          <w:szCs w:val="26"/>
        </w:rPr>
        <w:t xml:space="preserve"> 94</w:t>
      </w:r>
      <w:r w:rsidR="00B57EDE" w:rsidRPr="0057700D">
        <w:rPr>
          <w:rFonts w:ascii="Century Schoolbook" w:eastAsia="Times New Roman" w:hAnsi="Century Schoolbook" w:cs="Times New Roman"/>
          <w:sz w:val="26"/>
          <w:szCs w:val="26"/>
        </w:rPr>
        <w:t xml:space="preserve"> </w:t>
      </w:r>
      <w:r w:rsidR="00E43BB7" w:rsidRPr="0057700D">
        <w:rPr>
          <w:rFonts w:ascii="Century Schoolbook" w:eastAsia="Times New Roman" w:hAnsi="Century Schoolbook" w:cs="Times New Roman"/>
          <w:sz w:val="26"/>
          <w:szCs w:val="26"/>
        </w:rPr>
        <w:t xml:space="preserve"> (</w:t>
      </w:r>
      <w:r w:rsidR="0030042C" w:rsidRPr="0057700D">
        <w:rPr>
          <w:rFonts w:ascii="Century Schoolbook" w:eastAsia="Times New Roman" w:hAnsi="Century Schoolbook" w:cs="Times New Roman"/>
          <w:sz w:val="26"/>
          <w:szCs w:val="26"/>
        </w:rPr>
        <w:t xml:space="preserve">reviewing </w:t>
      </w:r>
      <w:r w:rsidR="00E43BB7" w:rsidRPr="0057700D">
        <w:rPr>
          <w:rFonts w:ascii="Century Schoolbook" w:eastAsia="Times New Roman" w:hAnsi="Century Schoolbook" w:cs="Times New Roman"/>
          <w:sz w:val="26"/>
          <w:szCs w:val="26"/>
        </w:rPr>
        <w:t>discrimination in jury selection</w:t>
      </w:r>
      <w:r w:rsidR="00B57EDE" w:rsidRPr="0057700D">
        <w:rPr>
          <w:rFonts w:ascii="Century Schoolbook" w:eastAsia="Times New Roman" w:hAnsi="Century Schoolbook" w:cs="Times New Roman"/>
          <w:sz w:val="26"/>
          <w:szCs w:val="26"/>
        </w:rPr>
        <w:t>)</w:t>
      </w:r>
      <w:r w:rsidR="00E43BB7" w:rsidRPr="0057700D">
        <w:rPr>
          <w:rFonts w:ascii="Century Schoolbook" w:eastAsia="Times New Roman" w:hAnsi="Century Schoolbook" w:cs="Times New Roman"/>
          <w:sz w:val="26"/>
          <w:szCs w:val="26"/>
        </w:rPr>
        <w:t xml:space="preserve">; </w:t>
      </w:r>
      <w:r w:rsidR="005E1D4E" w:rsidRPr="0057700D">
        <w:rPr>
          <w:rFonts w:ascii="Century Schoolbook" w:eastAsia="Times New Roman" w:hAnsi="Century Schoolbook" w:cs="Times New Roman"/>
          <w:i/>
          <w:iCs/>
          <w:sz w:val="26"/>
          <w:szCs w:val="26"/>
        </w:rPr>
        <w:t>State v. Taylor</w:t>
      </w:r>
      <w:r w:rsidR="005E1D4E" w:rsidRPr="0057700D">
        <w:rPr>
          <w:rFonts w:ascii="Century Schoolbook" w:eastAsia="Times New Roman" w:hAnsi="Century Schoolbook" w:cs="Times New Roman"/>
          <w:sz w:val="26"/>
          <w:szCs w:val="26"/>
        </w:rPr>
        <w:t>, 362 N.C. 514, 527 (2008)</w:t>
      </w:r>
      <w:r w:rsidR="005E1D4E" w:rsidRPr="0057700D">
        <w:rPr>
          <w:rFonts w:ascii="Century Schoolbook" w:eastAsia="Times New Roman" w:hAnsi="Century Schoolbook" w:cs="Times New Roman"/>
          <w:sz w:val="26"/>
          <w:szCs w:val="26"/>
        </w:rPr>
        <w:fldChar w:fldCharType="begin"/>
      </w:r>
      <w:r w:rsidR="005E1D4E" w:rsidRPr="0057700D">
        <w:rPr>
          <w:rFonts w:ascii="Calibri" w:eastAsia="Calibri" w:hAnsi="Calibri" w:cs="Times New Roman"/>
        </w:rPr>
        <w:instrText xml:space="preserve"> TA \l "</w:instrText>
      </w:r>
      <w:r w:rsidR="005E1D4E" w:rsidRPr="0057700D">
        <w:rPr>
          <w:rFonts w:ascii="Century Schoolbook" w:eastAsia="Times New Roman" w:hAnsi="Century Schoolbook" w:cs="Times New Roman"/>
          <w:i/>
          <w:iCs/>
          <w:sz w:val="26"/>
          <w:szCs w:val="26"/>
        </w:rPr>
        <w:instrText>State v. Taylor</w:instrText>
      </w:r>
      <w:r w:rsidR="005E1D4E" w:rsidRPr="0057700D">
        <w:rPr>
          <w:rFonts w:ascii="Century Schoolbook" w:eastAsia="Times New Roman" w:hAnsi="Century Schoolbook" w:cs="Times New Roman"/>
          <w:sz w:val="26"/>
          <w:szCs w:val="26"/>
        </w:rPr>
        <w:instrText>, 362 N.C. 514, 527, 669 S.E.2d 239, 254 (2008)</w:instrText>
      </w:r>
      <w:r w:rsidR="005E1D4E" w:rsidRPr="0057700D">
        <w:rPr>
          <w:rFonts w:ascii="Calibri" w:eastAsia="Calibri" w:hAnsi="Calibri" w:cs="Times New Roman"/>
        </w:rPr>
        <w:instrText xml:space="preserve">" \s "State v. Taylor, 362 N.C. 514, 527, 669 S.E.2d 239, 254 (2008)" \c 1 </w:instrText>
      </w:r>
      <w:r w:rsidR="005E1D4E" w:rsidRPr="0057700D">
        <w:rPr>
          <w:rFonts w:ascii="Century Schoolbook" w:eastAsia="Times New Roman" w:hAnsi="Century Schoolbook" w:cs="Times New Roman"/>
          <w:sz w:val="26"/>
          <w:szCs w:val="26"/>
        </w:rPr>
        <w:fldChar w:fldCharType="end"/>
      </w:r>
      <w:r w:rsidR="005E1D4E" w:rsidRPr="0057700D">
        <w:rPr>
          <w:rFonts w:ascii="Century Schoolbook" w:eastAsia="Times New Roman" w:hAnsi="Century Schoolbook" w:cs="Times New Roman"/>
          <w:sz w:val="26"/>
          <w:szCs w:val="26"/>
        </w:rPr>
        <w:t xml:space="preserve"> (</w:t>
      </w:r>
      <w:r w:rsidR="00DB1890" w:rsidRPr="0057700D">
        <w:rPr>
          <w:rFonts w:ascii="Century Schoolbook" w:eastAsia="Times New Roman" w:hAnsi="Century Schoolbook" w:cs="Times New Roman"/>
          <w:sz w:val="26"/>
          <w:szCs w:val="26"/>
        </w:rPr>
        <w:t xml:space="preserve">applying </w:t>
      </w:r>
      <w:r w:rsidR="00E03899" w:rsidRPr="0057700D">
        <w:rPr>
          <w:rFonts w:ascii="Century Schoolbook" w:eastAsia="Times New Roman" w:hAnsi="Century Schoolbook" w:cs="Times New Roman"/>
          <w:sz w:val="26"/>
          <w:szCs w:val="26"/>
        </w:rPr>
        <w:t xml:space="preserve">burden-shifting </w:t>
      </w:r>
      <w:r w:rsidR="00B81ADD" w:rsidRPr="0057700D">
        <w:rPr>
          <w:rFonts w:ascii="Century Schoolbook" w:eastAsia="Times New Roman" w:hAnsi="Century Schoolbook" w:cs="Times New Roman"/>
          <w:sz w:val="26"/>
          <w:szCs w:val="26"/>
        </w:rPr>
        <w:t xml:space="preserve">in </w:t>
      </w:r>
      <w:r w:rsidR="00E03899" w:rsidRPr="0057700D">
        <w:rPr>
          <w:rFonts w:ascii="Century Schoolbook" w:eastAsia="Times New Roman" w:hAnsi="Century Schoolbook" w:cs="Times New Roman"/>
          <w:sz w:val="26"/>
          <w:szCs w:val="26"/>
        </w:rPr>
        <w:t xml:space="preserve">claim of </w:t>
      </w:r>
      <w:r w:rsidR="002916B9" w:rsidRPr="0057700D">
        <w:rPr>
          <w:rFonts w:ascii="Century Schoolbook" w:eastAsia="Times New Roman" w:hAnsi="Century Schoolbook" w:cs="Times New Roman"/>
          <w:sz w:val="26"/>
          <w:szCs w:val="26"/>
        </w:rPr>
        <w:t xml:space="preserve">discrimination in </w:t>
      </w:r>
      <w:r w:rsidR="00B81ADD" w:rsidRPr="0057700D">
        <w:rPr>
          <w:rFonts w:ascii="Century Schoolbook" w:eastAsia="Times New Roman" w:hAnsi="Century Schoolbook" w:cs="Times New Roman"/>
          <w:sz w:val="26"/>
          <w:szCs w:val="26"/>
        </w:rPr>
        <w:t>jury</w:t>
      </w:r>
      <w:r w:rsidR="005E1D4E" w:rsidRPr="0057700D">
        <w:rPr>
          <w:rFonts w:ascii="Century Schoolbook" w:eastAsia="Times New Roman" w:hAnsi="Century Schoolbook" w:cs="Times New Roman"/>
          <w:sz w:val="26"/>
          <w:szCs w:val="26"/>
        </w:rPr>
        <w:t xml:space="preserve"> </w:t>
      </w:r>
      <w:r w:rsidR="002916B9" w:rsidRPr="0057700D">
        <w:rPr>
          <w:rFonts w:ascii="Century Schoolbook" w:eastAsia="Times New Roman" w:hAnsi="Century Schoolbook" w:cs="Times New Roman"/>
          <w:sz w:val="26"/>
          <w:szCs w:val="26"/>
        </w:rPr>
        <w:t>select</w:t>
      </w:r>
      <w:r w:rsidR="005E1D4E" w:rsidRPr="0057700D">
        <w:rPr>
          <w:rFonts w:ascii="Century Schoolbook" w:eastAsia="Times New Roman" w:hAnsi="Century Schoolbook" w:cs="Times New Roman"/>
          <w:sz w:val="26"/>
          <w:szCs w:val="26"/>
        </w:rPr>
        <w:t>ion)</w:t>
      </w:r>
      <w:r w:rsidR="00825D98" w:rsidRPr="0057700D">
        <w:rPr>
          <w:rFonts w:ascii="Century Schoolbook" w:eastAsia="Times New Roman" w:hAnsi="Century Schoolbook" w:cs="Times New Roman"/>
          <w:sz w:val="26"/>
          <w:szCs w:val="26"/>
        </w:rPr>
        <w:fldChar w:fldCharType="begin"/>
      </w:r>
      <w:r w:rsidR="00825D98" w:rsidRPr="0057700D">
        <w:instrText xml:space="preserve"> TA \s "Batson v. Kentucky, 476 U.S. 79 (1986)" </w:instrText>
      </w:r>
      <w:r w:rsidR="00825D98" w:rsidRPr="0057700D">
        <w:rPr>
          <w:rFonts w:ascii="Century Schoolbook" w:eastAsia="Times New Roman" w:hAnsi="Century Schoolbook" w:cs="Times New Roman"/>
          <w:sz w:val="26"/>
          <w:szCs w:val="26"/>
        </w:rPr>
        <w:fldChar w:fldCharType="end"/>
      </w:r>
      <w:r w:rsidR="005E1D4E" w:rsidRPr="0057700D">
        <w:rPr>
          <w:rFonts w:ascii="Century Schoolbook" w:eastAsia="Times New Roman" w:hAnsi="Century Schoolbook" w:cs="Times New Roman"/>
          <w:sz w:val="26"/>
          <w:szCs w:val="26"/>
        </w:rPr>
        <w:t xml:space="preserve">; </w:t>
      </w:r>
      <w:r w:rsidR="007273A7" w:rsidRPr="0057700D">
        <w:rPr>
          <w:rFonts w:ascii="Century Schoolbook" w:eastAsia="Times New Roman" w:hAnsi="Century Schoolbook" w:cs="Times New Roman"/>
          <w:i/>
          <w:iCs/>
          <w:sz w:val="26"/>
          <w:szCs w:val="26"/>
        </w:rPr>
        <w:t xml:space="preserve">State v. Brown, </w:t>
      </w:r>
      <w:r w:rsidR="007273A7" w:rsidRPr="0057700D">
        <w:rPr>
          <w:rFonts w:ascii="Century Schoolbook" w:eastAsia="Times New Roman" w:hAnsi="Century Schoolbook" w:cs="Times New Roman"/>
          <w:sz w:val="26"/>
          <w:szCs w:val="26"/>
        </w:rPr>
        <w:t xml:space="preserve">271 N.C. 250, </w:t>
      </w:r>
      <w:r w:rsidR="007249CE" w:rsidRPr="0057700D">
        <w:rPr>
          <w:rFonts w:ascii="Century Schoolbook" w:eastAsia="Times New Roman" w:hAnsi="Century Schoolbook" w:cs="Times New Roman"/>
          <w:sz w:val="26"/>
          <w:szCs w:val="26"/>
        </w:rPr>
        <w:t>25</w:t>
      </w:r>
      <w:r w:rsidR="002B451F" w:rsidRPr="0057700D">
        <w:rPr>
          <w:rFonts w:ascii="Century Schoolbook" w:eastAsia="Times New Roman" w:hAnsi="Century Schoolbook" w:cs="Times New Roman"/>
          <w:sz w:val="26"/>
          <w:szCs w:val="26"/>
        </w:rPr>
        <w:t>6</w:t>
      </w:r>
      <w:r w:rsidR="007249CE" w:rsidRPr="0057700D">
        <w:rPr>
          <w:rFonts w:ascii="Century Schoolbook" w:eastAsia="Times New Roman" w:hAnsi="Century Schoolbook" w:cs="Times New Roman"/>
          <w:sz w:val="26"/>
          <w:szCs w:val="26"/>
        </w:rPr>
        <w:t>,</w:t>
      </w:r>
      <w:r w:rsidR="002B451F" w:rsidRPr="0057700D">
        <w:rPr>
          <w:rFonts w:ascii="Century Schoolbook" w:eastAsia="Times New Roman" w:hAnsi="Century Schoolbook" w:cs="Times New Roman"/>
          <w:sz w:val="26"/>
          <w:szCs w:val="26"/>
        </w:rPr>
        <w:t xml:space="preserve"> 277</w:t>
      </w:r>
      <w:r w:rsidR="007273A7" w:rsidRPr="0057700D">
        <w:rPr>
          <w:rFonts w:ascii="Century Schoolbook" w:eastAsia="Times New Roman" w:hAnsi="Century Schoolbook" w:cs="Times New Roman"/>
          <w:sz w:val="26"/>
          <w:szCs w:val="26"/>
        </w:rPr>
        <w:t xml:space="preserve"> (19</w:t>
      </w:r>
      <w:r w:rsidR="00F557E8" w:rsidRPr="0057700D">
        <w:rPr>
          <w:rFonts w:ascii="Century Schoolbook" w:eastAsia="Times New Roman" w:hAnsi="Century Schoolbook" w:cs="Times New Roman"/>
          <w:sz w:val="26"/>
          <w:szCs w:val="26"/>
        </w:rPr>
        <w:t>67)</w:t>
      </w:r>
      <w:r w:rsidR="00825D98" w:rsidRPr="0057700D">
        <w:rPr>
          <w:rFonts w:ascii="Century Schoolbook" w:eastAsia="Times New Roman" w:hAnsi="Century Schoolbook" w:cs="Times New Roman"/>
          <w:sz w:val="26"/>
          <w:szCs w:val="26"/>
        </w:rPr>
        <w:fldChar w:fldCharType="begin"/>
      </w:r>
      <w:r w:rsidR="00825D98" w:rsidRPr="0057700D">
        <w:instrText xml:space="preserve"> TA \l "</w:instrText>
      </w:r>
      <w:r w:rsidR="00825D98" w:rsidRPr="0057700D">
        <w:rPr>
          <w:rFonts w:ascii="Century Schoolbook" w:eastAsia="Times New Roman" w:hAnsi="Century Schoolbook" w:cs="Times New Roman"/>
          <w:i/>
          <w:iCs/>
          <w:sz w:val="26"/>
          <w:szCs w:val="26"/>
        </w:rPr>
        <w:instrText xml:space="preserve">State v. Brown, </w:instrText>
      </w:r>
      <w:r w:rsidR="00825D98" w:rsidRPr="0057700D">
        <w:rPr>
          <w:rFonts w:ascii="Century Schoolbook" w:eastAsia="Times New Roman" w:hAnsi="Century Schoolbook" w:cs="Times New Roman"/>
          <w:sz w:val="26"/>
          <w:szCs w:val="26"/>
        </w:rPr>
        <w:instrText>271 N.C. 250, 256, 277 (1967)</w:instrText>
      </w:r>
      <w:r w:rsidR="00825D98" w:rsidRPr="0057700D">
        <w:instrText xml:space="preserve">" \s "State v. Brown, 271 N.C. 250, 256, 277 (1967)" \c 1 </w:instrText>
      </w:r>
      <w:r w:rsidR="00825D98" w:rsidRPr="0057700D">
        <w:rPr>
          <w:rFonts w:ascii="Century Schoolbook" w:eastAsia="Times New Roman" w:hAnsi="Century Schoolbook" w:cs="Times New Roman"/>
          <w:sz w:val="26"/>
          <w:szCs w:val="26"/>
        </w:rPr>
        <w:fldChar w:fldCharType="end"/>
      </w:r>
      <w:r w:rsidR="007273A7" w:rsidRPr="0057700D">
        <w:rPr>
          <w:rFonts w:ascii="Century Schoolbook" w:eastAsia="Times New Roman" w:hAnsi="Century Schoolbook" w:cs="Times New Roman"/>
          <w:sz w:val="26"/>
          <w:szCs w:val="26"/>
        </w:rPr>
        <w:t xml:space="preserve"> (</w:t>
      </w:r>
      <w:r w:rsidR="00BB6E4E" w:rsidRPr="0057700D">
        <w:rPr>
          <w:rFonts w:ascii="Century Schoolbook" w:eastAsia="Times New Roman" w:hAnsi="Century Schoolbook" w:cs="Times New Roman"/>
          <w:sz w:val="26"/>
          <w:szCs w:val="26"/>
        </w:rPr>
        <w:t>applying burden-shifting in claim of systematic exclusion of Black people from grand jury)</w:t>
      </w:r>
      <w:r w:rsidR="0007546A" w:rsidRPr="0057700D">
        <w:rPr>
          <w:rFonts w:ascii="Century Schoolbook" w:eastAsia="Times New Roman" w:hAnsi="Century Schoolbook" w:cs="Times New Roman"/>
          <w:sz w:val="26"/>
          <w:szCs w:val="26"/>
        </w:rPr>
        <w:t>;</w:t>
      </w:r>
      <w:r w:rsidR="00D512F2" w:rsidRPr="0057700D">
        <w:rPr>
          <w:rFonts w:ascii="Century Schoolbook" w:eastAsia="Times New Roman" w:hAnsi="Century Schoolbook" w:cs="Times New Roman"/>
          <w:sz w:val="26"/>
          <w:szCs w:val="26"/>
        </w:rPr>
        <w:t xml:space="preserve"> </w:t>
      </w:r>
      <w:r w:rsidR="00D512F2" w:rsidRPr="0057700D">
        <w:rPr>
          <w:rFonts w:ascii="Century Schoolbook" w:eastAsia="Times New Roman" w:hAnsi="Century Schoolbook" w:cs="Times New Roman"/>
          <w:i/>
          <w:iCs/>
          <w:sz w:val="26"/>
          <w:szCs w:val="26"/>
        </w:rPr>
        <w:t xml:space="preserve">Holmes v. Moore, </w:t>
      </w:r>
      <w:r w:rsidR="00D512F2" w:rsidRPr="0057700D">
        <w:rPr>
          <w:rFonts w:ascii="Century Schoolbook" w:eastAsia="Times New Roman" w:hAnsi="Century Schoolbook" w:cs="Times New Roman"/>
          <w:sz w:val="26"/>
          <w:szCs w:val="26"/>
        </w:rPr>
        <w:t>270 N.C</w:t>
      </w:r>
      <w:r w:rsidR="00633F91" w:rsidRPr="0057700D">
        <w:rPr>
          <w:rFonts w:ascii="Century Schoolbook" w:eastAsia="Times New Roman" w:hAnsi="Century Schoolbook" w:cs="Times New Roman"/>
          <w:sz w:val="26"/>
          <w:szCs w:val="26"/>
        </w:rPr>
        <w:t>.</w:t>
      </w:r>
      <w:r w:rsidR="00D512F2" w:rsidRPr="0057700D">
        <w:rPr>
          <w:rFonts w:ascii="Century Schoolbook" w:eastAsia="Times New Roman" w:hAnsi="Century Schoolbook" w:cs="Times New Roman"/>
          <w:sz w:val="26"/>
          <w:szCs w:val="26"/>
        </w:rPr>
        <w:t xml:space="preserve"> App. 7, </w:t>
      </w:r>
      <w:r w:rsidR="00B65DA2" w:rsidRPr="0057700D">
        <w:rPr>
          <w:rFonts w:ascii="Century Schoolbook" w:eastAsia="Times New Roman" w:hAnsi="Century Schoolbook" w:cs="Times New Roman"/>
          <w:sz w:val="26"/>
          <w:szCs w:val="26"/>
        </w:rPr>
        <w:t xml:space="preserve">17, </w:t>
      </w:r>
      <w:r w:rsidR="00D33551" w:rsidRPr="0057700D">
        <w:rPr>
          <w:rFonts w:ascii="Century Schoolbook" w:eastAsia="Times New Roman" w:hAnsi="Century Schoolbook" w:cs="Times New Roman"/>
          <w:sz w:val="26"/>
          <w:szCs w:val="26"/>
        </w:rPr>
        <w:t>33</w:t>
      </w:r>
      <w:r w:rsidR="00D512F2" w:rsidRPr="0057700D">
        <w:rPr>
          <w:rFonts w:ascii="Century Schoolbook" w:eastAsia="Times New Roman" w:hAnsi="Century Schoolbook" w:cs="Times New Roman"/>
          <w:sz w:val="26"/>
          <w:szCs w:val="26"/>
        </w:rPr>
        <w:t xml:space="preserve"> (2020)</w:t>
      </w:r>
      <w:r w:rsidR="00825D98" w:rsidRPr="0057700D">
        <w:rPr>
          <w:rFonts w:ascii="Century Schoolbook" w:eastAsia="Times New Roman" w:hAnsi="Century Schoolbook" w:cs="Times New Roman"/>
          <w:sz w:val="26"/>
          <w:szCs w:val="26"/>
        </w:rPr>
        <w:fldChar w:fldCharType="begin"/>
      </w:r>
      <w:r w:rsidR="00825D98" w:rsidRPr="0057700D">
        <w:instrText xml:space="preserve"> TA \l "</w:instrText>
      </w:r>
      <w:r w:rsidR="00825D98" w:rsidRPr="0057700D">
        <w:rPr>
          <w:rFonts w:ascii="Century Schoolbook" w:eastAsia="Times New Roman" w:hAnsi="Century Schoolbook" w:cs="Times New Roman"/>
          <w:i/>
          <w:iCs/>
          <w:sz w:val="26"/>
          <w:szCs w:val="26"/>
        </w:rPr>
        <w:instrText xml:space="preserve">Holmes v. Moore, </w:instrText>
      </w:r>
      <w:r w:rsidR="00825D98" w:rsidRPr="0057700D">
        <w:rPr>
          <w:rFonts w:ascii="Century Schoolbook" w:eastAsia="Times New Roman" w:hAnsi="Century Schoolbook" w:cs="Times New Roman"/>
          <w:sz w:val="26"/>
          <w:szCs w:val="26"/>
        </w:rPr>
        <w:instrText>270 N.C. App. 7, 17, 33 (2020)</w:instrText>
      </w:r>
      <w:r w:rsidR="00825D98" w:rsidRPr="0057700D">
        <w:instrText xml:space="preserve">" \s "Holmes v. Moore, 270 N.C. App. 7, 17, 33 (2020)" \c 1 </w:instrText>
      </w:r>
      <w:r w:rsidR="00825D98" w:rsidRPr="0057700D">
        <w:rPr>
          <w:rFonts w:ascii="Century Schoolbook" w:eastAsia="Times New Roman" w:hAnsi="Century Schoolbook" w:cs="Times New Roman"/>
          <w:sz w:val="26"/>
          <w:szCs w:val="26"/>
        </w:rPr>
        <w:fldChar w:fldCharType="end"/>
      </w:r>
      <w:r w:rsidR="00D512F2" w:rsidRPr="0057700D">
        <w:rPr>
          <w:rFonts w:ascii="Century Schoolbook" w:eastAsia="Times New Roman" w:hAnsi="Century Schoolbook" w:cs="Times New Roman"/>
          <w:sz w:val="26"/>
          <w:szCs w:val="26"/>
        </w:rPr>
        <w:t xml:space="preserve"> (applying </w:t>
      </w:r>
      <w:r w:rsidR="007A30CB" w:rsidRPr="0057700D">
        <w:rPr>
          <w:rFonts w:ascii="Century Schoolbook" w:eastAsia="Times New Roman" w:hAnsi="Century Schoolbook" w:cs="Times New Roman"/>
          <w:sz w:val="26"/>
          <w:szCs w:val="26"/>
        </w:rPr>
        <w:t xml:space="preserve">burden-shifting </w:t>
      </w:r>
      <w:r w:rsidR="006C42A8" w:rsidRPr="0057700D">
        <w:rPr>
          <w:rFonts w:ascii="Century Schoolbook" w:eastAsia="Times New Roman" w:hAnsi="Century Schoolbook" w:cs="Times New Roman"/>
          <w:sz w:val="26"/>
          <w:szCs w:val="26"/>
        </w:rPr>
        <w:t xml:space="preserve">in </w:t>
      </w:r>
      <w:r w:rsidR="006C42A8" w:rsidRPr="0057700D">
        <w:rPr>
          <w:rFonts w:ascii="Century Schoolbook" w:eastAsia="Times New Roman" w:hAnsi="Century Schoolbook" w:cs="Times New Roman"/>
          <w:sz w:val="26"/>
          <w:szCs w:val="26"/>
        </w:rPr>
        <w:lastRenderedPageBreak/>
        <w:t xml:space="preserve">claim of </w:t>
      </w:r>
      <w:r w:rsidR="002E748A" w:rsidRPr="0057700D">
        <w:rPr>
          <w:rFonts w:ascii="Century Schoolbook" w:eastAsia="Times New Roman" w:hAnsi="Century Schoolbook" w:cs="Times New Roman"/>
          <w:sz w:val="26"/>
          <w:szCs w:val="26"/>
        </w:rPr>
        <w:t xml:space="preserve">race discrimination </w:t>
      </w:r>
      <w:r w:rsidR="00EA593E" w:rsidRPr="0057700D">
        <w:rPr>
          <w:rFonts w:ascii="Century Schoolbook" w:eastAsia="Times New Roman" w:hAnsi="Century Schoolbook" w:cs="Times New Roman"/>
          <w:sz w:val="26"/>
          <w:szCs w:val="26"/>
        </w:rPr>
        <w:t xml:space="preserve">through </w:t>
      </w:r>
      <w:r w:rsidR="00461FA9" w:rsidRPr="0057700D">
        <w:rPr>
          <w:rFonts w:ascii="Century Schoolbook" w:eastAsia="Times New Roman" w:hAnsi="Century Schoolbook" w:cs="Times New Roman"/>
          <w:sz w:val="26"/>
          <w:szCs w:val="26"/>
        </w:rPr>
        <w:t xml:space="preserve">voter ID law); </w:t>
      </w:r>
      <w:r w:rsidR="00D512F2" w:rsidRPr="0057700D">
        <w:rPr>
          <w:rFonts w:ascii="Century Schoolbook" w:eastAsia="Times New Roman" w:hAnsi="Century Schoolbook" w:cs="Times New Roman"/>
          <w:i/>
          <w:iCs/>
          <w:sz w:val="26"/>
          <w:szCs w:val="26"/>
        </w:rPr>
        <w:t xml:space="preserve">N.C. </w:t>
      </w:r>
      <w:proofErr w:type="spellStart"/>
      <w:r w:rsidR="00D512F2" w:rsidRPr="0057700D">
        <w:rPr>
          <w:rFonts w:ascii="Century Schoolbook" w:eastAsia="Times New Roman" w:hAnsi="Century Schoolbook" w:cs="Times New Roman"/>
          <w:i/>
          <w:iCs/>
          <w:sz w:val="26"/>
          <w:szCs w:val="26"/>
        </w:rPr>
        <w:t>Dep’t</w:t>
      </w:r>
      <w:proofErr w:type="spellEnd"/>
      <w:r w:rsidR="00D512F2" w:rsidRPr="0057700D">
        <w:rPr>
          <w:rFonts w:ascii="Century Schoolbook" w:eastAsia="Times New Roman" w:hAnsi="Century Schoolbook" w:cs="Times New Roman"/>
          <w:i/>
          <w:iCs/>
          <w:sz w:val="26"/>
          <w:szCs w:val="26"/>
        </w:rPr>
        <w:t xml:space="preserve"> of Public Safety v. Ledford</w:t>
      </w:r>
      <w:r w:rsidR="00D512F2" w:rsidRPr="0057700D">
        <w:rPr>
          <w:rFonts w:ascii="Century Schoolbook" w:eastAsia="Times New Roman" w:hAnsi="Century Schoolbook" w:cs="Times New Roman"/>
          <w:sz w:val="26"/>
          <w:szCs w:val="26"/>
        </w:rPr>
        <w:t>, 247 N.C. App. 266, 288</w:t>
      </w:r>
      <w:r w:rsidR="00551CFE" w:rsidRPr="0057700D">
        <w:rPr>
          <w:rFonts w:ascii="Century Schoolbook" w:eastAsia="Times New Roman" w:hAnsi="Century Schoolbook" w:cs="Times New Roman"/>
          <w:sz w:val="26"/>
          <w:szCs w:val="26"/>
        </w:rPr>
        <w:t xml:space="preserve"> </w:t>
      </w:r>
      <w:r w:rsidR="00D512F2" w:rsidRPr="0057700D">
        <w:rPr>
          <w:rFonts w:ascii="Century Schoolbook" w:eastAsia="Times New Roman" w:hAnsi="Century Schoolbook" w:cs="Times New Roman"/>
          <w:sz w:val="26"/>
          <w:szCs w:val="26"/>
        </w:rPr>
        <w:t>(2016)</w:t>
      </w:r>
      <w:r w:rsidR="00D512F2" w:rsidRPr="0057700D">
        <w:rPr>
          <w:rFonts w:ascii="Century Schoolbook" w:eastAsia="Times New Roman" w:hAnsi="Century Schoolbook" w:cs="Times New Roman"/>
          <w:sz w:val="26"/>
          <w:szCs w:val="26"/>
        </w:rPr>
        <w:fldChar w:fldCharType="begin"/>
      </w:r>
      <w:r w:rsidR="00D512F2" w:rsidRPr="0057700D">
        <w:rPr>
          <w:rFonts w:ascii="Calibri" w:eastAsia="Calibri" w:hAnsi="Calibri" w:cs="Times New Roman"/>
        </w:rPr>
        <w:instrText xml:space="preserve"> TA \l "</w:instrText>
      </w:r>
      <w:r w:rsidR="00D512F2" w:rsidRPr="0057700D">
        <w:rPr>
          <w:rFonts w:ascii="Century Schoolbook" w:eastAsia="Times New Roman" w:hAnsi="Century Schoolbook" w:cs="Times New Roman"/>
          <w:i/>
          <w:iCs/>
          <w:sz w:val="26"/>
          <w:szCs w:val="26"/>
        </w:rPr>
        <w:instrText>N.C. Dep’t of Public Safety v. Ledford</w:instrText>
      </w:r>
      <w:r w:rsidR="00D512F2" w:rsidRPr="0057700D">
        <w:rPr>
          <w:rFonts w:ascii="Century Schoolbook" w:eastAsia="Times New Roman" w:hAnsi="Century Schoolbook" w:cs="Times New Roman"/>
          <w:sz w:val="26"/>
          <w:szCs w:val="26"/>
        </w:rPr>
        <w:instrText>, 247 N.C. App. 266, 288, 786 S.E.2d 50, 64 (2016)</w:instrText>
      </w:r>
      <w:r w:rsidR="00D512F2" w:rsidRPr="0057700D">
        <w:rPr>
          <w:rFonts w:ascii="Calibri" w:eastAsia="Calibri" w:hAnsi="Calibri" w:cs="Times New Roman"/>
        </w:rPr>
        <w:instrText xml:space="preserve">" \s "N.C. Dep’t of Public Safety v. Ledford, 247 N.C. App. 266, 288, 786 S.E.2d 50, 64 (2016)" \c 1 </w:instrText>
      </w:r>
      <w:r w:rsidR="00D512F2" w:rsidRPr="0057700D">
        <w:rPr>
          <w:rFonts w:ascii="Century Schoolbook" w:eastAsia="Times New Roman" w:hAnsi="Century Schoolbook" w:cs="Times New Roman"/>
          <w:sz w:val="26"/>
          <w:szCs w:val="26"/>
        </w:rPr>
        <w:fldChar w:fldCharType="end"/>
      </w:r>
      <w:r w:rsidR="00D512F2" w:rsidRPr="0057700D">
        <w:rPr>
          <w:rFonts w:ascii="Century Schoolbook" w:eastAsia="Times New Roman" w:hAnsi="Century Schoolbook" w:cs="Times New Roman"/>
          <w:sz w:val="26"/>
          <w:szCs w:val="26"/>
        </w:rPr>
        <w:t xml:space="preserve"> (</w:t>
      </w:r>
      <w:r w:rsidR="007A30CB" w:rsidRPr="0057700D">
        <w:rPr>
          <w:rFonts w:ascii="Century Schoolbook" w:eastAsia="Times New Roman" w:hAnsi="Century Schoolbook" w:cs="Times New Roman"/>
          <w:sz w:val="26"/>
          <w:szCs w:val="26"/>
        </w:rPr>
        <w:t>same, in</w:t>
      </w:r>
      <w:r w:rsidR="00D512F2" w:rsidRPr="0057700D">
        <w:rPr>
          <w:rFonts w:ascii="Century Schoolbook" w:eastAsia="Times New Roman" w:hAnsi="Century Schoolbook" w:cs="Times New Roman"/>
          <w:sz w:val="26"/>
          <w:szCs w:val="26"/>
        </w:rPr>
        <w:t xml:space="preserve"> employment discrimination</w:t>
      </w:r>
      <w:r w:rsidR="00F20C87" w:rsidRPr="0057700D">
        <w:rPr>
          <w:rFonts w:ascii="Century Schoolbook" w:eastAsia="Times New Roman" w:hAnsi="Century Schoolbook" w:cs="Times New Roman"/>
          <w:sz w:val="26"/>
          <w:szCs w:val="26"/>
        </w:rPr>
        <w:t xml:space="preserve"> claim</w:t>
      </w:r>
      <w:r w:rsidR="00D512F2" w:rsidRPr="0057700D">
        <w:rPr>
          <w:rFonts w:ascii="Century Schoolbook" w:eastAsia="Times New Roman" w:hAnsi="Century Schoolbook" w:cs="Times New Roman"/>
          <w:sz w:val="26"/>
          <w:szCs w:val="26"/>
        </w:rPr>
        <w:t>);</w:t>
      </w:r>
      <w:r w:rsidR="00942522" w:rsidRPr="0057700D">
        <w:rPr>
          <w:rFonts w:ascii="Century Schoolbook" w:eastAsia="Times New Roman" w:hAnsi="Century Schoolbook" w:cs="Times New Roman"/>
          <w:sz w:val="26"/>
          <w:szCs w:val="26"/>
        </w:rPr>
        <w:t xml:space="preserve"> </w:t>
      </w:r>
      <w:r w:rsidR="0007546A" w:rsidRPr="0057700D">
        <w:rPr>
          <w:rFonts w:ascii="Century Schoolbook" w:eastAsia="Times New Roman" w:hAnsi="Century Schoolbook" w:cs="Times New Roman"/>
          <w:i/>
          <w:iCs/>
          <w:sz w:val="26"/>
          <w:szCs w:val="26"/>
        </w:rPr>
        <w:t>State v. Ward</w:t>
      </w:r>
      <w:r w:rsidR="0007546A" w:rsidRPr="0057700D">
        <w:rPr>
          <w:rFonts w:ascii="Century Schoolbook" w:eastAsia="Times New Roman" w:hAnsi="Century Schoolbook" w:cs="Times New Roman"/>
          <w:sz w:val="26"/>
          <w:szCs w:val="26"/>
        </w:rPr>
        <w:t xml:space="preserve">, 66 N.C. App. 352, </w:t>
      </w:r>
      <w:r w:rsidR="006E025B" w:rsidRPr="0057700D">
        <w:rPr>
          <w:rFonts w:ascii="Century Schoolbook" w:eastAsia="Times New Roman" w:hAnsi="Century Schoolbook" w:cs="Times New Roman"/>
          <w:sz w:val="26"/>
          <w:szCs w:val="26"/>
        </w:rPr>
        <w:t>354</w:t>
      </w:r>
      <w:r w:rsidR="00551CFE" w:rsidRPr="0057700D">
        <w:rPr>
          <w:rFonts w:ascii="Century Schoolbook" w:eastAsia="Times New Roman" w:hAnsi="Century Schoolbook" w:cs="Times New Roman"/>
          <w:sz w:val="26"/>
          <w:szCs w:val="26"/>
        </w:rPr>
        <w:t xml:space="preserve"> </w:t>
      </w:r>
      <w:r w:rsidR="003814A8" w:rsidRPr="0057700D">
        <w:rPr>
          <w:rFonts w:ascii="Century Schoolbook" w:eastAsia="Times New Roman" w:hAnsi="Century Schoolbook" w:cs="Times New Roman"/>
          <w:sz w:val="26"/>
          <w:szCs w:val="26"/>
        </w:rPr>
        <w:t>(1984)</w:t>
      </w:r>
      <w:r w:rsidR="00825D98" w:rsidRPr="0057700D">
        <w:rPr>
          <w:rFonts w:ascii="Century Schoolbook" w:eastAsia="Times New Roman" w:hAnsi="Century Schoolbook" w:cs="Times New Roman"/>
          <w:sz w:val="26"/>
          <w:szCs w:val="26"/>
        </w:rPr>
        <w:fldChar w:fldCharType="begin"/>
      </w:r>
      <w:r w:rsidR="00825D98" w:rsidRPr="0057700D">
        <w:instrText xml:space="preserve"> TA \l "</w:instrText>
      </w:r>
      <w:r w:rsidR="00825D98" w:rsidRPr="0057700D">
        <w:rPr>
          <w:rFonts w:ascii="Century Schoolbook" w:eastAsia="Times New Roman" w:hAnsi="Century Schoolbook" w:cs="Times New Roman"/>
          <w:i/>
          <w:iCs/>
          <w:sz w:val="26"/>
          <w:szCs w:val="26"/>
        </w:rPr>
        <w:instrText>State v. Ward</w:instrText>
      </w:r>
      <w:r w:rsidR="00825D98" w:rsidRPr="0057700D">
        <w:rPr>
          <w:rFonts w:ascii="Century Schoolbook" w:eastAsia="Times New Roman" w:hAnsi="Century Schoolbook" w:cs="Times New Roman"/>
          <w:sz w:val="26"/>
          <w:szCs w:val="26"/>
        </w:rPr>
        <w:instrText>, 66 N.C. App. 352, 354 (1984)</w:instrText>
      </w:r>
      <w:r w:rsidR="00825D98" w:rsidRPr="0057700D">
        <w:instrText xml:space="preserve">" \s "State v. Ward, 66 N.C. App. 352, 354 (1984)" \c 1 </w:instrText>
      </w:r>
      <w:r w:rsidR="00825D98" w:rsidRPr="0057700D">
        <w:rPr>
          <w:rFonts w:ascii="Century Schoolbook" w:eastAsia="Times New Roman" w:hAnsi="Century Schoolbook" w:cs="Times New Roman"/>
          <w:sz w:val="26"/>
          <w:szCs w:val="26"/>
        </w:rPr>
        <w:fldChar w:fldCharType="end"/>
      </w:r>
      <w:r w:rsidR="0007546A" w:rsidRPr="0057700D">
        <w:rPr>
          <w:rFonts w:ascii="Century Schoolbook" w:eastAsia="Times New Roman" w:hAnsi="Century Schoolbook" w:cs="Times New Roman"/>
          <w:sz w:val="26"/>
          <w:szCs w:val="26"/>
        </w:rPr>
        <w:t xml:space="preserve"> (</w:t>
      </w:r>
      <w:r w:rsidR="00633F91" w:rsidRPr="0057700D">
        <w:rPr>
          <w:rFonts w:ascii="Century Schoolbook" w:eastAsia="Times New Roman" w:hAnsi="Century Schoolbook" w:cs="Times New Roman"/>
          <w:sz w:val="26"/>
          <w:szCs w:val="26"/>
        </w:rPr>
        <w:t>same</w:t>
      </w:r>
      <w:r w:rsidR="007A30CB" w:rsidRPr="0057700D">
        <w:rPr>
          <w:rFonts w:ascii="Century Schoolbook" w:eastAsia="Times New Roman" w:hAnsi="Century Schoolbook" w:cs="Times New Roman"/>
          <w:sz w:val="26"/>
          <w:szCs w:val="26"/>
        </w:rPr>
        <w:t>,</w:t>
      </w:r>
      <w:r w:rsidR="00633F91" w:rsidRPr="0057700D">
        <w:rPr>
          <w:rFonts w:ascii="Century Schoolbook" w:eastAsia="Times New Roman" w:hAnsi="Century Schoolbook" w:cs="Times New Roman"/>
          <w:sz w:val="26"/>
          <w:szCs w:val="26"/>
        </w:rPr>
        <w:t xml:space="preserve"> in selective prosecution claim</w:t>
      </w:r>
      <w:r w:rsidR="00037BE1" w:rsidRPr="0057700D">
        <w:rPr>
          <w:rFonts w:ascii="Century Schoolbook" w:eastAsia="Times New Roman" w:hAnsi="Century Schoolbook" w:cs="Times New Roman"/>
          <w:sz w:val="26"/>
          <w:szCs w:val="26"/>
        </w:rPr>
        <w:t>)</w:t>
      </w:r>
      <w:r w:rsidR="005E1D4E" w:rsidRPr="0057700D">
        <w:rPr>
          <w:rFonts w:ascii="Century Schoolbook" w:eastAsia="Times New Roman" w:hAnsi="Century Schoolbook" w:cs="Times New Roman"/>
          <w:sz w:val="26"/>
          <w:szCs w:val="26"/>
        </w:rPr>
        <w:t xml:space="preserve">.  </w:t>
      </w:r>
    </w:p>
    <w:p w14:paraId="7B22A064" w14:textId="77777777" w:rsidR="000B2C83" w:rsidRPr="0057700D" w:rsidRDefault="00A40805" w:rsidP="00F563C2">
      <w:pPr>
        <w:spacing w:after="0" w:line="480" w:lineRule="auto"/>
        <w:ind w:firstLine="720"/>
        <w:rPr>
          <w:rFonts w:ascii="Century Schoolbook" w:eastAsia="Calibri" w:hAnsi="Century Schoolbook" w:cs="Times New Roman"/>
          <w:sz w:val="26"/>
          <w:szCs w:val="26"/>
        </w:rPr>
      </w:pPr>
      <w:r w:rsidRPr="0057700D">
        <w:rPr>
          <w:rFonts w:ascii="Century Schoolbook" w:eastAsia="Times New Roman" w:hAnsi="Century Schoolbook" w:cs="Times New Roman"/>
          <w:sz w:val="26"/>
          <w:szCs w:val="26"/>
        </w:rPr>
        <w:t xml:space="preserve">The prima facie burden is low, requiring only evidence “sufficient to permit the trial judge to draw an inference that discrimination has occurred.”  </w:t>
      </w:r>
      <w:r w:rsidRPr="0057700D">
        <w:rPr>
          <w:rFonts w:ascii="Century Schoolbook" w:eastAsia="Times New Roman" w:hAnsi="Century Schoolbook" w:cs="Times New Roman"/>
          <w:i/>
          <w:iCs/>
          <w:sz w:val="26"/>
          <w:szCs w:val="26"/>
        </w:rPr>
        <w:t>State v. Hobbs</w:t>
      </w:r>
      <w:r w:rsidRPr="0057700D">
        <w:rPr>
          <w:rFonts w:ascii="Century Schoolbook" w:eastAsia="Times New Roman" w:hAnsi="Century Schoolbook" w:cs="Times New Roman"/>
          <w:sz w:val="26"/>
          <w:szCs w:val="26"/>
        </w:rPr>
        <w:t>, 374 N.C. 345, 350 (2020)</w:t>
      </w:r>
      <w:r w:rsidRPr="0057700D">
        <w:rPr>
          <w:rFonts w:ascii="Century Schoolbook" w:eastAsia="Times New Roman" w:hAnsi="Century Schoolbook" w:cs="Times New Roman"/>
          <w:sz w:val="26"/>
          <w:szCs w:val="26"/>
        </w:rPr>
        <w:fldChar w:fldCharType="begin"/>
      </w:r>
      <w:r w:rsidRPr="0057700D">
        <w:rPr>
          <w:rFonts w:ascii="Calibri" w:eastAsia="Times New Roman" w:hAnsi="Calibri" w:cs="Times New Roman"/>
        </w:rPr>
        <w:instrText xml:space="preserve"> TA \l "</w:instrText>
      </w:r>
      <w:r w:rsidRPr="0057700D">
        <w:rPr>
          <w:rFonts w:ascii="Century Schoolbook" w:eastAsia="Times New Roman" w:hAnsi="Century Schoolbook" w:cs="Times New Roman"/>
          <w:i/>
          <w:iCs/>
          <w:sz w:val="26"/>
          <w:szCs w:val="26"/>
        </w:rPr>
        <w:instrText>State v. Hobbs</w:instrText>
      </w:r>
      <w:r w:rsidRPr="0057700D">
        <w:rPr>
          <w:rFonts w:ascii="Century Schoolbook" w:eastAsia="Times New Roman" w:hAnsi="Century Schoolbook" w:cs="Times New Roman"/>
          <w:sz w:val="26"/>
          <w:szCs w:val="26"/>
        </w:rPr>
        <w:instrText>, 374 N.C. 345, 350, 841 S.E.2d 492, 497 (2020)</w:instrText>
      </w:r>
      <w:r w:rsidRPr="0057700D">
        <w:rPr>
          <w:rFonts w:ascii="Calibri" w:eastAsia="Times New Roman" w:hAnsi="Calibri" w:cs="Times New Roman"/>
        </w:rPr>
        <w:instrText xml:space="preserve">" \s "State v. Hobbs, 374 N.C. 345, 350, 841 S.E.2d 492, 497 (2020)" \c 1 </w:instrText>
      </w:r>
      <w:r w:rsidRPr="0057700D">
        <w:rPr>
          <w:rFonts w:ascii="Century Schoolbook" w:eastAsia="Times New Roman" w:hAnsi="Century Schoolbook" w:cs="Times New Roman"/>
          <w:sz w:val="26"/>
          <w:szCs w:val="26"/>
        </w:rPr>
        <w:fldChar w:fldCharType="end"/>
      </w:r>
      <w:r w:rsidRPr="0057700D">
        <w:rPr>
          <w:rFonts w:ascii="Century Schoolbook" w:eastAsia="Times New Roman" w:hAnsi="Century Schoolbook" w:cs="Times New Roman"/>
          <w:sz w:val="26"/>
          <w:szCs w:val="26"/>
        </w:rPr>
        <w:t xml:space="preserve"> (quoting </w:t>
      </w:r>
      <w:r w:rsidRPr="0057700D">
        <w:rPr>
          <w:rFonts w:ascii="Century Schoolbook" w:eastAsia="Times New Roman" w:hAnsi="Century Schoolbook" w:cs="Times New Roman"/>
          <w:i/>
          <w:iCs/>
          <w:sz w:val="26"/>
          <w:szCs w:val="26"/>
        </w:rPr>
        <w:t>Johnson v. California</w:t>
      </w:r>
      <w:r w:rsidRPr="0057700D">
        <w:rPr>
          <w:rFonts w:ascii="Century Schoolbook" w:eastAsia="Times New Roman" w:hAnsi="Century Schoolbook" w:cs="Times New Roman"/>
          <w:sz w:val="26"/>
          <w:szCs w:val="26"/>
        </w:rPr>
        <w:t>, 545 U.S. 162, 170 (2005)</w:t>
      </w:r>
      <w:r w:rsidRPr="0057700D">
        <w:rPr>
          <w:rFonts w:ascii="Century Schoolbook" w:eastAsia="Times New Roman" w:hAnsi="Century Schoolbook" w:cs="Times New Roman"/>
          <w:sz w:val="26"/>
          <w:szCs w:val="26"/>
        </w:rPr>
        <w:fldChar w:fldCharType="begin"/>
      </w:r>
      <w:r w:rsidRPr="0057700D">
        <w:rPr>
          <w:rFonts w:ascii="Calibri" w:eastAsia="Times New Roman" w:hAnsi="Calibri" w:cs="Times New Roman"/>
        </w:rPr>
        <w:instrText xml:space="preserve"> TA \l "</w:instrText>
      </w:r>
      <w:r w:rsidRPr="0057700D">
        <w:rPr>
          <w:rFonts w:ascii="Century Schoolbook" w:eastAsia="Times New Roman" w:hAnsi="Century Schoolbook" w:cs="Times New Roman"/>
          <w:i/>
          <w:iCs/>
          <w:sz w:val="26"/>
          <w:szCs w:val="26"/>
        </w:rPr>
        <w:instrText>Johnson v. California</w:instrText>
      </w:r>
      <w:r w:rsidRPr="0057700D">
        <w:rPr>
          <w:rFonts w:ascii="Century Schoolbook" w:eastAsia="Times New Roman" w:hAnsi="Century Schoolbook" w:cs="Times New Roman"/>
          <w:sz w:val="26"/>
          <w:szCs w:val="26"/>
        </w:rPr>
        <w:instrText>, 545 U.S. 162, 170 (2005)</w:instrText>
      </w:r>
      <w:r w:rsidRPr="0057700D">
        <w:rPr>
          <w:rFonts w:ascii="Calibri" w:eastAsia="Times New Roman" w:hAnsi="Calibri" w:cs="Times New Roman"/>
        </w:rPr>
        <w:instrText xml:space="preserve">" \s "Johnson v. California, 545 U.S. 162, 170 (2005)" \c 1 </w:instrText>
      </w:r>
      <w:r w:rsidRPr="0057700D">
        <w:rPr>
          <w:rFonts w:ascii="Century Schoolbook" w:eastAsia="Times New Roman" w:hAnsi="Century Schoolbook" w:cs="Times New Roman"/>
          <w:sz w:val="26"/>
          <w:szCs w:val="26"/>
        </w:rPr>
        <w:fldChar w:fldCharType="end"/>
      </w:r>
      <w:r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i/>
          <w:iCs/>
          <w:sz w:val="26"/>
          <w:szCs w:val="26"/>
        </w:rPr>
        <w:t xml:space="preserve">See also State v. Bennett, </w:t>
      </w:r>
      <w:r w:rsidRPr="0057700D">
        <w:rPr>
          <w:rFonts w:ascii="Century Schoolbook" w:eastAsia="Times New Roman" w:hAnsi="Century Schoolbook" w:cs="Times New Roman"/>
          <w:sz w:val="26"/>
          <w:szCs w:val="26"/>
        </w:rPr>
        <w:t>374 N.C. 579, 598 (2020)</w:t>
      </w:r>
      <w:r w:rsidRPr="0057700D">
        <w:rPr>
          <w:rFonts w:ascii="Century Schoolbook" w:eastAsia="Times New Roman" w:hAnsi="Century Schoolbook" w:cs="Times New Roman"/>
          <w:sz w:val="26"/>
          <w:szCs w:val="26"/>
        </w:rPr>
        <w:fldChar w:fldCharType="begin"/>
      </w:r>
      <w:r w:rsidRPr="0057700D">
        <w:rPr>
          <w:rFonts w:ascii="Calibri" w:eastAsia="Calibri" w:hAnsi="Calibri" w:cs="Times New Roman"/>
        </w:rPr>
        <w:instrText xml:space="preserve"> TA \l "</w:instrText>
      </w:r>
      <w:r w:rsidRPr="0057700D">
        <w:rPr>
          <w:rFonts w:ascii="Century Schoolbook" w:eastAsia="Times New Roman" w:hAnsi="Century Schoolbook" w:cs="Times New Roman"/>
          <w:i/>
          <w:iCs/>
          <w:sz w:val="26"/>
          <w:szCs w:val="26"/>
        </w:rPr>
        <w:instrText xml:space="preserve">State v. Bennett, </w:instrText>
      </w:r>
      <w:r w:rsidRPr="0057700D">
        <w:rPr>
          <w:rFonts w:ascii="Century Schoolbook" w:eastAsia="Times New Roman" w:hAnsi="Century Schoolbook" w:cs="Times New Roman"/>
          <w:sz w:val="26"/>
          <w:szCs w:val="26"/>
        </w:rPr>
        <w:instrText>374 N.C. 579, 598, 843 S.E.2d 222, 235 (2020)</w:instrText>
      </w:r>
      <w:r w:rsidRPr="0057700D">
        <w:rPr>
          <w:rFonts w:ascii="Calibri" w:eastAsia="Calibri" w:hAnsi="Calibri" w:cs="Times New Roman"/>
        </w:rPr>
        <w:instrText xml:space="preserve">" \s "State v. Bennett, 374 N.C. 579, 598, 843 S.E.2d 222, 235 (2020)" \c 1 </w:instrText>
      </w:r>
      <w:r w:rsidRPr="0057700D">
        <w:rPr>
          <w:rFonts w:ascii="Century Schoolbook" w:eastAsia="Times New Roman" w:hAnsi="Century Schoolbook" w:cs="Times New Roman"/>
          <w:sz w:val="26"/>
          <w:szCs w:val="26"/>
        </w:rPr>
        <w:fldChar w:fldCharType="end"/>
      </w:r>
      <w:r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i/>
          <w:iCs/>
          <w:sz w:val="26"/>
          <w:szCs w:val="26"/>
        </w:rPr>
        <w:t>Batson’</w:t>
      </w:r>
      <w:r w:rsidRPr="0057700D">
        <w:rPr>
          <w:rFonts w:ascii="Century Schoolbook" w:eastAsia="Times New Roman" w:hAnsi="Century Schoolbook" w:cs="Times New Roman"/>
          <w:sz w:val="26"/>
          <w:szCs w:val="26"/>
        </w:rPr>
        <w:t>s first step requires evidence sufficient to support an inference, not evidence to prove the ultimate conclusion that discrimination occurred.)</w:t>
      </w:r>
      <w:r w:rsidR="001E593C" w:rsidRPr="0057700D">
        <w:rPr>
          <w:rFonts w:ascii="Century Schoolbook" w:eastAsia="Times New Roman" w:hAnsi="Century Schoolbook" w:cs="Times New Roman"/>
          <w:sz w:val="26"/>
          <w:szCs w:val="26"/>
        </w:rPr>
        <w:t xml:space="preserve">  Indeed, this Court has held that statistics alone can be sufficient to raise a prima facie claim</w:t>
      </w:r>
      <w:r w:rsidR="00070512" w:rsidRPr="0057700D">
        <w:rPr>
          <w:rFonts w:ascii="Century Schoolbook" w:eastAsia="Times New Roman" w:hAnsi="Century Schoolbook" w:cs="Times New Roman"/>
          <w:sz w:val="26"/>
          <w:szCs w:val="26"/>
        </w:rPr>
        <w:t xml:space="preserve">, even where </w:t>
      </w:r>
      <w:r w:rsidR="001E593C" w:rsidRPr="0057700D">
        <w:rPr>
          <w:rFonts w:ascii="Century Schoolbook" w:eastAsia="Calibri" w:hAnsi="Century Schoolbook" w:cs="Times New Roman"/>
          <w:sz w:val="26"/>
          <w:szCs w:val="26"/>
        </w:rPr>
        <w:t>“nothing in the record demonstrates or even suggests that the prosecutor expressed or showed any prejudice against minorities</w:t>
      </w:r>
      <w:r w:rsidR="00AD0E66" w:rsidRPr="0057700D">
        <w:rPr>
          <w:rFonts w:ascii="Century Schoolbook" w:eastAsia="Calibri" w:hAnsi="Century Schoolbook" w:cs="Times New Roman"/>
          <w:sz w:val="26"/>
          <w:szCs w:val="26"/>
        </w:rPr>
        <w:t>.</w:t>
      </w:r>
      <w:r w:rsidR="001E593C" w:rsidRPr="0057700D">
        <w:rPr>
          <w:rFonts w:ascii="Century Schoolbook" w:eastAsia="Calibri" w:hAnsi="Century Schoolbook" w:cs="Times New Roman"/>
          <w:sz w:val="26"/>
          <w:szCs w:val="26"/>
        </w:rPr>
        <w:t xml:space="preserve">”  </w:t>
      </w:r>
      <w:r w:rsidR="001E593C" w:rsidRPr="0057700D">
        <w:rPr>
          <w:rFonts w:ascii="Century Schoolbook" w:eastAsia="Times New Roman" w:hAnsi="Century Schoolbook" w:cs="Times New Roman"/>
          <w:sz w:val="26"/>
          <w:szCs w:val="26"/>
        </w:rPr>
        <w:fldChar w:fldCharType="begin"/>
      </w:r>
      <w:r w:rsidR="001E593C" w:rsidRPr="0057700D">
        <w:rPr>
          <w:rFonts w:ascii="Calibri" w:eastAsia="Calibri" w:hAnsi="Calibri" w:cs="Times New Roman"/>
        </w:rPr>
        <w:instrText xml:space="preserve"> TA \l "</w:instrText>
      </w:r>
      <w:r w:rsidR="001E593C" w:rsidRPr="0057700D">
        <w:rPr>
          <w:rFonts w:ascii="Century Schoolbook" w:eastAsia="Times New Roman" w:hAnsi="Century Schoolbook" w:cs="Times New Roman"/>
          <w:i/>
          <w:iCs/>
          <w:sz w:val="26"/>
          <w:szCs w:val="26"/>
        </w:rPr>
        <w:instrText xml:space="preserve">State v. Bennett, </w:instrText>
      </w:r>
      <w:r w:rsidR="001E593C" w:rsidRPr="0057700D">
        <w:rPr>
          <w:rFonts w:ascii="Century Schoolbook" w:eastAsia="Times New Roman" w:hAnsi="Century Schoolbook" w:cs="Times New Roman"/>
          <w:sz w:val="26"/>
          <w:szCs w:val="26"/>
        </w:rPr>
        <w:instrText>374 N.C. 579, 598, 843 S.E.2d 222, 235 (2020)</w:instrText>
      </w:r>
      <w:r w:rsidR="001E593C" w:rsidRPr="0057700D">
        <w:rPr>
          <w:rFonts w:ascii="Calibri" w:eastAsia="Calibri" w:hAnsi="Calibri" w:cs="Times New Roman"/>
        </w:rPr>
        <w:instrText xml:space="preserve">" \s "State v. Bennett, 374 N.C. 579, 598, 843 S.E.2d 222, 235 (2020)" \c 1 </w:instrText>
      </w:r>
      <w:r w:rsidR="001E593C" w:rsidRPr="0057700D">
        <w:rPr>
          <w:rFonts w:ascii="Century Schoolbook" w:eastAsia="Times New Roman" w:hAnsi="Century Schoolbook" w:cs="Times New Roman"/>
          <w:sz w:val="26"/>
          <w:szCs w:val="26"/>
        </w:rPr>
        <w:fldChar w:fldCharType="end"/>
      </w:r>
      <w:r w:rsidR="001E593C" w:rsidRPr="0057700D">
        <w:rPr>
          <w:rFonts w:ascii="Century Schoolbook" w:eastAsia="Calibri" w:hAnsi="Century Schoolbook" w:cs="Times New Roman"/>
          <w:i/>
          <w:iCs/>
          <w:sz w:val="26"/>
          <w:szCs w:val="26"/>
        </w:rPr>
        <w:t>State v. Barden</w:t>
      </w:r>
      <w:r w:rsidR="001E593C" w:rsidRPr="0057700D">
        <w:rPr>
          <w:rFonts w:ascii="Century Schoolbook" w:eastAsia="Calibri" w:hAnsi="Century Schoolbook" w:cs="Times New Roman"/>
          <w:sz w:val="26"/>
          <w:szCs w:val="26"/>
        </w:rPr>
        <w:t>, 356 N.C. 316, 344-45 (2002)</w:t>
      </w:r>
      <w:r w:rsidR="001E593C" w:rsidRPr="0057700D">
        <w:rPr>
          <w:rFonts w:ascii="Century Schoolbook" w:eastAsia="Calibri" w:hAnsi="Century Schoolbook" w:cs="Times New Roman"/>
          <w:sz w:val="26"/>
          <w:szCs w:val="26"/>
        </w:rPr>
        <w:fldChar w:fldCharType="begin"/>
      </w:r>
      <w:r w:rsidR="001E593C" w:rsidRPr="0057700D">
        <w:rPr>
          <w:rFonts w:ascii="Calibri" w:eastAsia="Calibri" w:hAnsi="Calibri" w:cs="Times New Roman"/>
        </w:rPr>
        <w:instrText xml:space="preserve"> TA \l "</w:instrText>
      </w:r>
      <w:r w:rsidR="001E593C" w:rsidRPr="0057700D">
        <w:rPr>
          <w:rFonts w:ascii="Century Schoolbook" w:eastAsia="Calibri" w:hAnsi="Century Schoolbook" w:cs="Times New Roman"/>
          <w:i/>
          <w:iCs/>
          <w:sz w:val="26"/>
          <w:szCs w:val="26"/>
        </w:rPr>
        <w:instrText>State v. Barden</w:instrText>
      </w:r>
      <w:r w:rsidR="001E593C" w:rsidRPr="0057700D">
        <w:rPr>
          <w:rFonts w:ascii="Century Schoolbook" w:eastAsia="Calibri" w:hAnsi="Century Schoolbook" w:cs="Times New Roman"/>
          <w:sz w:val="26"/>
          <w:szCs w:val="26"/>
        </w:rPr>
        <w:instrText>, 356 N.C. 316, 344-45, 572 S.E.2d 108, 127-28 (2002)</w:instrText>
      </w:r>
      <w:r w:rsidR="001E593C" w:rsidRPr="0057700D">
        <w:rPr>
          <w:rFonts w:ascii="Calibri" w:eastAsia="Calibri" w:hAnsi="Calibri" w:cs="Times New Roman"/>
        </w:rPr>
        <w:instrText xml:space="preserve">" \s "State v. Barden, 356 N.C. 316, 344-45, 572 S.E.2d 108, 127-28 (2002)" \c 1 </w:instrText>
      </w:r>
      <w:r w:rsidR="001E593C" w:rsidRPr="0057700D">
        <w:rPr>
          <w:rFonts w:ascii="Century Schoolbook" w:eastAsia="Calibri" w:hAnsi="Century Schoolbook" w:cs="Times New Roman"/>
          <w:sz w:val="26"/>
          <w:szCs w:val="26"/>
        </w:rPr>
        <w:fldChar w:fldCharType="end"/>
      </w:r>
      <w:r w:rsidR="001E593C" w:rsidRPr="0057700D">
        <w:rPr>
          <w:rFonts w:ascii="Century Schoolbook" w:eastAsia="Calibri" w:hAnsi="Century Schoolbook" w:cs="Times New Roman"/>
          <w:sz w:val="26"/>
          <w:szCs w:val="26"/>
        </w:rPr>
        <w:t xml:space="preserve"> (finding a prima facie case and remanding for a hearing where the prosecutor struck 5 of 7, or 71%, of eligible Black jurors).</w:t>
      </w:r>
      <w:r w:rsidR="00A561A3" w:rsidRPr="0057700D">
        <w:rPr>
          <w:rFonts w:ascii="Century Schoolbook" w:eastAsia="Calibri" w:hAnsi="Century Schoolbook" w:cs="Times New Roman"/>
          <w:sz w:val="26"/>
          <w:szCs w:val="26"/>
        </w:rPr>
        <w:t xml:space="preserve">  </w:t>
      </w:r>
    </w:p>
    <w:p w14:paraId="63A135A0" w14:textId="6F934370" w:rsidR="00F563C2" w:rsidRPr="0057700D" w:rsidRDefault="00FB61D0" w:rsidP="00F563C2">
      <w:pPr>
        <w:spacing w:after="0" w:line="480" w:lineRule="auto"/>
        <w:ind w:firstLine="720"/>
        <w:rPr>
          <w:rFonts w:ascii="Century Schoolbook" w:eastAsia="Times New Roman" w:hAnsi="Century Schoolbook" w:cs="Times New Roman"/>
          <w:sz w:val="26"/>
          <w:szCs w:val="26"/>
        </w:rPr>
      </w:pPr>
      <w:r w:rsidRPr="0057700D">
        <w:rPr>
          <w:rFonts w:ascii="Century Schoolbook" w:eastAsia="Calibri" w:hAnsi="Century Schoolbook" w:cs="Times New Roman"/>
          <w:sz w:val="26"/>
          <w:szCs w:val="26"/>
        </w:rPr>
        <w:t xml:space="preserve">Once a prima facie case is made, the State must rebut the presumption of discrimination, and if it does not, the equal protection violation is established.  </w:t>
      </w:r>
      <w:r w:rsidRPr="0057700D">
        <w:rPr>
          <w:rFonts w:ascii="Century Schoolbook" w:eastAsia="Calibri" w:hAnsi="Century Schoolbook" w:cs="Times New Roman"/>
          <w:i/>
          <w:iCs/>
          <w:sz w:val="26"/>
          <w:szCs w:val="26"/>
        </w:rPr>
        <w:t>Batson</w:t>
      </w:r>
      <w:r w:rsidRPr="0057700D">
        <w:rPr>
          <w:rFonts w:ascii="Century Schoolbook" w:eastAsia="Calibri" w:hAnsi="Century Schoolbook" w:cs="Times New Roman"/>
          <w:sz w:val="26"/>
          <w:szCs w:val="26"/>
        </w:rPr>
        <w:t>, 476 U.S. at 94</w:t>
      </w:r>
      <w:r w:rsidR="00825D98" w:rsidRPr="0057700D">
        <w:rPr>
          <w:rFonts w:ascii="Century Schoolbook" w:eastAsia="Calibri" w:hAnsi="Century Schoolbook" w:cs="Times New Roman"/>
          <w:sz w:val="26"/>
          <w:szCs w:val="26"/>
        </w:rPr>
        <w:fldChar w:fldCharType="begin"/>
      </w:r>
      <w:r w:rsidR="00825D98" w:rsidRPr="0057700D">
        <w:instrText xml:space="preserve"> TA \s "Batson v. Kentucky, 476 U.S. 79 (1986)" </w:instrText>
      </w:r>
      <w:r w:rsidR="00825D98" w:rsidRPr="0057700D">
        <w:rPr>
          <w:rFonts w:ascii="Century Schoolbook" w:eastAsia="Calibri" w:hAnsi="Century Schoolbook" w:cs="Times New Roman"/>
          <w:sz w:val="26"/>
          <w:szCs w:val="26"/>
        </w:rPr>
        <w:fldChar w:fldCharType="end"/>
      </w:r>
      <w:r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i/>
          <w:iCs/>
          <w:sz w:val="26"/>
          <w:szCs w:val="26"/>
        </w:rPr>
        <w:t xml:space="preserve"> </w:t>
      </w:r>
      <w:r w:rsidR="006C1F03" w:rsidRPr="0057700D">
        <w:rPr>
          <w:rFonts w:ascii="Century Schoolbook" w:eastAsia="Calibri" w:hAnsi="Century Schoolbook" w:cs="Times New Roman"/>
          <w:sz w:val="26"/>
          <w:szCs w:val="26"/>
        </w:rPr>
        <w:t>A</w:t>
      </w:r>
      <w:r w:rsidR="00734847" w:rsidRPr="0057700D">
        <w:rPr>
          <w:rFonts w:ascii="Century Schoolbook" w:eastAsia="Calibri" w:hAnsi="Century Schoolbook" w:cs="Times New Roman"/>
          <w:sz w:val="26"/>
          <w:szCs w:val="26"/>
        </w:rPr>
        <w:t xml:space="preserve"> </w:t>
      </w:r>
      <w:r w:rsidR="006C1F03" w:rsidRPr="0057700D">
        <w:rPr>
          <w:rFonts w:ascii="Century Schoolbook" w:eastAsia="Calibri" w:hAnsi="Century Schoolbook" w:cs="Times New Roman"/>
          <w:sz w:val="26"/>
          <w:szCs w:val="26"/>
        </w:rPr>
        <w:t xml:space="preserve">court cannot rely on race-neutral reasons that were not offered by the State.  </w:t>
      </w:r>
      <w:r w:rsidR="00F563C2" w:rsidRPr="0057700D">
        <w:rPr>
          <w:rFonts w:ascii="Century Schoolbook" w:eastAsia="Times New Roman" w:hAnsi="Century Schoolbook" w:cs="Times New Roman"/>
          <w:i/>
          <w:iCs/>
          <w:sz w:val="26"/>
          <w:szCs w:val="26"/>
        </w:rPr>
        <w:t>Miller-El</w:t>
      </w:r>
      <w:r w:rsidR="00A35B47" w:rsidRPr="0057700D">
        <w:rPr>
          <w:rFonts w:ascii="Century Schoolbook" w:eastAsia="Times New Roman" w:hAnsi="Century Schoolbook" w:cs="Times New Roman"/>
          <w:i/>
          <w:iCs/>
          <w:sz w:val="26"/>
          <w:szCs w:val="26"/>
        </w:rPr>
        <w:t xml:space="preserve"> </w:t>
      </w:r>
      <w:r w:rsidR="00DC341B" w:rsidRPr="0057700D">
        <w:rPr>
          <w:rFonts w:ascii="Century Schoolbook" w:eastAsia="Times New Roman" w:hAnsi="Century Schoolbook" w:cs="Times New Roman"/>
          <w:i/>
          <w:iCs/>
          <w:sz w:val="26"/>
          <w:szCs w:val="26"/>
        </w:rPr>
        <w:t xml:space="preserve">v. </w:t>
      </w:r>
      <w:proofErr w:type="spellStart"/>
      <w:r w:rsidR="00DC341B" w:rsidRPr="0057700D">
        <w:rPr>
          <w:rFonts w:ascii="Century Schoolbook" w:eastAsia="Times New Roman" w:hAnsi="Century Schoolbook" w:cs="Times New Roman"/>
          <w:i/>
          <w:iCs/>
          <w:sz w:val="26"/>
          <w:szCs w:val="26"/>
        </w:rPr>
        <w:t>Dretke</w:t>
      </w:r>
      <w:proofErr w:type="spellEnd"/>
      <w:r w:rsidR="00DC341B" w:rsidRPr="0057700D">
        <w:rPr>
          <w:rFonts w:ascii="Century Schoolbook" w:eastAsia="Times New Roman" w:hAnsi="Century Schoolbook" w:cs="Times New Roman"/>
          <w:sz w:val="26"/>
          <w:szCs w:val="26"/>
        </w:rPr>
        <w:t>, 54</w:t>
      </w:r>
      <w:r w:rsidR="00A35B47" w:rsidRPr="0057700D">
        <w:rPr>
          <w:rFonts w:ascii="Century Schoolbook" w:eastAsia="Times New Roman" w:hAnsi="Century Schoolbook" w:cs="Times New Roman"/>
          <w:sz w:val="26"/>
          <w:szCs w:val="26"/>
        </w:rPr>
        <w:t>5</w:t>
      </w:r>
      <w:r w:rsidR="00DC341B" w:rsidRPr="0057700D">
        <w:rPr>
          <w:rFonts w:ascii="Century Schoolbook" w:eastAsia="Times New Roman" w:hAnsi="Century Schoolbook" w:cs="Times New Roman"/>
          <w:sz w:val="26"/>
          <w:szCs w:val="26"/>
        </w:rPr>
        <w:t xml:space="preserve"> U.S.</w:t>
      </w:r>
      <w:r w:rsidR="00A35B47" w:rsidRPr="0057700D">
        <w:rPr>
          <w:rFonts w:ascii="Century Schoolbook" w:eastAsia="Times New Roman" w:hAnsi="Century Schoolbook" w:cs="Times New Roman"/>
          <w:sz w:val="26"/>
          <w:szCs w:val="26"/>
        </w:rPr>
        <w:t xml:space="preserve"> 231, </w:t>
      </w:r>
      <w:r w:rsidR="00A35B47" w:rsidRPr="0057700D">
        <w:rPr>
          <w:rFonts w:ascii="Century Schoolbook" w:eastAsia="Times New Roman" w:hAnsi="Century Schoolbook" w:cs="Times New Roman"/>
          <w:sz w:val="26"/>
          <w:szCs w:val="26"/>
        </w:rPr>
        <w:lastRenderedPageBreak/>
        <w:t>252</w:t>
      </w:r>
      <w:r w:rsidR="00DC341B" w:rsidRPr="0057700D">
        <w:rPr>
          <w:rFonts w:ascii="Century Schoolbook" w:eastAsia="Times New Roman" w:hAnsi="Century Schoolbook" w:cs="Times New Roman"/>
          <w:sz w:val="26"/>
          <w:szCs w:val="26"/>
        </w:rPr>
        <w:t xml:space="preserve"> (2005)</w:t>
      </w:r>
      <w:r w:rsidR="00825D98" w:rsidRPr="0057700D">
        <w:rPr>
          <w:rFonts w:ascii="Century Schoolbook" w:eastAsia="Times New Roman" w:hAnsi="Century Schoolbook" w:cs="Times New Roman"/>
          <w:sz w:val="26"/>
          <w:szCs w:val="26"/>
        </w:rPr>
        <w:fldChar w:fldCharType="begin"/>
      </w:r>
      <w:r w:rsidR="00825D98" w:rsidRPr="0057700D">
        <w:instrText xml:space="preserve"> TA \l "</w:instrText>
      </w:r>
      <w:r w:rsidR="00825D98" w:rsidRPr="0057700D">
        <w:rPr>
          <w:rFonts w:ascii="Century Schoolbook" w:eastAsia="Times New Roman" w:hAnsi="Century Schoolbook" w:cs="Times New Roman"/>
          <w:i/>
          <w:iCs/>
          <w:sz w:val="26"/>
          <w:szCs w:val="26"/>
        </w:rPr>
        <w:instrText>Miller-El v. Dretke</w:instrText>
      </w:r>
      <w:r w:rsidR="00825D98" w:rsidRPr="0057700D">
        <w:rPr>
          <w:rFonts w:ascii="Century Schoolbook" w:eastAsia="Times New Roman" w:hAnsi="Century Schoolbook" w:cs="Times New Roman"/>
          <w:sz w:val="26"/>
          <w:szCs w:val="26"/>
        </w:rPr>
        <w:instrText>, 545 U.S. 231, 252 (2005)</w:instrText>
      </w:r>
      <w:r w:rsidR="00825D98" w:rsidRPr="0057700D">
        <w:instrText xml:space="preserve">" \s "Miller-El v. Dretke, 545 U.S. 231, 252 (2005)" \c 1 </w:instrText>
      </w:r>
      <w:r w:rsidR="00825D98" w:rsidRPr="0057700D">
        <w:rPr>
          <w:rFonts w:ascii="Century Schoolbook" w:eastAsia="Times New Roman" w:hAnsi="Century Schoolbook" w:cs="Times New Roman"/>
          <w:sz w:val="26"/>
          <w:szCs w:val="26"/>
        </w:rPr>
        <w:fldChar w:fldCharType="end"/>
      </w:r>
      <w:r w:rsidR="00DC341B" w:rsidRPr="0057700D">
        <w:rPr>
          <w:rFonts w:ascii="Century Schoolbook" w:eastAsia="Times New Roman" w:hAnsi="Century Schoolbook" w:cs="Times New Roman"/>
          <w:sz w:val="26"/>
          <w:szCs w:val="26"/>
        </w:rPr>
        <w:t xml:space="preserve"> </w:t>
      </w:r>
      <w:r w:rsidR="00705DC5" w:rsidRPr="0057700D">
        <w:rPr>
          <w:rFonts w:ascii="Century Schoolbook" w:eastAsia="Times New Roman" w:hAnsi="Century Schoolbook" w:cs="Times New Roman"/>
          <w:sz w:val="26"/>
          <w:szCs w:val="26"/>
        </w:rPr>
        <w:t>(“</w:t>
      </w:r>
      <w:r w:rsidR="00DC341B" w:rsidRPr="0057700D">
        <w:rPr>
          <w:rFonts w:ascii="Century Schoolbook" w:eastAsia="Times New Roman" w:hAnsi="Century Schoolbook" w:cs="Times New Roman"/>
          <w:sz w:val="26"/>
          <w:szCs w:val="26"/>
        </w:rPr>
        <w:t xml:space="preserve">The </w:t>
      </w:r>
      <w:r w:rsidR="009D463C" w:rsidRPr="0057700D">
        <w:rPr>
          <w:rFonts w:ascii="Century Schoolbook" w:eastAsia="Times New Roman" w:hAnsi="Century Schoolbook" w:cs="Times New Roman"/>
          <w:sz w:val="26"/>
          <w:szCs w:val="26"/>
        </w:rPr>
        <w:t xml:space="preserve">[appellate court’s] </w:t>
      </w:r>
      <w:r w:rsidR="00DC341B" w:rsidRPr="0057700D">
        <w:rPr>
          <w:rFonts w:ascii="Century Schoolbook" w:eastAsia="Times New Roman" w:hAnsi="Century Schoolbook" w:cs="Times New Roman"/>
          <w:sz w:val="26"/>
          <w:szCs w:val="26"/>
        </w:rPr>
        <w:t xml:space="preserve">substitution of a reason for </w:t>
      </w:r>
      <w:r w:rsidR="00705DC5" w:rsidRPr="0057700D">
        <w:rPr>
          <w:rFonts w:ascii="Century Schoolbook" w:eastAsia="Times New Roman" w:hAnsi="Century Schoolbook" w:cs="Times New Roman"/>
          <w:sz w:val="26"/>
          <w:szCs w:val="26"/>
        </w:rPr>
        <w:t xml:space="preserve">[the apparent discrimination against a juror] </w:t>
      </w:r>
      <w:r w:rsidR="00DC341B" w:rsidRPr="0057700D">
        <w:rPr>
          <w:rFonts w:ascii="Century Schoolbook" w:eastAsia="Times New Roman" w:hAnsi="Century Schoolbook" w:cs="Times New Roman"/>
          <w:sz w:val="26"/>
          <w:szCs w:val="26"/>
        </w:rPr>
        <w:t>does nothing to satisfy the prosecutors</w:t>
      </w:r>
      <w:r w:rsidR="00705DC5" w:rsidRPr="0057700D">
        <w:rPr>
          <w:rFonts w:ascii="Century Schoolbook" w:eastAsia="Times New Roman" w:hAnsi="Century Schoolbook" w:cs="Times New Roman"/>
          <w:sz w:val="26"/>
          <w:szCs w:val="26"/>
        </w:rPr>
        <w:t>’</w:t>
      </w:r>
      <w:r w:rsidR="00DC341B" w:rsidRPr="0057700D">
        <w:rPr>
          <w:rFonts w:ascii="Century Schoolbook" w:eastAsia="Times New Roman" w:hAnsi="Century Schoolbook" w:cs="Times New Roman"/>
          <w:sz w:val="26"/>
          <w:szCs w:val="26"/>
        </w:rPr>
        <w:t xml:space="preserve"> burden of stating a racially neutral explanation for their own actions.</w:t>
      </w:r>
      <w:r w:rsidR="00DB2450" w:rsidRPr="0057700D">
        <w:rPr>
          <w:rFonts w:ascii="Century Schoolbook" w:eastAsia="Times New Roman" w:hAnsi="Century Schoolbook" w:cs="Times New Roman"/>
          <w:sz w:val="26"/>
          <w:szCs w:val="26"/>
        </w:rPr>
        <w:t>”</w:t>
      </w:r>
      <w:r w:rsidR="00705DC5" w:rsidRPr="0057700D">
        <w:rPr>
          <w:rFonts w:ascii="Century Schoolbook" w:eastAsia="Times New Roman" w:hAnsi="Century Schoolbook" w:cs="Times New Roman"/>
          <w:sz w:val="26"/>
          <w:szCs w:val="26"/>
        </w:rPr>
        <w:t>)</w:t>
      </w:r>
    </w:p>
    <w:p w14:paraId="5CEA1591" w14:textId="1A67FA7F" w:rsidR="007B0F13" w:rsidRPr="0057700D" w:rsidRDefault="00C00A89" w:rsidP="007B0F13">
      <w:pPr>
        <w:spacing w:after="0" w:line="480" w:lineRule="auto"/>
        <w:ind w:firstLine="720"/>
        <w:rPr>
          <w:rFonts w:ascii="Century Schoolbook" w:eastAsia="Calibri" w:hAnsi="Century Schoolbook" w:cs="Times New Roman"/>
          <w:b/>
          <w:bCs/>
          <w:sz w:val="26"/>
          <w:szCs w:val="26"/>
        </w:rPr>
      </w:pPr>
      <w:r w:rsidRPr="0057700D">
        <w:rPr>
          <w:rFonts w:ascii="Century Schoolbook" w:eastAsia="Calibri" w:hAnsi="Century Schoolbook" w:cs="Times New Roman"/>
          <w:b/>
          <w:bCs/>
          <w:sz w:val="26"/>
          <w:szCs w:val="26"/>
        </w:rPr>
        <w:t>B</w:t>
      </w:r>
      <w:r w:rsidR="0001695E" w:rsidRPr="0057700D">
        <w:rPr>
          <w:rFonts w:ascii="Century Schoolbook" w:eastAsia="Calibri" w:hAnsi="Century Schoolbook" w:cs="Times New Roman"/>
          <w:b/>
          <w:bCs/>
          <w:sz w:val="26"/>
          <w:szCs w:val="26"/>
        </w:rPr>
        <w:t xml:space="preserve">. </w:t>
      </w:r>
      <w:r w:rsidR="007B0F13" w:rsidRPr="0057700D">
        <w:rPr>
          <w:rFonts w:ascii="Century Schoolbook" w:eastAsia="Calibri" w:hAnsi="Century Schoolbook" w:cs="Times New Roman"/>
          <w:b/>
          <w:bCs/>
          <w:sz w:val="26"/>
          <w:szCs w:val="26"/>
        </w:rPr>
        <w:t xml:space="preserve"> </w:t>
      </w:r>
      <w:r w:rsidR="0001695E" w:rsidRPr="0057700D">
        <w:rPr>
          <w:rFonts w:ascii="Century Schoolbook" w:eastAsia="Calibri" w:hAnsi="Century Schoolbook" w:cs="Times New Roman"/>
          <w:b/>
          <w:bCs/>
          <w:sz w:val="26"/>
          <w:szCs w:val="26"/>
        </w:rPr>
        <w:t>Mr. Johnson met the p</w:t>
      </w:r>
      <w:r w:rsidR="007B0F13" w:rsidRPr="0057700D">
        <w:rPr>
          <w:rFonts w:ascii="Century Schoolbook" w:eastAsia="Calibri" w:hAnsi="Century Schoolbook" w:cs="Times New Roman"/>
          <w:b/>
          <w:bCs/>
          <w:sz w:val="26"/>
          <w:szCs w:val="26"/>
        </w:rPr>
        <w:t>rima facie requirement</w:t>
      </w:r>
      <w:r w:rsidR="006248EE" w:rsidRPr="0057700D">
        <w:rPr>
          <w:rFonts w:ascii="Century Schoolbook" w:eastAsia="Calibri" w:hAnsi="Century Schoolbook" w:cs="Times New Roman"/>
          <w:b/>
          <w:bCs/>
          <w:sz w:val="26"/>
          <w:szCs w:val="26"/>
        </w:rPr>
        <w:t>.</w:t>
      </w:r>
    </w:p>
    <w:p w14:paraId="1D63666C" w14:textId="018C1D12" w:rsidR="00C73E57" w:rsidRPr="0057700D" w:rsidRDefault="00E3182F" w:rsidP="00BA776D">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To support his claim of discrimination, </w:t>
      </w:r>
      <w:r w:rsidR="00830204" w:rsidRPr="0057700D">
        <w:rPr>
          <w:rFonts w:ascii="Century Schoolbook" w:eastAsia="Calibri" w:hAnsi="Century Schoolbook" w:cs="Times New Roman"/>
          <w:sz w:val="26"/>
          <w:szCs w:val="26"/>
        </w:rPr>
        <w:t>Mr. Johnson presented</w:t>
      </w:r>
      <w:r w:rsidR="00E056DF" w:rsidRPr="0057700D">
        <w:rPr>
          <w:rFonts w:ascii="Century Schoolbook" w:eastAsia="Calibri" w:hAnsi="Century Schoolbook" w:cs="Times New Roman"/>
          <w:sz w:val="26"/>
          <w:szCs w:val="26"/>
        </w:rPr>
        <w:t xml:space="preserve"> </w:t>
      </w:r>
      <w:r w:rsidR="00830204" w:rsidRPr="0057700D">
        <w:rPr>
          <w:rFonts w:ascii="Century Schoolbook" w:eastAsia="Calibri" w:hAnsi="Century Schoolbook" w:cs="Times New Roman"/>
          <w:sz w:val="26"/>
          <w:szCs w:val="26"/>
        </w:rPr>
        <w:t xml:space="preserve">statistical data </w:t>
      </w:r>
      <w:r w:rsidR="00E056DF" w:rsidRPr="0057700D">
        <w:rPr>
          <w:rFonts w:ascii="Century Schoolbook" w:eastAsia="Calibri" w:hAnsi="Century Schoolbook" w:cs="Times New Roman"/>
          <w:sz w:val="26"/>
          <w:szCs w:val="26"/>
        </w:rPr>
        <w:t xml:space="preserve">showing the </w:t>
      </w:r>
      <w:r w:rsidR="001171E3" w:rsidRPr="0057700D">
        <w:rPr>
          <w:rFonts w:ascii="Century Schoolbook" w:eastAsia="Calibri" w:hAnsi="Century Schoolbook" w:cs="Times New Roman"/>
          <w:sz w:val="26"/>
          <w:szCs w:val="26"/>
        </w:rPr>
        <w:t xml:space="preserve">rate of Officer Kuchen’s </w:t>
      </w:r>
      <w:r w:rsidR="00C91EBA" w:rsidRPr="0057700D">
        <w:rPr>
          <w:rFonts w:ascii="Century Schoolbook" w:eastAsia="Calibri" w:hAnsi="Century Schoolbook" w:cs="Times New Roman"/>
          <w:sz w:val="26"/>
          <w:szCs w:val="26"/>
        </w:rPr>
        <w:t>traffic</w:t>
      </w:r>
      <w:r w:rsidR="00830204" w:rsidRPr="0057700D">
        <w:rPr>
          <w:rFonts w:ascii="Century Schoolbook" w:eastAsia="Calibri" w:hAnsi="Century Schoolbook" w:cs="Times New Roman"/>
          <w:sz w:val="26"/>
          <w:szCs w:val="26"/>
        </w:rPr>
        <w:t xml:space="preserve"> stops </w:t>
      </w:r>
      <w:r w:rsidR="008C1428" w:rsidRPr="0057700D">
        <w:rPr>
          <w:rFonts w:ascii="Century Schoolbook" w:eastAsia="Calibri" w:hAnsi="Century Schoolbook" w:cs="Times New Roman"/>
          <w:sz w:val="26"/>
          <w:szCs w:val="26"/>
        </w:rPr>
        <w:t xml:space="preserve">and arrests </w:t>
      </w:r>
      <w:r w:rsidR="001930CA" w:rsidRPr="0057700D">
        <w:rPr>
          <w:rFonts w:ascii="Century Schoolbook" w:eastAsia="Calibri" w:hAnsi="Century Schoolbook" w:cs="Times New Roman"/>
          <w:sz w:val="26"/>
          <w:szCs w:val="26"/>
        </w:rPr>
        <w:t xml:space="preserve">relative to the race breakdown of the City of Raleigh and relative to </w:t>
      </w:r>
      <w:r w:rsidR="00166849" w:rsidRPr="0057700D">
        <w:rPr>
          <w:rFonts w:ascii="Century Schoolbook" w:eastAsia="Calibri" w:hAnsi="Century Schoolbook" w:cs="Times New Roman"/>
          <w:sz w:val="26"/>
          <w:szCs w:val="26"/>
        </w:rPr>
        <w:t xml:space="preserve">stops made by </w:t>
      </w:r>
      <w:r w:rsidR="001B782A" w:rsidRPr="0057700D">
        <w:rPr>
          <w:rFonts w:ascii="Century Schoolbook" w:eastAsia="Calibri" w:hAnsi="Century Schoolbook" w:cs="Times New Roman"/>
          <w:sz w:val="26"/>
          <w:szCs w:val="26"/>
        </w:rPr>
        <w:t xml:space="preserve">all </w:t>
      </w:r>
      <w:r w:rsidR="001930CA" w:rsidRPr="0057700D">
        <w:rPr>
          <w:rFonts w:ascii="Century Schoolbook" w:eastAsia="Calibri" w:hAnsi="Century Schoolbook" w:cs="Times New Roman"/>
          <w:sz w:val="26"/>
          <w:szCs w:val="26"/>
        </w:rPr>
        <w:t xml:space="preserve">Raleigh officers.  </w:t>
      </w:r>
      <w:r w:rsidR="00166849" w:rsidRPr="0057700D">
        <w:rPr>
          <w:rFonts w:ascii="Century Schoolbook" w:eastAsia="Calibri" w:hAnsi="Century Schoolbook" w:cs="Times New Roman"/>
          <w:sz w:val="26"/>
          <w:szCs w:val="26"/>
        </w:rPr>
        <w:t>Mr. Johnson</w:t>
      </w:r>
      <w:r w:rsidR="00E413AA" w:rsidRPr="0057700D">
        <w:rPr>
          <w:rFonts w:ascii="Century Schoolbook" w:eastAsia="Calibri" w:hAnsi="Century Schoolbook" w:cs="Times New Roman"/>
          <w:sz w:val="26"/>
          <w:szCs w:val="26"/>
        </w:rPr>
        <w:t xml:space="preserve"> also </w:t>
      </w:r>
      <w:r w:rsidR="001171E3" w:rsidRPr="0057700D">
        <w:rPr>
          <w:rFonts w:ascii="Century Schoolbook" w:eastAsia="Calibri" w:hAnsi="Century Schoolbook" w:cs="Times New Roman"/>
          <w:sz w:val="26"/>
          <w:szCs w:val="26"/>
        </w:rPr>
        <w:t xml:space="preserve">showed </w:t>
      </w:r>
      <w:r w:rsidR="00E413AA" w:rsidRPr="0057700D">
        <w:rPr>
          <w:rFonts w:ascii="Century Schoolbook" w:eastAsia="Calibri" w:hAnsi="Century Schoolbook" w:cs="Times New Roman"/>
          <w:sz w:val="26"/>
          <w:szCs w:val="26"/>
        </w:rPr>
        <w:t>that the full context of the stop</w:t>
      </w:r>
      <w:r w:rsidR="005102BA" w:rsidRPr="0057700D">
        <w:rPr>
          <w:rFonts w:ascii="Century Schoolbook" w:eastAsia="Calibri" w:hAnsi="Century Schoolbook" w:cs="Times New Roman"/>
          <w:sz w:val="26"/>
          <w:szCs w:val="26"/>
        </w:rPr>
        <w:t xml:space="preserve"> supports the inference of discrimination. </w:t>
      </w:r>
      <w:r w:rsidR="00DC063E" w:rsidRPr="0057700D">
        <w:rPr>
          <w:rFonts w:ascii="Century Schoolbook" w:eastAsia="Calibri" w:hAnsi="Century Schoolbook" w:cs="Times New Roman"/>
          <w:sz w:val="26"/>
          <w:szCs w:val="26"/>
        </w:rPr>
        <w:t xml:space="preserve"> Mr. Johnson was sitting alone in his car in an apartment parking lot and appeared to slide down in his seat at the time </w:t>
      </w:r>
      <w:r w:rsidR="0007361A" w:rsidRPr="0057700D">
        <w:rPr>
          <w:rFonts w:ascii="Century Schoolbook" w:eastAsia="Calibri" w:hAnsi="Century Schoolbook" w:cs="Times New Roman"/>
          <w:sz w:val="26"/>
          <w:szCs w:val="26"/>
        </w:rPr>
        <w:t xml:space="preserve">Officer </w:t>
      </w:r>
      <w:r w:rsidR="00DC063E" w:rsidRPr="0057700D">
        <w:rPr>
          <w:rFonts w:ascii="Century Schoolbook" w:eastAsia="Calibri" w:hAnsi="Century Schoolbook" w:cs="Times New Roman"/>
          <w:sz w:val="26"/>
          <w:szCs w:val="26"/>
        </w:rPr>
        <w:t xml:space="preserve">Kuchen drove past. </w:t>
      </w:r>
      <w:r w:rsidR="005102BA" w:rsidRPr="0057700D">
        <w:rPr>
          <w:rFonts w:ascii="Century Schoolbook" w:eastAsia="Calibri" w:hAnsi="Century Schoolbook" w:cs="Times New Roman"/>
          <w:sz w:val="26"/>
          <w:szCs w:val="26"/>
        </w:rPr>
        <w:t xml:space="preserve"> </w:t>
      </w:r>
      <w:r w:rsidR="00F42F67" w:rsidRPr="0057700D">
        <w:rPr>
          <w:rFonts w:ascii="Century Schoolbook" w:eastAsia="Calibri" w:hAnsi="Century Schoolbook" w:cs="Times New Roman"/>
          <w:sz w:val="26"/>
          <w:szCs w:val="26"/>
        </w:rPr>
        <w:t>K</w:t>
      </w:r>
      <w:r w:rsidR="00830204" w:rsidRPr="0057700D">
        <w:rPr>
          <w:rFonts w:ascii="Century Schoolbook" w:eastAsia="Calibri" w:hAnsi="Century Schoolbook" w:cs="Times New Roman"/>
          <w:sz w:val="26"/>
          <w:szCs w:val="26"/>
        </w:rPr>
        <w:t xml:space="preserve">uchen’s </w:t>
      </w:r>
      <w:r w:rsidR="00DA6A92" w:rsidRPr="0057700D">
        <w:rPr>
          <w:rFonts w:ascii="Century Schoolbook" w:eastAsia="Calibri" w:hAnsi="Century Schoolbook" w:cs="Times New Roman"/>
          <w:sz w:val="26"/>
          <w:szCs w:val="26"/>
        </w:rPr>
        <w:t xml:space="preserve">reason for investigating </w:t>
      </w:r>
      <w:r w:rsidR="00EE60AB" w:rsidRPr="0057700D">
        <w:rPr>
          <w:rFonts w:ascii="Century Schoolbook" w:eastAsia="Calibri" w:hAnsi="Century Schoolbook" w:cs="Times New Roman"/>
          <w:sz w:val="26"/>
          <w:szCs w:val="26"/>
        </w:rPr>
        <w:t>appeared pretextual</w:t>
      </w:r>
      <w:r w:rsidR="006F78B3" w:rsidRPr="0057700D">
        <w:rPr>
          <w:rFonts w:ascii="Century Schoolbook" w:eastAsia="Calibri" w:hAnsi="Century Schoolbook" w:cs="Times New Roman"/>
          <w:sz w:val="26"/>
          <w:szCs w:val="26"/>
        </w:rPr>
        <w:t xml:space="preserve">:  </w:t>
      </w:r>
      <w:r w:rsidR="005102BA" w:rsidRPr="0057700D">
        <w:rPr>
          <w:rFonts w:ascii="Century Schoolbook" w:eastAsia="Calibri" w:hAnsi="Century Schoolbook" w:cs="Times New Roman"/>
          <w:sz w:val="26"/>
          <w:szCs w:val="26"/>
        </w:rPr>
        <w:t xml:space="preserve">he testified </w:t>
      </w:r>
      <w:r w:rsidR="003E5B16" w:rsidRPr="0057700D">
        <w:rPr>
          <w:rFonts w:ascii="Century Schoolbook" w:eastAsia="Calibri" w:hAnsi="Century Schoolbook" w:cs="Times New Roman"/>
          <w:sz w:val="26"/>
          <w:szCs w:val="26"/>
        </w:rPr>
        <w:t xml:space="preserve">that </w:t>
      </w:r>
      <w:r w:rsidR="005102BA" w:rsidRPr="0057700D">
        <w:rPr>
          <w:rFonts w:ascii="Century Schoolbook" w:eastAsia="Calibri" w:hAnsi="Century Schoolbook" w:cs="Times New Roman"/>
          <w:sz w:val="26"/>
          <w:szCs w:val="26"/>
        </w:rPr>
        <w:t>he ch</w:t>
      </w:r>
      <w:r w:rsidR="00382A57" w:rsidRPr="0057700D">
        <w:rPr>
          <w:rFonts w:ascii="Century Schoolbook" w:eastAsia="Calibri" w:hAnsi="Century Schoolbook" w:cs="Times New Roman"/>
          <w:sz w:val="26"/>
          <w:szCs w:val="26"/>
        </w:rPr>
        <w:t>ose</w:t>
      </w:r>
      <w:r w:rsidR="002A2244" w:rsidRPr="0057700D">
        <w:rPr>
          <w:rFonts w:ascii="Century Schoolbook" w:eastAsia="Calibri" w:hAnsi="Century Schoolbook" w:cs="Times New Roman"/>
          <w:sz w:val="26"/>
          <w:szCs w:val="26"/>
        </w:rPr>
        <w:t xml:space="preserve"> to </w:t>
      </w:r>
      <w:r w:rsidR="00EE60AB" w:rsidRPr="0057700D">
        <w:rPr>
          <w:rFonts w:ascii="Century Schoolbook" w:eastAsia="Calibri" w:hAnsi="Century Schoolbook" w:cs="Times New Roman"/>
          <w:sz w:val="26"/>
          <w:szCs w:val="26"/>
        </w:rPr>
        <w:t>investigat</w:t>
      </w:r>
      <w:r w:rsidR="002A2244" w:rsidRPr="0057700D">
        <w:rPr>
          <w:rFonts w:ascii="Century Schoolbook" w:eastAsia="Calibri" w:hAnsi="Century Schoolbook" w:cs="Times New Roman"/>
          <w:sz w:val="26"/>
          <w:szCs w:val="26"/>
        </w:rPr>
        <w:t>e</w:t>
      </w:r>
      <w:r w:rsidR="00EE60AB" w:rsidRPr="0057700D">
        <w:rPr>
          <w:rFonts w:ascii="Century Schoolbook" w:eastAsia="Calibri" w:hAnsi="Century Schoolbook" w:cs="Times New Roman"/>
          <w:sz w:val="26"/>
          <w:szCs w:val="26"/>
        </w:rPr>
        <w:t xml:space="preserve"> a minor misdemeanor offense </w:t>
      </w:r>
      <w:r w:rsidR="002A2244" w:rsidRPr="0057700D">
        <w:rPr>
          <w:rFonts w:ascii="Century Schoolbook" w:eastAsia="Calibri" w:hAnsi="Century Schoolbook" w:cs="Times New Roman"/>
          <w:sz w:val="26"/>
          <w:szCs w:val="26"/>
        </w:rPr>
        <w:t>(</w:t>
      </w:r>
      <w:r w:rsidR="00EE60AB" w:rsidRPr="0057700D">
        <w:rPr>
          <w:rFonts w:ascii="Century Schoolbook" w:eastAsia="Calibri" w:hAnsi="Century Schoolbook" w:cs="Times New Roman"/>
          <w:sz w:val="26"/>
          <w:szCs w:val="26"/>
        </w:rPr>
        <w:t>trespassing</w:t>
      </w:r>
      <w:r w:rsidR="002A2244" w:rsidRPr="0057700D">
        <w:rPr>
          <w:rFonts w:ascii="Century Schoolbook" w:eastAsia="Calibri" w:hAnsi="Century Schoolbook" w:cs="Times New Roman"/>
          <w:sz w:val="26"/>
          <w:szCs w:val="26"/>
        </w:rPr>
        <w:t xml:space="preserve">) </w:t>
      </w:r>
      <w:r w:rsidR="009F33AD" w:rsidRPr="0057700D">
        <w:rPr>
          <w:rFonts w:ascii="Century Schoolbook" w:eastAsia="Calibri" w:hAnsi="Century Schoolbook" w:cs="Times New Roman"/>
          <w:sz w:val="26"/>
          <w:szCs w:val="26"/>
        </w:rPr>
        <w:t xml:space="preserve">based on </w:t>
      </w:r>
      <w:r w:rsidR="00077282" w:rsidRPr="0057700D">
        <w:rPr>
          <w:rFonts w:ascii="Century Schoolbook" w:eastAsia="Calibri" w:hAnsi="Century Schoolbook" w:cs="Times New Roman"/>
          <w:sz w:val="26"/>
          <w:szCs w:val="26"/>
        </w:rPr>
        <w:t xml:space="preserve">brief </w:t>
      </w:r>
      <w:r w:rsidR="009F33AD" w:rsidRPr="0057700D">
        <w:rPr>
          <w:rFonts w:ascii="Century Schoolbook" w:eastAsia="Calibri" w:hAnsi="Century Schoolbook" w:cs="Times New Roman"/>
          <w:sz w:val="26"/>
          <w:szCs w:val="26"/>
        </w:rPr>
        <w:t>observations</w:t>
      </w:r>
      <w:r w:rsidR="00077282" w:rsidRPr="0057700D">
        <w:rPr>
          <w:rFonts w:ascii="Century Schoolbook" w:eastAsia="Calibri" w:hAnsi="Century Schoolbook" w:cs="Times New Roman"/>
          <w:sz w:val="26"/>
          <w:szCs w:val="26"/>
        </w:rPr>
        <w:t xml:space="preserve"> that d</w:t>
      </w:r>
      <w:r w:rsidR="00382A57" w:rsidRPr="0057700D">
        <w:rPr>
          <w:rFonts w:ascii="Century Schoolbook" w:eastAsia="Calibri" w:hAnsi="Century Schoolbook" w:cs="Times New Roman"/>
          <w:sz w:val="26"/>
          <w:szCs w:val="26"/>
        </w:rPr>
        <w:t>id</w:t>
      </w:r>
      <w:r w:rsidR="00077282" w:rsidRPr="0057700D">
        <w:rPr>
          <w:rFonts w:ascii="Century Schoolbook" w:eastAsia="Calibri" w:hAnsi="Century Schoolbook" w:cs="Times New Roman"/>
          <w:sz w:val="26"/>
          <w:szCs w:val="26"/>
        </w:rPr>
        <w:t xml:space="preserve"> not reasonably suggest criminal wrongdoing</w:t>
      </w:r>
      <w:r w:rsidR="007413F3" w:rsidRPr="0057700D">
        <w:rPr>
          <w:rFonts w:ascii="Century Schoolbook" w:eastAsia="Calibri" w:hAnsi="Century Schoolbook" w:cs="Times New Roman"/>
          <w:sz w:val="26"/>
          <w:szCs w:val="26"/>
        </w:rPr>
        <w:t>.</w:t>
      </w:r>
      <w:r w:rsidR="00077282" w:rsidRPr="0057700D">
        <w:rPr>
          <w:rFonts w:ascii="Century Schoolbook" w:eastAsia="Calibri" w:hAnsi="Century Schoolbook" w:cs="Times New Roman"/>
          <w:sz w:val="26"/>
          <w:szCs w:val="26"/>
        </w:rPr>
        <w:t xml:space="preserve">  </w:t>
      </w:r>
      <w:r w:rsidR="001E0A82" w:rsidRPr="0057700D">
        <w:rPr>
          <w:rFonts w:ascii="Century Schoolbook" w:eastAsia="Calibri" w:hAnsi="Century Schoolbook" w:cs="Times New Roman"/>
          <w:sz w:val="26"/>
          <w:szCs w:val="26"/>
        </w:rPr>
        <w:t>T</w:t>
      </w:r>
      <w:r w:rsidR="005A0264" w:rsidRPr="0057700D">
        <w:rPr>
          <w:rFonts w:ascii="Century Schoolbook" w:eastAsia="Calibri" w:hAnsi="Century Schoolbook" w:cs="Times New Roman"/>
          <w:sz w:val="26"/>
          <w:szCs w:val="26"/>
        </w:rPr>
        <w:t>h</w:t>
      </w:r>
      <w:r w:rsidR="00F11CC5" w:rsidRPr="0057700D">
        <w:rPr>
          <w:rFonts w:ascii="Century Schoolbook" w:eastAsia="Calibri" w:hAnsi="Century Schoolbook" w:cs="Times New Roman"/>
          <w:sz w:val="26"/>
          <w:szCs w:val="26"/>
        </w:rPr>
        <w:t>e combination of thi</w:t>
      </w:r>
      <w:r w:rsidR="005A0264" w:rsidRPr="0057700D">
        <w:rPr>
          <w:rFonts w:ascii="Century Schoolbook" w:eastAsia="Calibri" w:hAnsi="Century Schoolbook" w:cs="Times New Roman"/>
          <w:sz w:val="26"/>
          <w:szCs w:val="26"/>
        </w:rPr>
        <w:t xml:space="preserve">s </w:t>
      </w:r>
      <w:r w:rsidR="00316B6A" w:rsidRPr="0057700D">
        <w:rPr>
          <w:rFonts w:ascii="Century Schoolbook" w:eastAsia="Calibri" w:hAnsi="Century Schoolbook" w:cs="Times New Roman"/>
          <w:sz w:val="26"/>
          <w:szCs w:val="26"/>
        </w:rPr>
        <w:t xml:space="preserve">evidence was </w:t>
      </w:r>
      <w:r w:rsidR="006248EE" w:rsidRPr="0057700D">
        <w:rPr>
          <w:rFonts w:ascii="Century Schoolbook" w:eastAsia="Calibri" w:hAnsi="Century Schoolbook" w:cs="Times New Roman"/>
          <w:sz w:val="26"/>
          <w:szCs w:val="26"/>
        </w:rPr>
        <w:t>more than sufficient to raise an inference of discrimination</w:t>
      </w:r>
      <w:r w:rsidR="005A0264" w:rsidRPr="0057700D">
        <w:rPr>
          <w:rFonts w:ascii="Century Schoolbook" w:eastAsia="Calibri" w:hAnsi="Century Schoolbook" w:cs="Times New Roman"/>
          <w:sz w:val="26"/>
          <w:szCs w:val="26"/>
        </w:rPr>
        <w:t xml:space="preserve"> and satisfy the prima facie burden</w:t>
      </w:r>
      <w:r w:rsidR="006248EE" w:rsidRPr="0057700D">
        <w:rPr>
          <w:rFonts w:ascii="Century Schoolbook" w:eastAsia="Calibri" w:hAnsi="Century Schoolbook" w:cs="Times New Roman"/>
          <w:sz w:val="26"/>
          <w:szCs w:val="26"/>
        </w:rPr>
        <w:t xml:space="preserve">. </w:t>
      </w:r>
      <w:r w:rsidR="009F2C05" w:rsidRPr="0057700D">
        <w:rPr>
          <w:rFonts w:ascii="Century Schoolbook" w:eastAsia="Calibri" w:hAnsi="Century Schoolbook" w:cs="Times New Roman"/>
          <w:sz w:val="26"/>
          <w:szCs w:val="26"/>
        </w:rPr>
        <w:t xml:space="preserve"> </w:t>
      </w:r>
    </w:p>
    <w:p w14:paraId="4B3A5656" w14:textId="1AD7E8F5" w:rsidR="00F96E68" w:rsidRPr="0057700D" w:rsidRDefault="00A559A2" w:rsidP="00F96E68">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1</w:t>
      </w:r>
      <w:r w:rsidR="001B6BED" w:rsidRPr="0057700D">
        <w:rPr>
          <w:rFonts w:ascii="Century Schoolbook" w:eastAsia="Calibri" w:hAnsi="Century Schoolbook" w:cs="Times New Roman"/>
          <w:sz w:val="26"/>
          <w:szCs w:val="26"/>
        </w:rPr>
        <w:t xml:space="preserve">.  </w:t>
      </w:r>
      <w:r w:rsidR="00F96E68" w:rsidRPr="0057700D">
        <w:rPr>
          <w:rFonts w:ascii="Century Schoolbook" w:eastAsia="Calibri" w:hAnsi="Century Schoolbook" w:cs="Times New Roman"/>
          <w:sz w:val="26"/>
          <w:szCs w:val="26"/>
          <w:u w:val="single"/>
        </w:rPr>
        <w:t>Mr. Johnson’s data was sufficient</w:t>
      </w:r>
      <w:r w:rsidR="00F96E68" w:rsidRPr="0057700D">
        <w:rPr>
          <w:rFonts w:ascii="Century Schoolbook" w:eastAsia="Calibri" w:hAnsi="Century Schoolbook" w:cs="Times New Roman"/>
          <w:sz w:val="26"/>
          <w:szCs w:val="26"/>
        </w:rPr>
        <w:t>.</w:t>
      </w:r>
    </w:p>
    <w:p w14:paraId="73DB714F" w14:textId="0B62F1FC" w:rsidR="00A559A2" w:rsidRPr="0057700D" w:rsidRDefault="00A559A2" w:rsidP="00A559A2">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The prima facie burden is not intended to be a high hurdle.  </w:t>
      </w:r>
      <w:r w:rsidRPr="0057700D">
        <w:rPr>
          <w:rFonts w:ascii="Century Schoolbook" w:eastAsia="Calibri" w:hAnsi="Century Schoolbook" w:cs="Times New Roman"/>
          <w:i/>
          <w:iCs/>
          <w:sz w:val="26"/>
          <w:szCs w:val="26"/>
        </w:rPr>
        <w:t>State v. Hoffman</w:t>
      </w:r>
      <w:r w:rsidRPr="0057700D">
        <w:rPr>
          <w:rFonts w:ascii="Century Schoolbook" w:eastAsia="Calibri" w:hAnsi="Century Schoolbook" w:cs="Times New Roman"/>
          <w:sz w:val="26"/>
          <w:szCs w:val="26"/>
        </w:rPr>
        <w:t>, 348 N.C. 548, 553 (1998)</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State v. Hoffman</w:instrText>
      </w:r>
      <w:r w:rsidR="00825D98" w:rsidRPr="0057700D">
        <w:rPr>
          <w:rFonts w:ascii="Century Schoolbook" w:eastAsia="Calibri" w:hAnsi="Century Schoolbook" w:cs="Times New Roman"/>
          <w:sz w:val="26"/>
          <w:szCs w:val="26"/>
        </w:rPr>
        <w:instrText>, 348 N.C. 548, 553 (1998)</w:instrText>
      </w:r>
      <w:r w:rsidR="00825D98" w:rsidRPr="0057700D">
        <w:instrText xml:space="preserve">" \s "State v. Hoffman, 348 N.C. 548, 553 (1998)" \c 1 </w:instrText>
      </w:r>
      <w:r w:rsidR="00825D98" w:rsidRPr="0057700D">
        <w:rPr>
          <w:rFonts w:ascii="Century Schoolbook" w:eastAsia="Calibri" w:hAnsi="Century Schoolbook" w:cs="Times New Roman"/>
          <w:sz w:val="26"/>
          <w:szCs w:val="26"/>
        </w:rPr>
        <w:fldChar w:fldCharType="end"/>
      </w:r>
      <w:r w:rsidRPr="0057700D">
        <w:rPr>
          <w:rFonts w:ascii="Century Schoolbook" w:eastAsia="Calibri" w:hAnsi="Century Schoolbook" w:cs="Times New Roman"/>
          <w:sz w:val="26"/>
          <w:szCs w:val="26"/>
        </w:rPr>
        <w:t xml:space="preserve">.  </w:t>
      </w:r>
      <w:r w:rsidR="00AF4003" w:rsidRPr="0057700D">
        <w:rPr>
          <w:rFonts w:ascii="Century Schoolbook" w:eastAsia="Calibri" w:hAnsi="Century Schoolbook" w:cs="Times New Roman"/>
          <w:sz w:val="26"/>
          <w:szCs w:val="26"/>
        </w:rPr>
        <w:t>I</w:t>
      </w:r>
      <w:r w:rsidRPr="0057700D">
        <w:rPr>
          <w:rFonts w:ascii="Century Schoolbook" w:eastAsia="Calibri" w:hAnsi="Century Schoolbook" w:cs="Times New Roman"/>
          <w:sz w:val="26"/>
          <w:szCs w:val="26"/>
        </w:rPr>
        <w:t xml:space="preserve">t requires only enough to raise an inference of discriminatory purpose and effect.  </w:t>
      </w:r>
      <w:r w:rsidR="00825D98" w:rsidRPr="0057700D">
        <w:rPr>
          <w:rFonts w:ascii="Century Schoolbook" w:eastAsia="Calibri" w:hAnsi="Century Schoolbook" w:cs="Times New Roman"/>
          <w:i/>
          <w:iCs/>
          <w:sz w:val="26"/>
          <w:szCs w:val="26"/>
        </w:rPr>
        <w:fldChar w:fldCharType="begin"/>
      </w:r>
      <w:r w:rsidR="00825D98" w:rsidRPr="0057700D">
        <w:instrText xml:space="preserve"> TA \s "State v. Johnson, 2021-NCSC-165" </w:instrText>
      </w:r>
      <w:r w:rsidR="00825D98" w:rsidRPr="0057700D">
        <w:rPr>
          <w:rFonts w:ascii="Century Schoolbook" w:eastAsia="Calibri" w:hAnsi="Century Schoolbook" w:cs="Times New Roman"/>
          <w:i/>
          <w:iCs/>
          <w:sz w:val="26"/>
          <w:szCs w:val="26"/>
        </w:rPr>
        <w:fldChar w:fldCharType="end"/>
      </w:r>
      <w:r w:rsidRPr="0057700D">
        <w:rPr>
          <w:rFonts w:ascii="Century Schoolbook" w:eastAsia="Calibri" w:hAnsi="Century Schoolbook" w:cs="Times New Roman"/>
          <w:i/>
          <w:iCs/>
          <w:sz w:val="26"/>
          <w:szCs w:val="26"/>
        </w:rPr>
        <w:t>Hobbs</w:t>
      </w:r>
      <w:r w:rsidR="00825D98" w:rsidRPr="0057700D">
        <w:rPr>
          <w:rFonts w:ascii="Century Schoolbook" w:eastAsia="Calibri" w:hAnsi="Century Schoolbook" w:cs="Times New Roman"/>
          <w:i/>
          <w:iCs/>
          <w:sz w:val="26"/>
          <w:szCs w:val="26"/>
        </w:rPr>
        <w:fldChar w:fldCharType="begin"/>
      </w:r>
      <w:r w:rsidR="00825D98" w:rsidRPr="0057700D">
        <w:instrText xml:space="preserve"> TA \s "State v. Hobbs, 374 N.C. 345, 350, 841 S.E.2d 492, 497 (2020)" </w:instrText>
      </w:r>
      <w:r w:rsidR="00825D98" w:rsidRPr="0057700D">
        <w:rPr>
          <w:rFonts w:ascii="Century Schoolbook" w:eastAsia="Calibri" w:hAnsi="Century Schoolbook" w:cs="Times New Roman"/>
          <w:i/>
          <w:iCs/>
          <w:sz w:val="26"/>
          <w:szCs w:val="26"/>
        </w:rPr>
        <w:fldChar w:fldCharType="end"/>
      </w:r>
      <w:r w:rsidRPr="0057700D">
        <w:rPr>
          <w:rFonts w:ascii="Century Schoolbook" w:eastAsia="Calibri" w:hAnsi="Century Schoolbook" w:cs="Times New Roman"/>
          <w:i/>
          <w:iCs/>
          <w:sz w:val="26"/>
          <w:szCs w:val="26"/>
        </w:rPr>
        <w:t>; Bennett</w:t>
      </w:r>
      <w:r w:rsidR="00825D98" w:rsidRPr="0057700D">
        <w:rPr>
          <w:rFonts w:ascii="Century Schoolbook" w:eastAsia="Calibri" w:hAnsi="Century Schoolbook" w:cs="Times New Roman"/>
          <w:i/>
          <w:iCs/>
          <w:sz w:val="26"/>
          <w:szCs w:val="26"/>
        </w:rPr>
        <w:fldChar w:fldCharType="begin"/>
      </w:r>
      <w:r w:rsidR="00825D98" w:rsidRPr="0057700D">
        <w:instrText xml:space="preserve"> TA \s "State v. Bennett, 374 N.C. 579, 598, 843 S.E.2d 222, 235 (2020)" </w:instrText>
      </w:r>
      <w:r w:rsidR="00825D98" w:rsidRPr="0057700D">
        <w:rPr>
          <w:rFonts w:ascii="Century Schoolbook" w:eastAsia="Calibri" w:hAnsi="Century Schoolbook" w:cs="Times New Roman"/>
          <w:i/>
          <w:iCs/>
          <w:sz w:val="26"/>
          <w:szCs w:val="26"/>
        </w:rPr>
        <w:fldChar w:fldCharType="end"/>
      </w:r>
      <w:r w:rsidRPr="0057700D">
        <w:rPr>
          <w:rFonts w:ascii="Century Schoolbook" w:eastAsia="Calibri" w:hAnsi="Century Schoolbook" w:cs="Times New Roman"/>
          <w:i/>
          <w:iCs/>
          <w:sz w:val="26"/>
          <w:szCs w:val="26"/>
        </w:rPr>
        <w:t xml:space="preserve">.  </w:t>
      </w:r>
    </w:p>
    <w:p w14:paraId="0C090A85" w14:textId="39A810B3" w:rsidR="003F7AA2" w:rsidRPr="0057700D" w:rsidRDefault="003F7AA2" w:rsidP="003F7AA2">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lastRenderedPageBreak/>
        <w:t xml:space="preserve">The data showed </w:t>
      </w:r>
      <w:r w:rsidR="007770C6" w:rsidRPr="0057700D">
        <w:rPr>
          <w:rFonts w:ascii="Century Schoolbook" w:eastAsia="Calibri" w:hAnsi="Century Schoolbook" w:cs="Times New Roman"/>
          <w:sz w:val="26"/>
          <w:szCs w:val="26"/>
        </w:rPr>
        <w:t xml:space="preserve">Officer </w:t>
      </w:r>
      <w:r w:rsidRPr="0057700D">
        <w:rPr>
          <w:rFonts w:ascii="Century Schoolbook" w:eastAsia="Calibri" w:hAnsi="Century Schoolbook" w:cs="Times New Roman"/>
          <w:sz w:val="26"/>
          <w:szCs w:val="26"/>
        </w:rPr>
        <w:t xml:space="preserve">Kuchen stopped Black drivers </w:t>
      </w:r>
      <w:r w:rsidR="00B73C8F" w:rsidRPr="0057700D">
        <w:rPr>
          <w:rFonts w:ascii="Century Schoolbook" w:eastAsia="Calibri" w:hAnsi="Century Schoolbook" w:cs="Times New Roman"/>
          <w:sz w:val="26"/>
          <w:szCs w:val="26"/>
        </w:rPr>
        <w:t xml:space="preserve">at a </w:t>
      </w:r>
      <w:r w:rsidRPr="0057700D">
        <w:rPr>
          <w:rFonts w:ascii="Century Schoolbook" w:eastAsia="Calibri" w:hAnsi="Century Schoolbook" w:cs="Times New Roman"/>
          <w:sz w:val="26"/>
          <w:szCs w:val="26"/>
        </w:rPr>
        <w:t>disproport</w:t>
      </w:r>
      <w:r w:rsidR="00B73C8F" w:rsidRPr="0057700D">
        <w:rPr>
          <w:rFonts w:ascii="Century Schoolbook" w:eastAsia="Calibri" w:hAnsi="Century Schoolbook" w:cs="Times New Roman"/>
          <w:sz w:val="26"/>
          <w:szCs w:val="26"/>
        </w:rPr>
        <w:t xml:space="preserve">ionate rate.  </w:t>
      </w:r>
      <w:r w:rsidRPr="0057700D">
        <w:rPr>
          <w:rFonts w:ascii="Century Schoolbook" w:eastAsia="Calibri" w:hAnsi="Century Schoolbook" w:cs="Times New Roman"/>
          <w:sz w:val="26"/>
          <w:szCs w:val="26"/>
        </w:rPr>
        <w:t>Out of 299 stops by Kuchen, 82% were of Black drivers</w:t>
      </w:r>
      <w:r w:rsidR="009B7E32" w:rsidRPr="0057700D">
        <w:rPr>
          <w:rFonts w:ascii="Century Schoolbook" w:eastAsia="Calibri" w:hAnsi="Century Schoolbook" w:cs="Times New Roman"/>
          <w:sz w:val="26"/>
          <w:szCs w:val="26"/>
        </w:rPr>
        <w:t xml:space="preserve">, relative to the </w:t>
      </w:r>
      <w:r w:rsidR="00B73C8F" w:rsidRPr="0057700D">
        <w:rPr>
          <w:rFonts w:ascii="Century Schoolbook" w:eastAsia="Calibri" w:hAnsi="Century Schoolbook" w:cs="Times New Roman"/>
          <w:sz w:val="26"/>
          <w:szCs w:val="26"/>
        </w:rPr>
        <w:t xml:space="preserve">Black </w:t>
      </w:r>
      <w:r w:rsidR="009B7E32" w:rsidRPr="0057700D">
        <w:rPr>
          <w:rFonts w:ascii="Century Schoolbook" w:eastAsia="Calibri" w:hAnsi="Century Schoolbook" w:cs="Times New Roman"/>
          <w:sz w:val="26"/>
          <w:szCs w:val="26"/>
        </w:rPr>
        <w:t xml:space="preserve">population of Raleigh which was then 28%.  The data showed that </w:t>
      </w:r>
      <w:r w:rsidR="00490D74" w:rsidRPr="0057700D">
        <w:rPr>
          <w:rFonts w:ascii="Century Schoolbook" w:eastAsia="Calibri" w:hAnsi="Century Schoolbook" w:cs="Times New Roman"/>
          <w:sz w:val="26"/>
          <w:szCs w:val="26"/>
        </w:rPr>
        <w:t xml:space="preserve">Raleigh officers as a whole, during the years 2002-2018, </w:t>
      </w:r>
      <w:r w:rsidRPr="0057700D">
        <w:rPr>
          <w:rFonts w:ascii="Century Schoolbook" w:eastAsia="Calibri" w:hAnsi="Century Schoolbook" w:cs="Times New Roman"/>
          <w:sz w:val="26"/>
          <w:szCs w:val="26"/>
        </w:rPr>
        <w:t xml:space="preserve">stopped Black drivers at a rate of 46%.  </w:t>
      </w:r>
      <w:r w:rsidR="00490D74" w:rsidRPr="0057700D">
        <w:rPr>
          <w:rFonts w:ascii="Century Schoolbook" w:eastAsia="Calibri" w:hAnsi="Century Schoolbook" w:cs="Times New Roman"/>
          <w:sz w:val="26"/>
          <w:szCs w:val="26"/>
        </w:rPr>
        <w:t xml:space="preserve">This statistic is itself starkly disparate.  </w:t>
      </w:r>
      <w:r w:rsidR="003403E8" w:rsidRPr="0057700D">
        <w:rPr>
          <w:rFonts w:ascii="Century Schoolbook" w:eastAsia="Calibri" w:hAnsi="Century Schoolbook" w:cs="Times New Roman"/>
          <w:sz w:val="26"/>
          <w:szCs w:val="26"/>
        </w:rPr>
        <w:t>But</w:t>
      </w:r>
      <w:r w:rsidR="00C54FD9" w:rsidRPr="0057700D">
        <w:rPr>
          <w:rFonts w:ascii="Century Schoolbook" w:eastAsia="Calibri" w:hAnsi="Century Schoolbook" w:cs="Times New Roman"/>
          <w:sz w:val="26"/>
          <w:szCs w:val="26"/>
        </w:rPr>
        <w:t xml:space="preserve"> Kuchen’s rate of stopping Black drivers was </w:t>
      </w:r>
      <w:r w:rsidR="008370BE" w:rsidRPr="0057700D">
        <w:rPr>
          <w:rFonts w:ascii="Century Schoolbook" w:eastAsia="Calibri" w:hAnsi="Century Schoolbook" w:cs="Times New Roman"/>
          <w:sz w:val="26"/>
          <w:szCs w:val="26"/>
        </w:rPr>
        <w:t xml:space="preserve">nearly double that of Raleigh police as a whole, and </w:t>
      </w:r>
      <w:r w:rsidR="008B3307" w:rsidRPr="0057700D">
        <w:rPr>
          <w:rFonts w:ascii="Century Schoolbook" w:eastAsia="Calibri" w:hAnsi="Century Schoolbook" w:cs="Times New Roman"/>
          <w:sz w:val="26"/>
          <w:szCs w:val="26"/>
        </w:rPr>
        <w:t>more than</w:t>
      </w:r>
      <w:r w:rsidR="008370BE" w:rsidRPr="0057700D">
        <w:rPr>
          <w:rFonts w:ascii="Century Schoolbook" w:eastAsia="Calibri" w:hAnsi="Century Schoolbook" w:cs="Times New Roman"/>
          <w:sz w:val="26"/>
          <w:szCs w:val="26"/>
        </w:rPr>
        <w:t xml:space="preserve"> triple that of the </w:t>
      </w:r>
      <w:r w:rsidR="00B363B2" w:rsidRPr="0057700D">
        <w:rPr>
          <w:rFonts w:ascii="Century Schoolbook" w:eastAsia="Calibri" w:hAnsi="Century Schoolbook" w:cs="Times New Roman"/>
          <w:sz w:val="26"/>
          <w:szCs w:val="26"/>
        </w:rPr>
        <w:t xml:space="preserve">Black </w:t>
      </w:r>
      <w:r w:rsidR="008370BE" w:rsidRPr="0057700D">
        <w:rPr>
          <w:rFonts w:ascii="Century Schoolbook" w:eastAsia="Calibri" w:hAnsi="Century Schoolbook" w:cs="Times New Roman"/>
          <w:sz w:val="26"/>
          <w:szCs w:val="26"/>
        </w:rPr>
        <w:t xml:space="preserve">population.  </w:t>
      </w:r>
      <w:r w:rsidRPr="0057700D">
        <w:rPr>
          <w:rFonts w:ascii="Century Schoolbook" w:eastAsia="Calibri" w:hAnsi="Century Schoolbook" w:cs="Times New Roman"/>
          <w:sz w:val="26"/>
          <w:szCs w:val="26"/>
        </w:rPr>
        <w:t xml:space="preserve">The data </w:t>
      </w:r>
      <w:r w:rsidR="003403E8" w:rsidRPr="0057700D">
        <w:rPr>
          <w:rFonts w:ascii="Century Schoolbook" w:eastAsia="Calibri" w:hAnsi="Century Schoolbook" w:cs="Times New Roman"/>
          <w:sz w:val="26"/>
          <w:szCs w:val="26"/>
        </w:rPr>
        <w:t xml:space="preserve">further </w:t>
      </w:r>
      <w:r w:rsidRPr="0057700D">
        <w:rPr>
          <w:rFonts w:ascii="Century Schoolbook" w:eastAsia="Calibri" w:hAnsi="Century Schoolbook" w:cs="Times New Roman"/>
          <w:sz w:val="26"/>
          <w:szCs w:val="26"/>
        </w:rPr>
        <w:t>showed that, out of 205 arrests by Kuchen, 81.4% were of Black citizens</w:t>
      </w:r>
      <w:r w:rsidR="00914030" w:rsidRPr="0057700D">
        <w:rPr>
          <w:rFonts w:ascii="Century Schoolbook" w:eastAsia="Calibri" w:hAnsi="Century Schoolbook" w:cs="Times New Roman"/>
          <w:sz w:val="26"/>
          <w:szCs w:val="26"/>
        </w:rPr>
        <w:t>, again disproportionate to the population.  The 81% and 82%</w:t>
      </w:r>
      <w:r w:rsidR="002D2B9C" w:rsidRPr="0057700D">
        <w:rPr>
          <w:rFonts w:ascii="Century Schoolbook" w:eastAsia="Calibri" w:hAnsi="Century Schoolbook" w:cs="Times New Roman"/>
          <w:sz w:val="26"/>
          <w:szCs w:val="26"/>
        </w:rPr>
        <w:t xml:space="preserve"> </w:t>
      </w:r>
      <w:r w:rsidR="0002726B" w:rsidRPr="0057700D">
        <w:rPr>
          <w:rFonts w:ascii="Century Schoolbook" w:eastAsia="Calibri" w:hAnsi="Century Schoolbook" w:cs="Times New Roman"/>
          <w:sz w:val="26"/>
          <w:szCs w:val="26"/>
        </w:rPr>
        <w:t xml:space="preserve">figures </w:t>
      </w:r>
      <w:r w:rsidR="002D2B9C" w:rsidRPr="0057700D">
        <w:rPr>
          <w:rFonts w:ascii="Century Schoolbook" w:eastAsia="Calibri" w:hAnsi="Century Schoolbook" w:cs="Times New Roman"/>
          <w:sz w:val="26"/>
          <w:szCs w:val="26"/>
        </w:rPr>
        <w:t xml:space="preserve">are consistent, lending </w:t>
      </w:r>
      <w:r w:rsidR="000B36D9" w:rsidRPr="0057700D">
        <w:rPr>
          <w:rFonts w:ascii="Century Schoolbook" w:eastAsia="Calibri" w:hAnsi="Century Schoolbook" w:cs="Times New Roman"/>
          <w:sz w:val="26"/>
          <w:szCs w:val="26"/>
        </w:rPr>
        <w:t xml:space="preserve">credibility to </w:t>
      </w:r>
      <w:r w:rsidR="002D2B9C" w:rsidRPr="0057700D">
        <w:rPr>
          <w:rFonts w:ascii="Century Schoolbook" w:eastAsia="Calibri" w:hAnsi="Century Schoolbook" w:cs="Times New Roman"/>
          <w:sz w:val="26"/>
          <w:szCs w:val="26"/>
        </w:rPr>
        <w:t xml:space="preserve">the inference that both are reflective of Kuchen’s practices.  </w:t>
      </w:r>
      <w:r w:rsidR="00024DA4" w:rsidRPr="0057700D">
        <w:rPr>
          <w:rFonts w:ascii="Century Schoolbook" w:eastAsia="Calibri" w:hAnsi="Century Schoolbook" w:cs="Times New Roman"/>
          <w:sz w:val="26"/>
          <w:szCs w:val="26"/>
        </w:rPr>
        <w:t xml:space="preserve">Under </w:t>
      </w:r>
      <w:r w:rsidR="00024DA4" w:rsidRPr="0057700D">
        <w:rPr>
          <w:rFonts w:ascii="Century Schoolbook" w:eastAsia="Calibri" w:hAnsi="Century Schoolbook" w:cs="Times New Roman"/>
          <w:i/>
          <w:iCs/>
          <w:sz w:val="26"/>
          <w:szCs w:val="26"/>
        </w:rPr>
        <w:t xml:space="preserve">Batson </w:t>
      </w:r>
      <w:r w:rsidR="00024DA4" w:rsidRPr="0057700D">
        <w:rPr>
          <w:rFonts w:ascii="Century Schoolbook" w:eastAsia="Calibri" w:hAnsi="Century Schoolbook" w:cs="Times New Roman"/>
          <w:sz w:val="26"/>
          <w:szCs w:val="26"/>
        </w:rPr>
        <w:t xml:space="preserve">and </w:t>
      </w:r>
      <w:proofErr w:type="spellStart"/>
      <w:r w:rsidR="00024DA4" w:rsidRPr="0057700D">
        <w:rPr>
          <w:rFonts w:ascii="Century Schoolbook" w:eastAsia="Calibri" w:hAnsi="Century Schoolbook" w:cs="Times New Roman"/>
          <w:i/>
          <w:iCs/>
          <w:sz w:val="26"/>
          <w:szCs w:val="26"/>
        </w:rPr>
        <w:t>McKleskey</w:t>
      </w:r>
      <w:proofErr w:type="spellEnd"/>
      <w:r w:rsidR="00024DA4" w:rsidRPr="0057700D">
        <w:rPr>
          <w:rFonts w:ascii="Century Schoolbook" w:eastAsia="Calibri" w:hAnsi="Century Schoolbook" w:cs="Times New Roman"/>
          <w:sz w:val="26"/>
          <w:szCs w:val="26"/>
        </w:rPr>
        <w:t>, t</w:t>
      </w:r>
      <w:r w:rsidRPr="0057700D">
        <w:rPr>
          <w:rFonts w:ascii="Century Schoolbook" w:eastAsia="Calibri" w:hAnsi="Century Schoolbook" w:cs="Times New Roman"/>
          <w:sz w:val="26"/>
          <w:szCs w:val="26"/>
        </w:rPr>
        <w:t>hese statistics</w:t>
      </w:r>
      <w:r w:rsidR="00024DA4"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sz w:val="26"/>
          <w:szCs w:val="26"/>
        </w:rPr>
        <w:t xml:space="preserve">are enough to raise an inference of disparate enforcement, meeting the prima facie burden.  </w:t>
      </w:r>
    </w:p>
    <w:p w14:paraId="5BE72313" w14:textId="7C7EDB51" w:rsidR="00CA5288" w:rsidRPr="0057700D" w:rsidRDefault="00872E2A" w:rsidP="0023112B">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This Court has not yet determined what is required to make out a prima facie case of race discrimination in the specific context of traffic stops.</w:t>
      </w:r>
      <w:r w:rsidR="00645408" w:rsidRPr="0057700D">
        <w:rPr>
          <w:rStyle w:val="FootnoteReference"/>
          <w:rFonts w:ascii="Century Schoolbook" w:eastAsia="Calibri" w:hAnsi="Century Schoolbook" w:cs="Times New Roman"/>
          <w:sz w:val="26"/>
          <w:szCs w:val="26"/>
        </w:rPr>
        <w:footnoteReference w:id="9"/>
      </w:r>
      <w:r w:rsidR="00645408"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sz w:val="26"/>
          <w:szCs w:val="26"/>
        </w:rPr>
        <w:t xml:space="preserve">This Court has done so in the context of </w:t>
      </w:r>
      <w:r w:rsidRPr="0057700D">
        <w:rPr>
          <w:rFonts w:ascii="Century Schoolbook" w:eastAsia="Calibri" w:hAnsi="Century Schoolbook" w:cs="Times New Roman"/>
          <w:i/>
          <w:iCs/>
          <w:sz w:val="26"/>
          <w:szCs w:val="26"/>
        </w:rPr>
        <w:t>Batson</w:t>
      </w:r>
      <w:r w:rsidRPr="0057700D">
        <w:rPr>
          <w:rFonts w:ascii="Century Schoolbook" w:eastAsia="Calibri" w:hAnsi="Century Schoolbook" w:cs="Times New Roman"/>
          <w:sz w:val="26"/>
          <w:szCs w:val="26"/>
        </w:rPr>
        <w:t xml:space="preserve"> violations, however, and th</w:t>
      </w:r>
      <w:r w:rsidR="00D85CD8" w:rsidRPr="0057700D">
        <w:rPr>
          <w:rFonts w:ascii="Century Schoolbook" w:eastAsia="Calibri" w:hAnsi="Century Schoolbook" w:cs="Times New Roman"/>
          <w:sz w:val="26"/>
          <w:szCs w:val="26"/>
        </w:rPr>
        <w:t xml:space="preserve">e </w:t>
      </w:r>
      <w:r w:rsidR="00DD6DA8" w:rsidRPr="0057700D">
        <w:rPr>
          <w:rFonts w:ascii="Century Schoolbook" w:eastAsia="Calibri" w:hAnsi="Century Schoolbook" w:cs="Times New Roman"/>
          <w:sz w:val="26"/>
          <w:szCs w:val="26"/>
        </w:rPr>
        <w:t xml:space="preserve">prima facie requirement </w:t>
      </w:r>
      <w:r w:rsidR="000F6C02" w:rsidRPr="0057700D">
        <w:rPr>
          <w:rFonts w:ascii="Century Schoolbook" w:eastAsia="Calibri" w:hAnsi="Century Schoolbook" w:cs="Times New Roman"/>
          <w:sz w:val="26"/>
          <w:szCs w:val="26"/>
        </w:rPr>
        <w:t>standards in that context sh</w:t>
      </w:r>
      <w:r w:rsidRPr="0057700D">
        <w:rPr>
          <w:rFonts w:ascii="Century Schoolbook" w:eastAsia="Calibri" w:hAnsi="Century Schoolbook" w:cs="Times New Roman"/>
          <w:sz w:val="26"/>
          <w:szCs w:val="26"/>
        </w:rPr>
        <w:t>ould apply equally here.</w:t>
      </w:r>
      <w:r w:rsidR="00E02BF4" w:rsidRPr="0057700D">
        <w:rPr>
          <w:rFonts w:ascii="Century Schoolbook" w:eastAsia="Calibri" w:hAnsi="Century Schoolbook" w:cs="Times New Roman"/>
          <w:sz w:val="26"/>
          <w:szCs w:val="26"/>
        </w:rPr>
        <w:t xml:space="preserve"> </w:t>
      </w:r>
      <w:r w:rsidR="00024DA4" w:rsidRPr="0057700D">
        <w:rPr>
          <w:rFonts w:ascii="Century Schoolbook" w:eastAsia="Calibri" w:hAnsi="Century Schoolbook" w:cs="Times New Roman"/>
          <w:sz w:val="26"/>
          <w:szCs w:val="26"/>
        </w:rPr>
        <w:t xml:space="preserve"> </w:t>
      </w:r>
      <w:r w:rsidR="004F3FB0" w:rsidRPr="0057700D">
        <w:rPr>
          <w:rFonts w:ascii="Century Schoolbook" w:eastAsia="Calibri" w:hAnsi="Century Schoolbook" w:cs="Times New Roman"/>
          <w:sz w:val="26"/>
          <w:szCs w:val="26"/>
        </w:rPr>
        <w:t xml:space="preserve">In </w:t>
      </w:r>
      <w:r w:rsidR="00521F50" w:rsidRPr="0057700D">
        <w:rPr>
          <w:rFonts w:ascii="Century Schoolbook" w:eastAsia="Calibri" w:hAnsi="Century Schoolbook" w:cs="Times New Roman"/>
          <w:i/>
          <w:iCs/>
          <w:sz w:val="26"/>
          <w:szCs w:val="26"/>
        </w:rPr>
        <w:t>Batson</w:t>
      </w:r>
      <w:r w:rsidR="00521F50" w:rsidRPr="0057700D">
        <w:rPr>
          <w:rFonts w:ascii="Century Schoolbook" w:eastAsia="Calibri" w:hAnsi="Century Schoolbook" w:cs="Times New Roman"/>
          <w:sz w:val="26"/>
          <w:szCs w:val="26"/>
        </w:rPr>
        <w:t xml:space="preserve"> </w:t>
      </w:r>
      <w:r w:rsidR="004F3FB0" w:rsidRPr="0057700D">
        <w:rPr>
          <w:rFonts w:ascii="Century Schoolbook" w:eastAsia="Calibri" w:hAnsi="Century Schoolbook" w:cs="Times New Roman"/>
          <w:sz w:val="26"/>
          <w:szCs w:val="26"/>
        </w:rPr>
        <w:t>cases</w:t>
      </w:r>
      <w:r w:rsidR="00521F50" w:rsidRPr="0057700D">
        <w:rPr>
          <w:rFonts w:ascii="Century Schoolbook" w:eastAsia="Calibri" w:hAnsi="Century Schoolbook" w:cs="Times New Roman"/>
          <w:sz w:val="26"/>
          <w:szCs w:val="26"/>
        </w:rPr>
        <w:t>, t</w:t>
      </w:r>
      <w:r w:rsidR="001E0BC9" w:rsidRPr="0057700D">
        <w:rPr>
          <w:rFonts w:ascii="Century Schoolbook" w:eastAsia="Calibri" w:hAnsi="Century Schoolbook" w:cs="Times New Roman"/>
          <w:sz w:val="26"/>
          <w:szCs w:val="26"/>
        </w:rPr>
        <w:t>he</w:t>
      </w:r>
      <w:r w:rsidR="0023112B" w:rsidRPr="0057700D">
        <w:rPr>
          <w:rFonts w:ascii="Century Schoolbook" w:eastAsia="Calibri" w:hAnsi="Century Schoolbook" w:cs="Times New Roman"/>
          <w:sz w:val="26"/>
          <w:szCs w:val="26"/>
        </w:rPr>
        <w:t xml:space="preserve"> statistics </w:t>
      </w:r>
      <w:r w:rsidR="008B4D20" w:rsidRPr="0057700D">
        <w:rPr>
          <w:rFonts w:ascii="Century Schoolbook" w:eastAsia="Calibri" w:hAnsi="Century Schoolbook" w:cs="Times New Roman"/>
          <w:sz w:val="26"/>
          <w:szCs w:val="26"/>
        </w:rPr>
        <w:t xml:space="preserve">establishing </w:t>
      </w:r>
      <w:r w:rsidR="00CD7E88" w:rsidRPr="0057700D">
        <w:rPr>
          <w:rFonts w:ascii="Century Schoolbook" w:eastAsia="Calibri" w:hAnsi="Century Schoolbook" w:cs="Times New Roman"/>
          <w:sz w:val="26"/>
          <w:szCs w:val="26"/>
        </w:rPr>
        <w:t xml:space="preserve">a prima facie case </w:t>
      </w:r>
      <w:r w:rsidR="0023112B" w:rsidRPr="0057700D">
        <w:rPr>
          <w:rFonts w:ascii="Century Schoolbook" w:eastAsia="Calibri" w:hAnsi="Century Schoolbook" w:cs="Times New Roman"/>
          <w:sz w:val="26"/>
          <w:szCs w:val="26"/>
        </w:rPr>
        <w:t xml:space="preserve">typically </w:t>
      </w:r>
      <w:r w:rsidR="0023112B" w:rsidRPr="0057700D">
        <w:rPr>
          <w:rFonts w:ascii="Century Schoolbook" w:eastAsia="Calibri" w:hAnsi="Century Schoolbook" w:cs="Times New Roman"/>
          <w:sz w:val="26"/>
          <w:szCs w:val="26"/>
        </w:rPr>
        <w:lastRenderedPageBreak/>
        <w:t xml:space="preserve">involve </w:t>
      </w:r>
      <w:r w:rsidR="005B2984" w:rsidRPr="0057700D">
        <w:rPr>
          <w:rFonts w:ascii="Century Schoolbook" w:eastAsia="Calibri" w:hAnsi="Century Schoolbook" w:cs="Times New Roman"/>
          <w:sz w:val="26"/>
          <w:szCs w:val="26"/>
        </w:rPr>
        <w:t xml:space="preserve">very </w:t>
      </w:r>
      <w:r w:rsidR="0023112B" w:rsidRPr="0057700D">
        <w:rPr>
          <w:rFonts w:ascii="Century Schoolbook" w:eastAsia="Calibri" w:hAnsi="Century Schoolbook" w:cs="Times New Roman"/>
          <w:sz w:val="26"/>
          <w:szCs w:val="26"/>
        </w:rPr>
        <w:t>smal</w:t>
      </w:r>
      <w:r w:rsidR="005B2984" w:rsidRPr="0057700D">
        <w:rPr>
          <w:rFonts w:ascii="Century Schoolbook" w:eastAsia="Calibri" w:hAnsi="Century Schoolbook" w:cs="Times New Roman"/>
          <w:sz w:val="26"/>
          <w:szCs w:val="26"/>
        </w:rPr>
        <w:t>l</w:t>
      </w:r>
      <w:r w:rsidR="0023112B" w:rsidRPr="0057700D">
        <w:rPr>
          <w:rFonts w:ascii="Century Schoolbook" w:eastAsia="Calibri" w:hAnsi="Century Schoolbook" w:cs="Times New Roman"/>
          <w:sz w:val="26"/>
          <w:szCs w:val="26"/>
        </w:rPr>
        <w:t xml:space="preserve"> samples, often a handful of peremptory challenges by a prosecutor out of a few dozen qualified jurors.  </w:t>
      </w:r>
      <w:r w:rsidR="0023112B" w:rsidRPr="0057700D">
        <w:rPr>
          <w:rFonts w:ascii="Century Schoolbook" w:eastAsia="Calibri" w:hAnsi="Century Schoolbook" w:cs="Times New Roman"/>
          <w:i/>
          <w:iCs/>
          <w:sz w:val="26"/>
          <w:szCs w:val="26"/>
        </w:rPr>
        <w:t xml:space="preserve">See, e.g., Barden, </w:t>
      </w:r>
      <w:r w:rsidR="0023112B" w:rsidRPr="0057700D">
        <w:rPr>
          <w:rFonts w:ascii="Century Schoolbook" w:eastAsia="Calibri" w:hAnsi="Century Schoolbook" w:cs="Times New Roman"/>
          <w:sz w:val="26"/>
          <w:szCs w:val="26"/>
        </w:rPr>
        <w:t>356 N.C. at 343</w:t>
      </w:r>
      <w:r w:rsidR="00825D98" w:rsidRPr="0057700D">
        <w:rPr>
          <w:rFonts w:ascii="Century Schoolbook" w:eastAsia="Calibri" w:hAnsi="Century Schoolbook" w:cs="Times New Roman"/>
          <w:sz w:val="26"/>
          <w:szCs w:val="26"/>
        </w:rPr>
        <w:fldChar w:fldCharType="begin"/>
      </w:r>
      <w:r w:rsidR="00825D98" w:rsidRPr="0057700D">
        <w:instrText xml:space="preserve"> TA \s "State v. Barden, 356 N.C. 316, 344-45, 572 S.E.2d 108, 127-28 (2002)" </w:instrText>
      </w:r>
      <w:r w:rsidR="00825D98" w:rsidRPr="0057700D">
        <w:rPr>
          <w:rFonts w:ascii="Century Schoolbook" w:eastAsia="Calibri" w:hAnsi="Century Schoolbook" w:cs="Times New Roman"/>
          <w:sz w:val="26"/>
          <w:szCs w:val="26"/>
        </w:rPr>
        <w:fldChar w:fldCharType="end"/>
      </w:r>
      <w:r w:rsidR="0023112B" w:rsidRPr="0057700D">
        <w:rPr>
          <w:rFonts w:ascii="Century Schoolbook" w:eastAsia="Calibri" w:hAnsi="Century Schoolbook" w:cs="Times New Roman"/>
          <w:sz w:val="26"/>
          <w:szCs w:val="26"/>
        </w:rPr>
        <w:t xml:space="preserve"> (5 of 7 peremptory strikes used against Black jurors);</w:t>
      </w:r>
      <w:r w:rsidR="0023112B" w:rsidRPr="0057700D">
        <w:rPr>
          <w:rFonts w:ascii="Century Schoolbook" w:eastAsia="Calibri" w:hAnsi="Century Schoolbook" w:cs="Times New Roman"/>
          <w:i/>
          <w:iCs/>
          <w:sz w:val="26"/>
          <w:szCs w:val="26"/>
        </w:rPr>
        <w:t xml:space="preserve"> Hobbs, </w:t>
      </w:r>
      <w:r w:rsidR="0023112B" w:rsidRPr="0057700D">
        <w:rPr>
          <w:rFonts w:ascii="Century Schoolbook" w:eastAsia="Calibri" w:hAnsi="Century Schoolbook" w:cs="Times New Roman"/>
          <w:sz w:val="26"/>
          <w:szCs w:val="26"/>
        </w:rPr>
        <w:t>374 N.C. at 347</w:t>
      </w:r>
      <w:r w:rsidR="0023112B" w:rsidRPr="0057700D">
        <w:rPr>
          <w:rFonts w:ascii="Century Schoolbook" w:eastAsia="Calibri" w:hAnsi="Century Schoolbook" w:cs="Times New Roman"/>
          <w:sz w:val="26"/>
          <w:szCs w:val="26"/>
        </w:rPr>
        <w:fldChar w:fldCharType="begin"/>
      </w:r>
      <w:r w:rsidR="0023112B" w:rsidRPr="0057700D">
        <w:rPr>
          <w:rFonts w:ascii="Calibri" w:eastAsia="Calibri" w:hAnsi="Calibri" w:cs="Times New Roman"/>
        </w:rPr>
        <w:instrText xml:space="preserve"> TA \s "State v. Hobbs, 374 N.C. 345, 350, 841 S.E.2d 492, 497 (2020)" </w:instrText>
      </w:r>
      <w:r w:rsidR="0023112B" w:rsidRPr="0057700D">
        <w:rPr>
          <w:rFonts w:ascii="Century Schoolbook" w:eastAsia="Calibri" w:hAnsi="Century Schoolbook" w:cs="Times New Roman"/>
          <w:sz w:val="26"/>
          <w:szCs w:val="26"/>
        </w:rPr>
        <w:fldChar w:fldCharType="end"/>
      </w:r>
      <w:r w:rsidR="0023112B" w:rsidRPr="0057700D">
        <w:rPr>
          <w:rFonts w:ascii="Century Schoolbook" w:eastAsia="Calibri" w:hAnsi="Century Schoolbook" w:cs="Times New Roman"/>
          <w:sz w:val="26"/>
          <w:szCs w:val="26"/>
        </w:rPr>
        <w:t xml:space="preserve"> (8 of 11 peremptory strikes used against Black jurors).</w:t>
      </w:r>
      <w:r w:rsidR="00A136BF" w:rsidRPr="0057700D">
        <w:rPr>
          <w:rFonts w:ascii="Century Schoolbook" w:eastAsia="Calibri" w:hAnsi="Century Schoolbook" w:cs="Times New Roman"/>
          <w:sz w:val="26"/>
          <w:szCs w:val="26"/>
        </w:rPr>
        <w:t xml:space="preserve">  Earlier cases held that a defendant had to </w:t>
      </w:r>
      <w:r w:rsidR="00F01E40" w:rsidRPr="0057700D">
        <w:rPr>
          <w:rFonts w:ascii="Century Schoolbook" w:eastAsia="Calibri" w:hAnsi="Century Schoolbook" w:cs="Times New Roman"/>
          <w:sz w:val="26"/>
          <w:szCs w:val="26"/>
        </w:rPr>
        <w:t>show</w:t>
      </w:r>
      <w:r w:rsidR="00A136BF" w:rsidRPr="0057700D">
        <w:rPr>
          <w:rFonts w:ascii="Century Schoolbook" w:eastAsia="Calibri" w:hAnsi="Century Schoolbook" w:cs="Times New Roman"/>
          <w:sz w:val="26"/>
          <w:szCs w:val="26"/>
        </w:rPr>
        <w:t xml:space="preserve"> strike rates by prosecutors over multiple cases, rather than from a single trial.  </w:t>
      </w:r>
      <w:r w:rsidR="00A136BF" w:rsidRPr="0057700D">
        <w:rPr>
          <w:rFonts w:ascii="Century Schoolbook" w:eastAsia="Calibri" w:hAnsi="Century Schoolbook" w:cs="Times New Roman"/>
          <w:i/>
          <w:iCs/>
          <w:sz w:val="26"/>
          <w:szCs w:val="26"/>
        </w:rPr>
        <w:t>See Swain v. Alabama</w:t>
      </w:r>
      <w:r w:rsidR="00A136BF" w:rsidRPr="0057700D">
        <w:rPr>
          <w:rFonts w:ascii="Century Schoolbook" w:eastAsia="Calibri" w:hAnsi="Century Schoolbook" w:cs="Times New Roman"/>
          <w:sz w:val="26"/>
          <w:szCs w:val="26"/>
        </w:rPr>
        <w:t>, 380 U.S. 202 (1965)</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Swain v. Alabama</w:instrText>
      </w:r>
      <w:r w:rsidR="00825D98" w:rsidRPr="0057700D">
        <w:rPr>
          <w:rFonts w:ascii="Century Schoolbook" w:eastAsia="Calibri" w:hAnsi="Century Schoolbook" w:cs="Times New Roman"/>
          <w:sz w:val="26"/>
          <w:szCs w:val="26"/>
        </w:rPr>
        <w:instrText>, 380 U.S. 202 (1965)</w:instrText>
      </w:r>
      <w:r w:rsidR="00825D98" w:rsidRPr="0057700D">
        <w:instrText xml:space="preserve">" \s "Swain v. Alabama, 380 U.S. 202 (1965)" \c 1 </w:instrText>
      </w:r>
      <w:r w:rsidR="00825D98" w:rsidRPr="0057700D">
        <w:rPr>
          <w:rFonts w:ascii="Century Schoolbook" w:eastAsia="Calibri" w:hAnsi="Century Schoolbook" w:cs="Times New Roman"/>
          <w:sz w:val="26"/>
          <w:szCs w:val="26"/>
        </w:rPr>
        <w:fldChar w:fldCharType="end"/>
      </w:r>
      <w:r w:rsidR="00A136BF" w:rsidRPr="0057700D">
        <w:rPr>
          <w:rFonts w:ascii="Century Schoolbook" w:eastAsia="Calibri" w:hAnsi="Century Schoolbook" w:cs="Times New Roman"/>
          <w:sz w:val="26"/>
          <w:szCs w:val="26"/>
        </w:rPr>
        <w:t xml:space="preserve">.  That “crippling burden of proof” was abandoned in </w:t>
      </w:r>
      <w:r w:rsidR="00A136BF" w:rsidRPr="0057700D">
        <w:rPr>
          <w:rFonts w:ascii="Century Schoolbook" w:eastAsia="Calibri" w:hAnsi="Century Schoolbook" w:cs="Times New Roman"/>
          <w:i/>
          <w:iCs/>
          <w:sz w:val="26"/>
          <w:szCs w:val="26"/>
        </w:rPr>
        <w:t>Batson</w:t>
      </w:r>
      <w:r w:rsidR="00A136BF" w:rsidRPr="0057700D">
        <w:rPr>
          <w:rFonts w:ascii="Century Schoolbook" w:eastAsia="Calibri" w:hAnsi="Century Schoolbook" w:cs="Times New Roman"/>
          <w:sz w:val="26"/>
          <w:szCs w:val="26"/>
        </w:rPr>
        <w:t>.  476 U.S. at 92</w:t>
      </w:r>
      <w:r w:rsidR="00825D98" w:rsidRPr="0057700D">
        <w:rPr>
          <w:rFonts w:ascii="Century Schoolbook" w:eastAsia="Calibri" w:hAnsi="Century Schoolbook" w:cs="Times New Roman"/>
          <w:sz w:val="26"/>
          <w:szCs w:val="26"/>
        </w:rPr>
        <w:fldChar w:fldCharType="begin"/>
      </w:r>
      <w:r w:rsidR="00825D98" w:rsidRPr="0057700D">
        <w:instrText xml:space="preserve"> TA \s "Batson v. Kentucky, 476 U.S. 79 (1986)" </w:instrText>
      </w:r>
      <w:r w:rsidR="00825D98" w:rsidRPr="0057700D">
        <w:rPr>
          <w:rFonts w:ascii="Century Schoolbook" w:eastAsia="Calibri" w:hAnsi="Century Schoolbook" w:cs="Times New Roman"/>
          <w:sz w:val="26"/>
          <w:szCs w:val="26"/>
        </w:rPr>
        <w:fldChar w:fldCharType="end"/>
      </w:r>
      <w:r w:rsidR="00A136BF" w:rsidRPr="0057700D">
        <w:rPr>
          <w:rFonts w:ascii="Century Schoolbook" w:eastAsia="Calibri" w:hAnsi="Century Schoolbook" w:cs="Times New Roman"/>
          <w:sz w:val="26"/>
          <w:szCs w:val="26"/>
        </w:rPr>
        <w:t xml:space="preserve">.  </w:t>
      </w:r>
    </w:p>
    <w:p w14:paraId="2C828686" w14:textId="6DE54BBF" w:rsidR="009013D8" w:rsidRPr="0057700D" w:rsidRDefault="00224D2E" w:rsidP="0023112B">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In comparison to the small sampl</w:t>
      </w:r>
      <w:r w:rsidR="008A6793" w:rsidRPr="0057700D">
        <w:rPr>
          <w:rFonts w:ascii="Century Schoolbook" w:eastAsia="Calibri" w:hAnsi="Century Schoolbook" w:cs="Times New Roman"/>
          <w:sz w:val="26"/>
          <w:szCs w:val="26"/>
        </w:rPr>
        <w:t>es</w:t>
      </w:r>
      <w:r w:rsidRPr="0057700D">
        <w:rPr>
          <w:rFonts w:ascii="Century Schoolbook" w:eastAsia="Calibri" w:hAnsi="Century Schoolbook" w:cs="Times New Roman"/>
          <w:sz w:val="26"/>
          <w:szCs w:val="26"/>
        </w:rPr>
        <w:t xml:space="preserve"> in </w:t>
      </w:r>
      <w:r w:rsidRPr="0057700D">
        <w:rPr>
          <w:rFonts w:ascii="Century Schoolbook" w:eastAsia="Calibri" w:hAnsi="Century Schoolbook" w:cs="Times New Roman"/>
          <w:i/>
          <w:iCs/>
          <w:sz w:val="26"/>
          <w:szCs w:val="26"/>
        </w:rPr>
        <w:t>Batson</w:t>
      </w:r>
      <w:r w:rsidRPr="0057700D">
        <w:rPr>
          <w:rFonts w:ascii="Century Schoolbook" w:eastAsia="Calibri" w:hAnsi="Century Schoolbook" w:cs="Times New Roman"/>
          <w:sz w:val="26"/>
          <w:szCs w:val="26"/>
        </w:rPr>
        <w:t xml:space="preserve"> cases, t</w:t>
      </w:r>
      <w:r w:rsidR="00F01E40" w:rsidRPr="0057700D">
        <w:rPr>
          <w:rFonts w:ascii="Century Schoolbook" w:eastAsia="Calibri" w:hAnsi="Century Schoolbook" w:cs="Times New Roman"/>
          <w:sz w:val="26"/>
          <w:szCs w:val="26"/>
        </w:rPr>
        <w:t xml:space="preserve">he statistics </w:t>
      </w:r>
      <w:r w:rsidR="0071033E" w:rsidRPr="0057700D">
        <w:rPr>
          <w:rFonts w:ascii="Century Schoolbook" w:eastAsia="Calibri" w:hAnsi="Century Schoolbook" w:cs="Times New Roman"/>
          <w:sz w:val="26"/>
          <w:szCs w:val="26"/>
        </w:rPr>
        <w:t xml:space="preserve">Mr. Johnson presented were </w:t>
      </w:r>
      <w:r w:rsidR="0030439C" w:rsidRPr="0057700D">
        <w:rPr>
          <w:rFonts w:ascii="Century Schoolbook" w:eastAsia="Calibri" w:hAnsi="Century Schoolbook" w:cs="Times New Roman"/>
          <w:sz w:val="26"/>
          <w:szCs w:val="26"/>
        </w:rPr>
        <w:t>t</w:t>
      </w:r>
      <w:r w:rsidR="00F01E40" w:rsidRPr="0057700D">
        <w:rPr>
          <w:rFonts w:ascii="Century Schoolbook" w:eastAsia="Calibri" w:hAnsi="Century Schoolbook" w:cs="Times New Roman"/>
          <w:sz w:val="26"/>
          <w:szCs w:val="26"/>
        </w:rPr>
        <w:t>horough</w:t>
      </w:r>
      <w:r w:rsidR="0030439C" w:rsidRPr="0057700D">
        <w:rPr>
          <w:rFonts w:ascii="Century Schoolbook" w:eastAsia="Calibri" w:hAnsi="Century Schoolbook" w:cs="Times New Roman"/>
          <w:sz w:val="26"/>
          <w:szCs w:val="26"/>
        </w:rPr>
        <w:t xml:space="preserve">, counting </w:t>
      </w:r>
      <w:r w:rsidR="00D90AB1" w:rsidRPr="0057700D">
        <w:rPr>
          <w:rFonts w:ascii="Century Schoolbook" w:eastAsia="Calibri" w:hAnsi="Century Schoolbook" w:cs="Times New Roman"/>
          <w:sz w:val="26"/>
          <w:szCs w:val="26"/>
        </w:rPr>
        <w:fldChar w:fldCharType="begin"/>
      </w:r>
      <w:r w:rsidR="00D90AB1" w:rsidRPr="0057700D">
        <w:rPr>
          <w:rFonts w:ascii="Calibri" w:eastAsia="Calibri" w:hAnsi="Calibri" w:cs="Times New Roman"/>
        </w:rPr>
        <w:instrText xml:space="preserve"> TA \l "</w:instrText>
      </w:r>
      <w:r w:rsidR="00D90AB1" w:rsidRPr="0057700D">
        <w:rPr>
          <w:rFonts w:ascii="Century Schoolbook" w:eastAsia="Calibri" w:hAnsi="Century Schoolbook" w:cs="Times New Roman"/>
          <w:i/>
          <w:iCs/>
          <w:sz w:val="26"/>
          <w:szCs w:val="26"/>
        </w:rPr>
        <w:instrText>State v. Bennett</w:instrText>
      </w:r>
      <w:r w:rsidR="00D90AB1" w:rsidRPr="0057700D">
        <w:rPr>
          <w:rFonts w:ascii="Century Schoolbook" w:eastAsia="Calibri" w:hAnsi="Century Schoolbook" w:cs="Times New Roman"/>
          <w:sz w:val="26"/>
          <w:szCs w:val="26"/>
        </w:rPr>
        <w:instrText>, 374 N.C. 579, 599, 843 S.E.2d 222, 236 (2020)</w:instrText>
      </w:r>
      <w:r w:rsidR="00D90AB1" w:rsidRPr="0057700D">
        <w:rPr>
          <w:rFonts w:ascii="Calibri" w:eastAsia="Calibri" w:hAnsi="Calibri" w:cs="Times New Roman"/>
        </w:rPr>
        <w:instrText xml:space="preserve">" \s "State v. Bennett, 374 N.C. 579, 599, 843 S.E.2d 222, 236 (2020)" \c 1 </w:instrText>
      </w:r>
      <w:r w:rsidR="00D90AB1" w:rsidRPr="0057700D">
        <w:rPr>
          <w:rFonts w:ascii="Century Schoolbook" w:eastAsia="Calibri" w:hAnsi="Century Schoolbook" w:cs="Times New Roman"/>
          <w:sz w:val="26"/>
          <w:szCs w:val="26"/>
        </w:rPr>
        <w:fldChar w:fldCharType="end"/>
      </w:r>
      <w:r w:rsidR="00D90AB1" w:rsidRPr="0057700D">
        <w:rPr>
          <w:rFonts w:ascii="Century Schoolbook" w:eastAsia="Calibri" w:hAnsi="Century Schoolbook" w:cs="Times New Roman"/>
          <w:sz w:val="26"/>
          <w:szCs w:val="26"/>
        </w:rPr>
        <w:t>hundreds of events rather than a handful</w:t>
      </w:r>
      <w:r w:rsidR="003B7A87" w:rsidRPr="0057700D">
        <w:rPr>
          <w:rFonts w:ascii="Century Schoolbook" w:eastAsia="Calibri" w:hAnsi="Century Schoolbook" w:cs="Times New Roman"/>
          <w:sz w:val="26"/>
          <w:szCs w:val="26"/>
        </w:rPr>
        <w:t xml:space="preserve">, and </w:t>
      </w:r>
      <w:r w:rsidR="00B32CE9" w:rsidRPr="0057700D">
        <w:rPr>
          <w:rFonts w:ascii="Century Schoolbook" w:eastAsia="Calibri" w:hAnsi="Century Schoolbook" w:cs="Times New Roman"/>
          <w:sz w:val="26"/>
          <w:szCs w:val="26"/>
        </w:rPr>
        <w:t>list</w:t>
      </w:r>
      <w:r w:rsidR="0030439C" w:rsidRPr="0057700D">
        <w:rPr>
          <w:rFonts w:ascii="Century Schoolbook" w:eastAsia="Calibri" w:hAnsi="Century Schoolbook" w:cs="Times New Roman"/>
          <w:sz w:val="26"/>
          <w:szCs w:val="26"/>
        </w:rPr>
        <w:t>ing</w:t>
      </w:r>
      <w:r w:rsidR="00B32CE9" w:rsidRPr="0057700D">
        <w:rPr>
          <w:rFonts w:ascii="Century Schoolbook" w:eastAsia="Calibri" w:hAnsi="Century Schoolbook" w:cs="Times New Roman"/>
          <w:sz w:val="26"/>
          <w:szCs w:val="26"/>
        </w:rPr>
        <w:t xml:space="preserve"> a</w:t>
      </w:r>
      <w:r w:rsidR="003B7A87" w:rsidRPr="0057700D">
        <w:rPr>
          <w:rFonts w:ascii="Century Schoolbook" w:eastAsia="Calibri" w:hAnsi="Century Schoolbook" w:cs="Times New Roman"/>
          <w:sz w:val="26"/>
          <w:szCs w:val="26"/>
        </w:rPr>
        <w:t>ll of Kuchen’s stops and arrests</w:t>
      </w:r>
      <w:r w:rsidR="00B24B1C" w:rsidRPr="0057700D">
        <w:rPr>
          <w:rFonts w:ascii="Century Schoolbook" w:eastAsia="Calibri" w:hAnsi="Century Schoolbook" w:cs="Times New Roman"/>
          <w:sz w:val="26"/>
          <w:szCs w:val="26"/>
        </w:rPr>
        <w:t xml:space="preserve"> available in t</w:t>
      </w:r>
      <w:r w:rsidR="008A6793" w:rsidRPr="0057700D">
        <w:rPr>
          <w:rFonts w:ascii="Century Schoolbook" w:eastAsia="Calibri" w:hAnsi="Century Schoolbook" w:cs="Times New Roman"/>
          <w:sz w:val="26"/>
          <w:szCs w:val="26"/>
        </w:rPr>
        <w:t>wo</w:t>
      </w:r>
      <w:r w:rsidR="00B24B1C" w:rsidRPr="0057700D">
        <w:rPr>
          <w:rFonts w:ascii="Century Schoolbook" w:eastAsia="Calibri" w:hAnsi="Century Schoolbook" w:cs="Times New Roman"/>
          <w:sz w:val="26"/>
          <w:szCs w:val="26"/>
        </w:rPr>
        <w:t xml:space="preserve"> database</w:t>
      </w:r>
      <w:r w:rsidR="00FD4C04" w:rsidRPr="0057700D">
        <w:rPr>
          <w:rFonts w:ascii="Century Schoolbook" w:eastAsia="Calibri" w:hAnsi="Century Schoolbook" w:cs="Times New Roman"/>
          <w:sz w:val="26"/>
          <w:szCs w:val="26"/>
        </w:rPr>
        <w:t>s</w:t>
      </w:r>
      <w:r w:rsidR="008A6793" w:rsidRPr="0057700D">
        <w:rPr>
          <w:rFonts w:ascii="Century Schoolbook" w:eastAsia="Calibri" w:hAnsi="Century Schoolbook" w:cs="Times New Roman"/>
          <w:sz w:val="26"/>
          <w:szCs w:val="26"/>
        </w:rPr>
        <w:t xml:space="preserve">.  </w:t>
      </w:r>
      <w:r w:rsidR="0071559B" w:rsidRPr="0057700D">
        <w:rPr>
          <w:rFonts w:ascii="Century Schoolbook" w:eastAsia="Calibri" w:hAnsi="Century Schoolbook" w:cs="Times New Roman"/>
          <w:sz w:val="26"/>
          <w:szCs w:val="26"/>
        </w:rPr>
        <w:t xml:space="preserve"> </w:t>
      </w:r>
    </w:p>
    <w:p w14:paraId="7423C38C" w14:textId="1DC09786" w:rsidR="00B21AD1" w:rsidRPr="0057700D" w:rsidRDefault="009013D8" w:rsidP="00CF0245">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The</w:t>
      </w:r>
      <w:r w:rsidR="00C94AA9" w:rsidRPr="0057700D">
        <w:rPr>
          <w:rFonts w:ascii="Century Schoolbook" w:eastAsia="Calibri" w:hAnsi="Century Schoolbook" w:cs="Times New Roman"/>
          <w:sz w:val="26"/>
          <w:szCs w:val="26"/>
        </w:rPr>
        <w:t xml:space="preserve"> accuracy of </w:t>
      </w:r>
      <w:r w:rsidR="00455D31" w:rsidRPr="0057700D">
        <w:rPr>
          <w:rFonts w:ascii="Century Schoolbook" w:eastAsia="Calibri" w:hAnsi="Century Schoolbook" w:cs="Times New Roman"/>
          <w:sz w:val="26"/>
          <w:szCs w:val="26"/>
        </w:rPr>
        <w:t>Mr. Johnson’s</w:t>
      </w:r>
      <w:r w:rsidRPr="0057700D">
        <w:rPr>
          <w:rFonts w:ascii="Century Schoolbook" w:eastAsia="Calibri" w:hAnsi="Century Schoolbook" w:cs="Times New Roman"/>
          <w:sz w:val="26"/>
          <w:szCs w:val="26"/>
        </w:rPr>
        <w:t xml:space="preserve"> statistics w</w:t>
      </w:r>
      <w:r w:rsidR="00C94AA9" w:rsidRPr="0057700D">
        <w:rPr>
          <w:rFonts w:ascii="Century Schoolbook" w:eastAsia="Calibri" w:hAnsi="Century Schoolbook" w:cs="Times New Roman"/>
          <w:sz w:val="26"/>
          <w:szCs w:val="26"/>
        </w:rPr>
        <w:t>as</w:t>
      </w:r>
      <w:r w:rsidRPr="0057700D">
        <w:rPr>
          <w:rFonts w:ascii="Century Schoolbook" w:eastAsia="Calibri" w:hAnsi="Century Schoolbook" w:cs="Times New Roman"/>
          <w:sz w:val="26"/>
          <w:szCs w:val="26"/>
        </w:rPr>
        <w:t xml:space="preserve"> uncontested</w:t>
      </w:r>
      <w:r w:rsidR="00ED1843" w:rsidRPr="0057700D">
        <w:rPr>
          <w:rFonts w:ascii="Century Schoolbook" w:eastAsia="Calibri" w:hAnsi="Century Schoolbook" w:cs="Times New Roman"/>
          <w:sz w:val="26"/>
          <w:szCs w:val="26"/>
        </w:rPr>
        <w:t xml:space="preserve">, as the State </w:t>
      </w:r>
      <w:r w:rsidR="00BE2393" w:rsidRPr="0057700D">
        <w:rPr>
          <w:rFonts w:ascii="Century Schoolbook" w:eastAsia="Calibri" w:hAnsi="Century Schoolbook" w:cs="Times New Roman"/>
          <w:sz w:val="26"/>
          <w:szCs w:val="26"/>
        </w:rPr>
        <w:t>offered n</w:t>
      </w:r>
      <w:r w:rsidR="004E1553" w:rsidRPr="0057700D">
        <w:rPr>
          <w:rFonts w:ascii="Century Schoolbook" w:eastAsia="Calibri" w:hAnsi="Century Schoolbook" w:cs="Times New Roman"/>
          <w:sz w:val="26"/>
          <w:szCs w:val="26"/>
        </w:rPr>
        <w:t xml:space="preserve">o rebuttal evidence </w:t>
      </w:r>
      <w:r w:rsidR="00BE2393" w:rsidRPr="0057700D">
        <w:rPr>
          <w:rFonts w:ascii="Century Schoolbook" w:eastAsia="Calibri" w:hAnsi="Century Schoolbook" w:cs="Times New Roman"/>
          <w:sz w:val="26"/>
          <w:szCs w:val="26"/>
        </w:rPr>
        <w:t xml:space="preserve">at the </w:t>
      </w:r>
      <w:r w:rsidR="00FB1F7C" w:rsidRPr="0057700D">
        <w:rPr>
          <w:rFonts w:ascii="Century Schoolbook" w:eastAsia="Calibri" w:hAnsi="Century Schoolbook" w:cs="Times New Roman"/>
          <w:sz w:val="26"/>
          <w:szCs w:val="26"/>
        </w:rPr>
        <w:t xml:space="preserve">equal protection </w:t>
      </w:r>
      <w:r w:rsidR="00BE2393" w:rsidRPr="0057700D">
        <w:rPr>
          <w:rFonts w:ascii="Century Schoolbook" w:eastAsia="Calibri" w:hAnsi="Century Schoolbook" w:cs="Times New Roman"/>
          <w:sz w:val="26"/>
          <w:szCs w:val="26"/>
        </w:rPr>
        <w:t>hearing</w:t>
      </w:r>
      <w:r w:rsidR="00FB1F7C" w:rsidRPr="0057700D">
        <w:rPr>
          <w:rFonts w:ascii="Century Schoolbook" w:eastAsia="Calibri" w:hAnsi="Century Schoolbook" w:cs="Times New Roman"/>
          <w:sz w:val="26"/>
          <w:szCs w:val="26"/>
        </w:rPr>
        <w:t xml:space="preserve">.  </w:t>
      </w:r>
      <w:r w:rsidR="00455D31" w:rsidRPr="0057700D">
        <w:rPr>
          <w:rFonts w:ascii="Century Schoolbook" w:eastAsia="Calibri" w:hAnsi="Century Schoolbook" w:cs="Times New Roman"/>
          <w:sz w:val="26"/>
          <w:szCs w:val="26"/>
        </w:rPr>
        <w:t>T</w:t>
      </w:r>
      <w:r w:rsidRPr="0057700D">
        <w:rPr>
          <w:rFonts w:ascii="Century Schoolbook" w:eastAsia="Calibri" w:hAnsi="Century Schoolbook" w:cs="Times New Roman"/>
          <w:sz w:val="26"/>
          <w:szCs w:val="26"/>
        </w:rPr>
        <w:t>he trial court found the</w:t>
      </w:r>
      <w:r w:rsidR="00FB1F7C" w:rsidRPr="0057700D">
        <w:rPr>
          <w:rFonts w:ascii="Century Schoolbook" w:eastAsia="Calibri" w:hAnsi="Century Schoolbook" w:cs="Times New Roman"/>
          <w:sz w:val="26"/>
          <w:szCs w:val="26"/>
        </w:rPr>
        <w:t xml:space="preserve"> statistics </w:t>
      </w:r>
      <w:r w:rsidRPr="0057700D">
        <w:rPr>
          <w:rFonts w:ascii="Century Schoolbook" w:eastAsia="Calibri" w:hAnsi="Century Schoolbook" w:cs="Times New Roman"/>
          <w:sz w:val="26"/>
          <w:szCs w:val="26"/>
        </w:rPr>
        <w:t>as fact.  (</w:t>
      </w:r>
      <w:proofErr w:type="spellStart"/>
      <w:r w:rsidRPr="0057700D">
        <w:rPr>
          <w:rFonts w:ascii="Century Schoolbook" w:eastAsia="Calibri" w:hAnsi="Century Schoolbook" w:cs="Times New Roman"/>
          <w:sz w:val="26"/>
          <w:szCs w:val="26"/>
        </w:rPr>
        <w:t>Rpp</w:t>
      </w:r>
      <w:proofErr w:type="spellEnd"/>
      <w:r w:rsidRPr="0057700D">
        <w:rPr>
          <w:rFonts w:ascii="Century Schoolbook" w:eastAsia="Calibri" w:hAnsi="Century Schoolbook" w:cs="Times New Roman"/>
          <w:sz w:val="26"/>
          <w:szCs w:val="26"/>
        </w:rPr>
        <w:t xml:space="preserve"> 39-40</w:t>
      </w:r>
      <w:r w:rsidR="003B3DAC"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sz w:val="26"/>
          <w:szCs w:val="26"/>
        </w:rPr>
        <w:t xml:space="preserve"> 7-11)</w:t>
      </w:r>
      <w:r w:rsidR="001D40BB" w:rsidRPr="0057700D">
        <w:rPr>
          <w:rFonts w:ascii="Century Schoolbook" w:eastAsia="Calibri" w:hAnsi="Century Schoolbook" w:cs="Times New Roman"/>
          <w:sz w:val="26"/>
          <w:szCs w:val="26"/>
        </w:rPr>
        <w:t xml:space="preserve">  </w:t>
      </w:r>
      <w:r w:rsidR="00212D09" w:rsidRPr="0057700D">
        <w:rPr>
          <w:rFonts w:ascii="Century Schoolbook" w:eastAsia="Calibri" w:hAnsi="Century Schoolbook" w:cs="Times New Roman"/>
          <w:sz w:val="26"/>
          <w:szCs w:val="26"/>
        </w:rPr>
        <w:t xml:space="preserve">Further, </w:t>
      </w:r>
      <w:r w:rsidR="001D40BB" w:rsidRPr="0057700D">
        <w:rPr>
          <w:rFonts w:ascii="Century Schoolbook" w:eastAsia="Calibri" w:hAnsi="Century Schoolbook" w:cs="Times New Roman"/>
          <w:sz w:val="26"/>
          <w:szCs w:val="26"/>
        </w:rPr>
        <w:t>the source of Mr. Johnson’s data was the State itself</w:t>
      </w:r>
      <w:r w:rsidR="000C4FC9" w:rsidRPr="0057700D">
        <w:rPr>
          <w:rFonts w:ascii="Century Schoolbook" w:eastAsia="Calibri" w:hAnsi="Century Schoolbook" w:cs="Times New Roman"/>
          <w:sz w:val="26"/>
          <w:szCs w:val="26"/>
        </w:rPr>
        <w:t>.  Our statute</w:t>
      </w:r>
      <w:r w:rsidR="001B44E6" w:rsidRPr="0057700D">
        <w:rPr>
          <w:rFonts w:ascii="Century Schoolbook" w:eastAsia="Calibri" w:hAnsi="Century Schoolbook" w:cs="Times New Roman"/>
          <w:sz w:val="26"/>
          <w:szCs w:val="26"/>
        </w:rPr>
        <w:t>, one of the first of its kind, was designed to collect complete traffic stop data including race</w:t>
      </w:r>
      <w:r w:rsidR="008E4F92" w:rsidRPr="0057700D">
        <w:rPr>
          <w:rFonts w:ascii="Century Schoolbook" w:eastAsia="Calibri" w:hAnsi="Century Schoolbook" w:cs="Times New Roman"/>
          <w:sz w:val="26"/>
          <w:szCs w:val="26"/>
        </w:rPr>
        <w:t xml:space="preserve">.  </w:t>
      </w:r>
      <w:r w:rsidR="001D40BB" w:rsidRPr="0057700D">
        <w:rPr>
          <w:rFonts w:ascii="Century Schoolbook" w:eastAsia="Calibri" w:hAnsi="Century Schoolbook" w:cs="Times New Roman"/>
          <w:i/>
          <w:iCs/>
          <w:sz w:val="26"/>
          <w:szCs w:val="26"/>
        </w:rPr>
        <w:t>See generally</w:t>
      </w:r>
      <w:r w:rsidR="001D40BB" w:rsidRPr="0057700D">
        <w:rPr>
          <w:rFonts w:ascii="Century Schoolbook" w:eastAsia="Calibri" w:hAnsi="Century Schoolbook" w:cs="Times New Roman"/>
          <w:sz w:val="26"/>
          <w:szCs w:val="26"/>
        </w:rPr>
        <w:t xml:space="preserve"> N.C.G.S. § 143B-903</w:t>
      </w:r>
      <w:r w:rsidR="00825D98" w:rsidRPr="0057700D">
        <w:rPr>
          <w:rFonts w:ascii="Century Schoolbook" w:eastAsia="Calibri" w:hAnsi="Century Schoolbook" w:cs="Times New Roman"/>
          <w:sz w:val="26"/>
          <w:szCs w:val="26"/>
        </w:rPr>
        <w:fldChar w:fldCharType="begin"/>
      </w:r>
      <w:r w:rsidR="00825D98" w:rsidRPr="0057700D">
        <w:instrText xml:space="preserve"> TA \s "N.C.G.S. § 143B-903" </w:instrText>
      </w:r>
      <w:r w:rsidR="00825D98" w:rsidRPr="0057700D">
        <w:rPr>
          <w:rFonts w:ascii="Century Schoolbook" w:eastAsia="Calibri" w:hAnsi="Century Schoolbook" w:cs="Times New Roman"/>
          <w:sz w:val="26"/>
          <w:szCs w:val="26"/>
        </w:rPr>
        <w:fldChar w:fldCharType="end"/>
      </w:r>
      <w:r w:rsidR="001D40BB" w:rsidRPr="0057700D">
        <w:rPr>
          <w:rFonts w:ascii="Century Schoolbook" w:eastAsia="Calibri" w:hAnsi="Century Schoolbook" w:cs="Times New Roman"/>
          <w:sz w:val="26"/>
          <w:szCs w:val="26"/>
        </w:rPr>
        <w:t xml:space="preserve">; Frank Baumgartner, et al., </w:t>
      </w:r>
      <w:r w:rsidR="001D40BB" w:rsidRPr="0057700D">
        <w:rPr>
          <w:rFonts w:ascii="Century Schoolbook" w:eastAsia="Calibri" w:hAnsi="Century Schoolbook" w:cs="Times New Roman"/>
          <w:i/>
          <w:iCs/>
          <w:sz w:val="26"/>
          <w:szCs w:val="26"/>
        </w:rPr>
        <w:t>Suspect Citizens: What 20 Million Traffic Stops Tell Us About Policing and Race</w:t>
      </w:r>
      <w:r w:rsidR="001D40BB" w:rsidRPr="0057700D">
        <w:rPr>
          <w:rFonts w:ascii="Century Schoolbook" w:eastAsia="Calibri" w:hAnsi="Century Schoolbook" w:cs="Times New Roman"/>
          <w:sz w:val="26"/>
          <w:szCs w:val="26"/>
        </w:rPr>
        <w:t xml:space="preserve"> (Cambridge Univ. Press, 2018)</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sz w:val="26"/>
          <w:szCs w:val="26"/>
        </w:rPr>
        <w:instrText xml:space="preserve">Frank Baumgartner, et al., </w:instrText>
      </w:r>
      <w:r w:rsidR="00825D98" w:rsidRPr="0057700D">
        <w:rPr>
          <w:rFonts w:ascii="Century Schoolbook" w:eastAsia="Calibri" w:hAnsi="Century Schoolbook" w:cs="Times New Roman"/>
          <w:i/>
          <w:iCs/>
          <w:sz w:val="26"/>
          <w:szCs w:val="26"/>
        </w:rPr>
        <w:instrText>Suspect Citizens: What 20 Million Traffic Stops Tell Us About Policing and Race</w:instrText>
      </w:r>
      <w:r w:rsidR="00825D98" w:rsidRPr="0057700D">
        <w:rPr>
          <w:rFonts w:ascii="Century Schoolbook" w:eastAsia="Calibri" w:hAnsi="Century Schoolbook" w:cs="Times New Roman"/>
          <w:sz w:val="26"/>
          <w:szCs w:val="26"/>
        </w:rPr>
        <w:instrText xml:space="preserve"> (Cambridge Univ. Press, 2018)</w:instrText>
      </w:r>
      <w:r w:rsidR="00825D98" w:rsidRPr="0057700D">
        <w:instrText xml:space="preserve">" \s "Frank Baumgartner, et al., Suspect Citizens: What 20 Million Traffic Stops Tell Us About Policing and Race (Cambridge Univ. Press, 2018)" \c 3 </w:instrText>
      </w:r>
      <w:r w:rsidR="00825D98" w:rsidRPr="0057700D">
        <w:rPr>
          <w:rFonts w:ascii="Century Schoolbook" w:eastAsia="Calibri" w:hAnsi="Century Schoolbook" w:cs="Times New Roman"/>
          <w:sz w:val="26"/>
          <w:szCs w:val="26"/>
        </w:rPr>
        <w:fldChar w:fldCharType="end"/>
      </w:r>
      <w:r w:rsidR="001D40BB" w:rsidRPr="0057700D">
        <w:rPr>
          <w:rFonts w:ascii="Century Schoolbook" w:eastAsia="Calibri" w:hAnsi="Century Schoolbook" w:cs="Times New Roman"/>
          <w:sz w:val="26"/>
          <w:szCs w:val="26"/>
        </w:rPr>
        <w:t xml:space="preserve"> (analyzing data collected under G.S. 143B-903).</w:t>
      </w:r>
      <w:r w:rsidR="008E4F92" w:rsidRPr="0057700D">
        <w:rPr>
          <w:rFonts w:ascii="Century Schoolbook" w:eastAsia="Calibri" w:hAnsi="Century Schoolbook" w:cs="Times New Roman"/>
          <w:sz w:val="26"/>
          <w:szCs w:val="26"/>
        </w:rPr>
        <w:t xml:space="preserve">  The State can hardly attack the data it</w:t>
      </w:r>
      <w:r w:rsidR="00212D09" w:rsidRPr="0057700D">
        <w:rPr>
          <w:rFonts w:ascii="Century Schoolbook" w:eastAsia="Calibri" w:hAnsi="Century Schoolbook" w:cs="Times New Roman"/>
          <w:sz w:val="26"/>
          <w:szCs w:val="26"/>
        </w:rPr>
        <w:t xml:space="preserve"> supplies and</w:t>
      </w:r>
      <w:r w:rsidR="008E4F92" w:rsidRPr="0057700D">
        <w:rPr>
          <w:rFonts w:ascii="Century Schoolbook" w:eastAsia="Calibri" w:hAnsi="Century Schoolbook" w:cs="Times New Roman"/>
          <w:sz w:val="26"/>
          <w:szCs w:val="26"/>
        </w:rPr>
        <w:t xml:space="preserve"> maintains. </w:t>
      </w:r>
    </w:p>
    <w:p w14:paraId="7B894FC0" w14:textId="77777777" w:rsidR="00A559A2" w:rsidRPr="0057700D" w:rsidRDefault="00A559A2" w:rsidP="00A559A2">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lastRenderedPageBreak/>
        <w:t xml:space="preserve">2.  </w:t>
      </w:r>
      <w:r w:rsidRPr="0057700D">
        <w:rPr>
          <w:rFonts w:ascii="Century Schoolbook" w:eastAsia="Calibri" w:hAnsi="Century Schoolbook" w:cs="Times New Roman"/>
          <w:sz w:val="26"/>
          <w:szCs w:val="26"/>
          <w:u w:val="single"/>
        </w:rPr>
        <w:t>It is the respondent’s burden to present responsive data</w:t>
      </w:r>
      <w:r w:rsidRPr="0057700D">
        <w:rPr>
          <w:rFonts w:ascii="Century Schoolbook" w:eastAsia="Calibri" w:hAnsi="Century Schoolbook" w:cs="Times New Roman"/>
          <w:sz w:val="26"/>
          <w:szCs w:val="26"/>
        </w:rPr>
        <w:t>.</w:t>
      </w:r>
    </w:p>
    <w:p w14:paraId="5DC57FB2" w14:textId="3FF5C097" w:rsidR="00A559A2" w:rsidRPr="0057700D" w:rsidRDefault="00A559A2" w:rsidP="00A559A2">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A key theme in the State’s argument and the panel’s ruling is that Mr. Johnson should have produced better data.  But the moving party is </w:t>
      </w:r>
      <w:r w:rsidRPr="0057700D">
        <w:rPr>
          <w:rFonts w:ascii="Century Schoolbook" w:eastAsia="Calibri" w:hAnsi="Century Schoolbook" w:cs="Times New Roman"/>
          <w:i/>
          <w:iCs/>
          <w:sz w:val="26"/>
          <w:szCs w:val="26"/>
        </w:rPr>
        <w:t>not</w:t>
      </w:r>
      <w:r w:rsidRPr="0057700D">
        <w:rPr>
          <w:rFonts w:ascii="Century Schoolbook" w:eastAsia="Calibri" w:hAnsi="Century Schoolbook" w:cs="Times New Roman"/>
          <w:sz w:val="26"/>
          <w:szCs w:val="26"/>
        </w:rPr>
        <w:t xml:space="preserve"> required to “persuade the judge – on the basis of all the facts, some of which are impossible for the defendant to know with certainty – that the challenge was more likely than not the product of purposeful discrimination.”  </w:t>
      </w:r>
      <w:r w:rsidRPr="0057700D">
        <w:rPr>
          <w:rFonts w:ascii="Century Schoolbook" w:eastAsia="Calibri" w:hAnsi="Century Schoolbook" w:cs="Times New Roman"/>
          <w:i/>
          <w:iCs/>
          <w:sz w:val="26"/>
          <w:szCs w:val="26"/>
        </w:rPr>
        <w:t>Bennett</w:t>
      </w:r>
      <w:r w:rsidRPr="0057700D">
        <w:rPr>
          <w:rFonts w:ascii="Century Schoolbook" w:eastAsia="Calibri" w:hAnsi="Century Schoolbook" w:cs="Times New Roman"/>
          <w:sz w:val="26"/>
          <w:szCs w:val="26"/>
        </w:rPr>
        <w:t>, 374 N.C. at 598</w:t>
      </w:r>
      <w:r w:rsidR="00825D98" w:rsidRPr="0057700D">
        <w:rPr>
          <w:rFonts w:ascii="Century Schoolbook" w:eastAsia="Calibri" w:hAnsi="Century Schoolbook" w:cs="Times New Roman"/>
          <w:sz w:val="26"/>
          <w:szCs w:val="26"/>
        </w:rPr>
        <w:fldChar w:fldCharType="begin"/>
      </w:r>
      <w:r w:rsidR="00825D98" w:rsidRPr="0057700D">
        <w:instrText xml:space="preserve"> TA \s "State v. Bennett, 374 N.C. 579, 598, 843 S.E.2d 222, 235 (2020)" </w:instrText>
      </w:r>
      <w:r w:rsidR="00825D98" w:rsidRPr="0057700D">
        <w:rPr>
          <w:rFonts w:ascii="Century Schoolbook" w:eastAsia="Calibri" w:hAnsi="Century Schoolbook" w:cs="Times New Roman"/>
          <w:sz w:val="26"/>
          <w:szCs w:val="26"/>
        </w:rPr>
        <w:fldChar w:fldCharType="end"/>
      </w:r>
      <w:r w:rsidRPr="0057700D">
        <w:rPr>
          <w:rFonts w:ascii="Century Schoolbook" w:eastAsia="Calibri" w:hAnsi="Century Schoolbook" w:cs="Times New Roman"/>
          <w:sz w:val="26"/>
          <w:szCs w:val="26"/>
        </w:rPr>
        <w:t xml:space="preserve"> (quoting </w:t>
      </w:r>
      <w:r w:rsidRPr="0057700D">
        <w:rPr>
          <w:rFonts w:ascii="Century Schoolbook" w:eastAsia="Calibri" w:hAnsi="Century Schoolbook" w:cs="Times New Roman"/>
          <w:i/>
          <w:iCs/>
          <w:sz w:val="26"/>
          <w:szCs w:val="26"/>
        </w:rPr>
        <w:t xml:space="preserve">Batson, </w:t>
      </w:r>
      <w:r w:rsidRPr="0057700D">
        <w:rPr>
          <w:rFonts w:ascii="Century Schoolbook" w:eastAsia="Calibri" w:hAnsi="Century Schoolbook" w:cs="Times New Roman"/>
          <w:sz w:val="26"/>
          <w:szCs w:val="26"/>
        </w:rPr>
        <w:t>476 U.S. at 170</w:t>
      </w:r>
      <w:r w:rsidR="00825D98" w:rsidRPr="0057700D">
        <w:rPr>
          <w:rFonts w:ascii="Century Schoolbook" w:eastAsia="Calibri" w:hAnsi="Century Schoolbook" w:cs="Times New Roman"/>
          <w:sz w:val="26"/>
          <w:szCs w:val="26"/>
        </w:rPr>
        <w:fldChar w:fldCharType="begin"/>
      </w:r>
      <w:r w:rsidR="00825D98" w:rsidRPr="0057700D">
        <w:instrText xml:space="preserve"> TA \s "Batson v. Kentucky, 476 U.S. 79 (1986)" </w:instrText>
      </w:r>
      <w:r w:rsidR="00825D98" w:rsidRPr="0057700D">
        <w:rPr>
          <w:rFonts w:ascii="Century Schoolbook" w:eastAsia="Calibri" w:hAnsi="Century Schoolbook" w:cs="Times New Roman"/>
          <w:sz w:val="26"/>
          <w:szCs w:val="26"/>
        </w:rPr>
        <w:fldChar w:fldCharType="end"/>
      </w:r>
      <w:r w:rsidRPr="0057700D">
        <w:rPr>
          <w:rFonts w:ascii="Century Schoolbook" w:eastAsia="Calibri" w:hAnsi="Century Schoolbook" w:cs="Times New Roman"/>
          <w:sz w:val="26"/>
          <w:szCs w:val="26"/>
        </w:rPr>
        <w:t xml:space="preserve">.)  Instead, the prima facie framework requires the movant to make a minimal showing, after which a respondent, who is more likely in possession of the relevant data, must produce evidence.  </w:t>
      </w:r>
    </w:p>
    <w:p w14:paraId="7CC0AEBF" w14:textId="77777777" w:rsidR="00A559A2" w:rsidRPr="0057700D" w:rsidRDefault="00A559A2" w:rsidP="00A559A2">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In a case involving inequitable treatment of demonstrators by federal officials, the Fourth Circuit explained why the burden should shift to the government after a prima facie case is made:</w:t>
      </w:r>
    </w:p>
    <w:p w14:paraId="06FCC27C" w14:textId="77777777" w:rsidR="00A559A2" w:rsidRPr="0057700D" w:rsidRDefault="00A559A2" w:rsidP="00A559A2">
      <w:pPr>
        <w:spacing w:after="0" w:line="240" w:lineRule="auto"/>
        <w:ind w:left="1008" w:right="1008"/>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We think when the record strongly suggests invidious discrimination and selective application of a regulation to inhibit the expression of an unpopular viewpoint, and where it appears that the government is in ready possession of the facts, and the defendants are not, it is not unreasonable to reverse the burden of proof and to require the government to come forward with evidence as to what extent loud and unusual noise and obstruction of the concourse may have occurred on other approved occasions. </w:t>
      </w:r>
      <w:r w:rsidRPr="0057700D">
        <w:rPr>
          <w:rFonts w:ascii="Century Schoolbook" w:eastAsia="Calibri" w:hAnsi="Century Schoolbook" w:cs="Times New Roman"/>
          <w:b/>
          <w:bCs/>
          <w:sz w:val="26"/>
          <w:szCs w:val="26"/>
        </w:rPr>
        <w:t xml:space="preserve"> It is neither novel nor unfair to require the party in possession of the facts to disclose them.</w:t>
      </w:r>
    </w:p>
    <w:p w14:paraId="29BDD482" w14:textId="77777777" w:rsidR="00A559A2" w:rsidRPr="0057700D" w:rsidRDefault="00A559A2" w:rsidP="00A559A2">
      <w:pPr>
        <w:spacing w:after="0" w:line="240" w:lineRule="auto"/>
        <w:rPr>
          <w:rFonts w:ascii="Century Schoolbook" w:eastAsia="Calibri" w:hAnsi="Century Schoolbook" w:cs="Times New Roman"/>
          <w:sz w:val="26"/>
          <w:szCs w:val="26"/>
        </w:rPr>
      </w:pPr>
    </w:p>
    <w:p w14:paraId="728E4150" w14:textId="3D1AE31A" w:rsidR="00A559A2" w:rsidRPr="0057700D" w:rsidRDefault="00A559A2" w:rsidP="00A559A2">
      <w:pPr>
        <w:spacing w:after="0" w:line="480" w:lineRule="auto"/>
        <w:rPr>
          <w:rFonts w:ascii="Century Schoolbook" w:eastAsia="Calibri" w:hAnsi="Century Schoolbook" w:cs="Times New Roman"/>
          <w:i/>
          <w:iCs/>
          <w:sz w:val="26"/>
          <w:szCs w:val="26"/>
        </w:rPr>
      </w:pPr>
      <w:r w:rsidRPr="0057700D">
        <w:rPr>
          <w:rFonts w:ascii="Century Schoolbook" w:eastAsia="Calibri" w:hAnsi="Century Schoolbook" w:cs="Times New Roman"/>
          <w:i/>
          <w:iCs/>
          <w:sz w:val="26"/>
          <w:szCs w:val="26"/>
        </w:rPr>
        <w:lastRenderedPageBreak/>
        <w:t xml:space="preserve">United States v. </w:t>
      </w:r>
      <w:proofErr w:type="spellStart"/>
      <w:r w:rsidRPr="0057700D">
        <w:rPr>
          <w:rFonts w:ascii="Century Schoolbook" w:eastAsia="Calibri" w:hAnsi="Century Schoolbook" w:cs="Times New Roman"/>
          <w:i/>
          <w:iCs/>
          <w:sz w:val="26"/>
          <w:szCs w:val="26"/>
        </w:rPr>
        <w:t>Crowthers</w:t>
      </w:r>
      <w:proofErr w:type="spellEnd"/>
      <w:r w:rsidRPr="0057700D">
        <w:rPr>
          <w:rFonts w:ascii="Century Schoolbook" w:eastAsia="Calibri" w:hAnsi="Century Schoolbook" w:cs="Times New Roman"/>
          <w:sz w:val="26"/>
          <w:szCs w:val="26"/>
        </w:rPr>
        <w:t>, 456 F.2d 1074, 1078 (4</w:t>
      </w:r>
      <w:r w:rsidRPr="0057700D">
        <w:rPr>
          <w:rFonts w:ascii="Century Schoolbook" w:eastAsia="Calibri" w:hAnsi="Century Schoolbook" w:cs="Times New Roman"/>
          <w:sz w:val="26"/>
          <w:szCs w:val="26"/>
          <w:vertAlign w:val="superscript"/>
        </w:rPr>
        <w:t>th</w:t>
      </w:r>
      <w:r w:rsidRPr="0057700D">
        <w:rPr>
          <w:rFonts w:ascii="Century Schoolbook" w:eastAsia="Calibri" w:hAnsi="Century Schoolbook" w:cs="Times New Roman"/>
          <w:sz w:val="26"/>
          <w:szCs w:val="26"/>
        </w:rPr>
        <w:t xml:space="preserve"> Cir. 1972)</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United States v. Crowthers</w:instrText>
      </w:r>
      <w:r w:rsidR="00825D98" w:rsidRPr="0057700D">
        <w:rPr>
          <w:rFonts w:ascii="Century Schoolbook" w:eastAsia="Calibri" w:hAnsi="Century Schoolbook" w:cs="Times New Roman"/>
          <w:sz w:val="26"/>
          <w:szCs w:val="26"/>
        </w:rPr>
        <w:instrText>, 456 F.2d 1074, 1078 (4</w:instrText>
      </w:r>
      <w:r w:rsidR="00825D98" w:rsidRPr="0057700D">
        <w:rPr>
          <w:rFonts w:ascii="Century Schoolbook" w:eastAsia="Calibri" w:hAnsi="Century Schoolbook" w:cs="Times New Roman"/>
          <w:sz w:val="26"/>
          <w:szCs w:val="26"/>
          <w:vertAlign w:val="superscript"/>
        </w:rPr>
        <w:instrText>th</w:instrText>
      </w:r>
      <w:r w:rsidR="00825D98" w:rsidRPr="0057700D">
        <w:rPr>
          <w:rFonts w:ascii="Century Schoolbook" w:eastAsia="Calibri" w:hAnsi="Century Schoolbook" w:cs="Times New Roman"/>
          <w:sz w:val="26"/>
          <w:szCs w:val="26"/>
        </w:rPr>
        <w:instrText xml:space="preserve"> Cir. 1972)</w:instrText>
      </w:r>
      <w:r w:rsidR="00825D98" w:rsidRPr="0057700D">
        <w:instrText xml:space="preserve">" \s "United States v. Crowthers, 456 F.2d 1074, 1078 (4th Cir. 1972)" \c 1 </w:instrText>
      </w:r>
      <w:r w:rsidR="00825D98" w:rsidRPr="0057700D">
        <w:rPr>
          <w:rFonts w:ascii="Century Schoolbook" w:eastAsia="Calibri" w:hAnsi="Century Schoolbook" w:cs="Times New Roman"/>
          <w:sz w:val="26"/>
          <w:szCs w:val="26"/>
        </w:rPr>
        <w:fldChar w:fldCharType="end"/>
      </w:r>
      <w:r w:rsidRPr="0057700D">
        <w:rPr>
          <w:rFonts w:ascii="Century Schoolbook" w:eastAsia="Calibri" w:hAnsi="Century Schoolbook" w:cs="Times New Roman"/>
          <w:sz w:val="26"/>
          <w:szCs w:val="26"/>
        </w:rPr>
        <w:t xml:space="preserve"> (reversing convictions of religious protestors) (emphasis added).  </w:t>
      </w:r>
      <w:r w:rsidRPr="0057700D">
        <w:rPr>
          <w:rFonts w:ascii="Century Schoolbook" w:eastAsia="Calibri" w:hAnsi="Century Schoolbook" w:cs="Times New Roman"/>
          <w:i/>
          <w:iCs/>
          <w:sz w:val="26"/>
          <w:szCs w:val="26"/>
        </w:rPr>
        <w:t>See also Commonwealth v. Franklin</w:t>
      </w:r>
      <w:r w:rsidRPr="0057700D">
        <w:rPr>
          <w:rFonts w:ascii="Century Schoolbook" w:eastAsia="Calibri" w:hAnsi="Century Schoolbook" w:cs="Times New Roman"/>
          <w:sz w:val="26"/>
          <w:szCs w:val="26"/>
        </w:rPr>
        <w:t>, 376 Mass. 885, 895 (1978)</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Commonwealth v. Franklin</w:instrText>
      </w:r>
      <w:r w:rsidR="00825D98" w:rsidRPr="0057700D">
        <w:rPr>
          <w:rFonts w:ascii="Century Schoolbook" w:eastAsia="Calibri" w:hAnsi="Century Schoolbook" w:cs="Times New Roman"/>
          <w:sz w:val="26"/>
          <w:szCs w:val="26"/>
        </w:rPr>
        <w:instrText>, 376 Mass. 885, 895 (1978)</w:instrText>
      </w:r>
      <w:r w:rsidR="00825D98" w:rsidRPr="0057700D">
        <w:instrText xml:space="preserve">" \s "Commonwealth v. Franklin, 376 Mass. 885, 895 (1978)" \c 1 </w:instrText>
      </w:r>
      <w:r w:rsidR="00825D98" w:rsidRPr="0057700D">
        <w:rPr>
          <w:rFonts w:ascii="Century Schoolbook" w:eastAsia="Calibri" w:hAnsi="Century Schoolbook" w:cs="Times New Roman"/>
          <w:sz w:val="26"/>
          <w:szCs w:val="26"/>
        </w:rPr>
        <w:fldChar w:fldCharType="end"/>
      </w:r>
      <w:r w:rsidRPr="0057700D">
        <w:rPr>
          <w:rFonts w:ascii="Century Schoolbook" w:eastAsia="Calibri" w:hAnsi="Century Schoolbook" w:cs="Times New Roman"/>
          <w:sz w:val="26"/>
          <w:szCs w:val="26"/>
        </w:rPr>
        <w:t xml:space="preserve"> (remanding for further consideration in selective prosecution claim of Black defendants seeking to prove that white individuals living in the same housing project were not criminally charged for comparable acts) (citing </w:t>
      </w:r>
      <w:proofErr w:type="spellStart"/>
      <w:r w:rsidRPr="0057700D">
        <w:rPr>
          <w:rFonts w:ascii="Century Schoolbook" w:eastAsia="Calibri" w:hAnsi="Century Schoolbook" w:cs="Times New Roman"/>
          <w:i/>
          <w:iCs/>
          <w:sz w:val="26"/>
          <w:szCs w:val="26"/>
        </w:rPr>
        <w:t>Crowthers</w:t>
      </w:r>
      <w:proofErr w:type="spellEnd"/>
      <w:r w:rsidRPr="0057700D">
        <w:rPr>
          <w:rFonts w:ascii="Century Schoolbook" w:eastAsia="Calibri" w:hAnsi="Century Schoolbook" w:cs="Times New Roman"/>
          <w:sz w:val="26"/>
          <w:szCs w:val="26"/>
        </w:rPr>
        <w:t xml:space="preserve">).  In light of these principles, the panel clearly erred in finding Mr. Johnson </w:t>
      </w:r>
      <w:r w:rsidR="006B6EE2" w:rsidRPr="0057700D">
        <w:rPr>
          <w:rFonts w:ascii="Century Schoolbook" w:eastAsia="Calibri" w:hAnsi="Century Schoolbook" w:cs="Times New Roman"/>
          <w:sz w:val="26"/>
          <w:szCs w:val="26"/>
        </w:rPr>
        <w:t xml:space="preserve">needed better data to make his </w:t>
      </w:r>
      <w:r w:rsidRPr="0057700D">
        <w:rPr>
          <w:rFonts w:ascii="Century Schoolbook" w:eastAsia="Calibri" w:hAnsi="Century Schoolbook" w:cs="Times New Roman"/>
          <w:sz w:val="26"/>
          <w:szCs w:val="26"/>
        </w:rPr>
        <w:t xml:space="preserve">prima facie showing of discrimination.  </w:t>
      </w:r>
    </w:p>
    <w:p w14:paraId="04AB9EA6" w14:textId="66D45D0A" w:rsidR="00DC24DF" w:rsidRPr="0057700D" w:rsidRDefault="00DC24DF" w:rsidP="009013D8">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3.  </w:t>
      </w:r>
      <w:r w:rsidRPr="0057700D">
        <w:rPr>
          <w:rFonts w:ascii="Century Schoolbook" w:eastAsia="Calibri" w:hAnsi="Century Schoolbook" w:cs="Times New Roman"/>
          <w:sz w:val="26"/>
          <w:szCs w:val="26"/>
          <w:u w:val="single"/>
        </w:rPr>
        <w:t xml:space="preserve">The </w:t>
      </w:r>
      <w:r w:rsidRPr="0057700D">
        <w:rPr>
          <w:rFonts w:ascii="Century Schoolbook" w:eastAsia="Calibri" w:hAnsi="Century Schoolbook" w:cs="Times New Roman"/>
          <w:i/>
          <w:iCs/>
          <w:sz w:val="26"/>
          <w:szCs w:val="26"/>
          <w:u w:val="single"/>
        </w:rPr>
        <w:t>Chavez</w:t>
      </w:r>
      <w:r w:rsidRPr="0057700D">
        <w:rPr>
          <w:rFonts w:ascii="Century Schoolbook" w:eastAsia="Calibri" w:hAnsi="Century Schoolbook" w:cs="Times New Roman"/>
          <w:sz w:val="26"/>
          <w:szCs w:val="26"/>
          <w:u w:val="single"/>
        </w:rPr>
        <w:t xml:space="preserve"> opinion is inapt</w:t>
      </w:r>
      <w:r w:rsidRPr="0057700D">
        <w:rPr>
          <w:rFonts w:ascii="Century Schoolbook" w:eastAsia="Calibri" w:hAnsi="Century Schoolbook" w:cs="Times New Roman"/>
          <w:sz w:val="26"/>
          <w:szCs w:val="26"/>
        </w:rPr>
        <w:t>.</w:t>
      </w:r>
    </w:p>
    <w:p w14:paraId="10CB53D7" w14:textId="18A56CA3" w:rsidR="00293108" w:rsidRPr="0057700D" w:rsidRDefault="006A30BE" w:rsidP="001B7388">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B</w:t>
      </w:r>
      <w:r w:rsidR="009013D8" w:rsidRPr="0057700D">
        <w:rPr>
          <w:rFonts w:ascii="Century Schoolbook" w:eastAsia="Calibri" w:hAnsi="Century Schoolbook" w:cs="Times New Roman"/>
          <w:sz w:val="26"/>
          <w:szCs w:val="26"/>
        </w:rPr>
        <w:t>oth the trial court and the panel below held that the statistics were not sufficient because additional, more detailed statistics would have allowed better comparison</w:t>
      </w:r>
      <w:r w:rsidR="005071E0" w:rsidRPr="0057700D">
        <w:rPr>
          <w:rFonts w:ascii="Century Schoolbook" w:eastAsia="Calibri" w:hAnsi="Century Schoolbook" w:cs="Times New Roman"/>
          <w:sz w:val="26"/>
          <w:szCs w:val="26"/>
        </w:rPr>
        <w:t xml:space="preserve"> and analysis</w:t>
      </w:r>
      <w:r w:rsidR="009013D8" w:rsidRPr="0057700D">
        <w:rPr>
          <w:rFonts w:ascii="Century Schoolbook" w:eastAsia="Calibri" w:hAnsi="Century Schoolbook" w:cs="Times New Roman"/>
          <w:sz w:val="26"/>
          <w:szCs w:val="26"/>
        </w:rPr>
        <w:t xml:space="preserve">.  (See </w:t>
      </w:r>
      <w:proofErr w:type="spellStart"/>
      <w:r w:rsidR="009013D8" w:rsidRPr="0057700D">
        <w:rPr>
          <w:rFonts w:ascii="Century Schoolbook" w:eastAsia="Calibri" w:hAnsi="Century Schoolbook" w:cs="Times New Roman"/>
          <w:sz w:val="26"/>
          <w:szCs w:val="26"/>
        </w:rPr>
        <w:t>Rpp</w:t>
      </w:r>
      <w:proofErr w:type="spellEnd"/>
      <w:r w:rsidR="009013D8" w:rsidRPr="0057700D">
        <w:rPr>
          <w:rFonts w:ascii="Century Schoolbook" w:eastAsia="Calibri" w:hAnsi="Century Schoolbook" w:cs="Times New Roman"/>
          <w:sz w:val="26"/>
          <w:szCs w:val="26"/>
        </w:rPr>
        <w:t xml:space="preserve"> </w:t>
      </w:r>
      <w:r w:rsidR="00517868" w:rsidRPr="0057700D">
        <w:rPr>
          <w:rFonts w:ascii="Century Schoolbook" w:eastAsia="Calibri" w:hAnsi="Century Schoolbook" w:cs="Times New Roman"/>
          <w:sz w:val="26"/>
          <w:szCs w:val="26"/>
        </w:rPr>
        <w:t>44-47;</w:t>
      </w:r>
      <w:r w:rsidR="009013D8" w:rsidRPr="0057700D">
        <w:rPr>
          <w:rFonts w:ascii="Century Schoolbook" w:eastAsia="Calibri" w:hAnsi="Century Schoolbook" w:cs="Times New Roman"/>
          <w:sz w:val="26"/>
          <w:szCs w:val="26"/>
        </w:rPr>
        <w:t xml:space="preserve"> Slip op at </w:t>
      </w:r>
      <w:r w:rsidR="00926554" w:rsidRPr="0057700D">
        <w:rPr>
          <w:rFonts w:ascii="Century Schoolbook" w:eastAsia="Calibri" w:hAnsi="Century Schoolbook" w:cs="Times New Roman"/>
          <w:sz w:val="26"/>
          <w:szCs w:val="26"/>
        </w:rPr>
        <w:t>21</w:t>
      </w:r>
      <w:r w:rsidR="009013D8" w:rsidRPr="0057700D">
        <w:rPr>
          <w:rFonts w:ascii="Century Schoolbook" w:eastAsia="Calibri" w:hAnsi="Century Schoolbook" w:cs="Times New Roman"/>
          <w:sz w:val="26"/>
          <w:szCs w:val="26"/>
        </w:rPr>
        <w:t>)</w:t>
      </w:r>
      <w:r w:rsidR="00A97B1C" w:rsidRPr="0057700D">
        <w:rPr>
          <w:rFonts w:ascii="Century Schoolbook" w:eastAsia="Calibri" w:hAnsi="Century Schoolbook" w:cs="Times New Roman"/>
          <w:sz w:val="26"/>
          <w:szCs w:val="26"/>
        </w:rPr>
        <w:t xml:space="preserve"> </w:t>
      </w:r>
      <w:r w:rsidR="009013D8" w:rsidRPr="0057700D">
        <w:rPr>
          <w:rFonts w:ascii="Century Schoolbook" w:eastAsia="Calibri" w:hAnsi="Century Schoolbook" w:cs="Times New Roman"/>
          <w:sz w:val="26"/>
          <w:szCs w:val="26"/>
        </w:rPr>
        <w:t xml:space="preserve"> </w:t>
      </w:r>
      <w:r w:rsidR="00452AF2" w:rsidRPr="0057700D">
        <w:rPr>
          <w:rFonts w:ascii="Century Schoolbook" w:eastAsia="Calibri" w:hAnsi="Century Schoolbook" w:cs="Times New Roman"/>
          <w:sz w:val="26"/>
          <w:szCs w:val="26"/>
        </w:rPr>
        <w:t xml:space="preserve">The panel </w:t>
      </w:r>
      <w:r w:rsidR="00F03AA6" w:rsidRPr="0057700D">
        <w:rPr>
          <w:rFonts w:ascii="Century Schoolbook" w:eastAsia="Calibri" w:hAnsi="Century Schoolbook" w:cs="Times New Roman"/>
          <w:sz w:val="26"/>
          <w:szCs w:val="26"/>
        </w:rPr>
        <w:t>compared Mr. Johnson’s statistics to those evaluated in</w:t>
      </w:r>
      <w:r w:rsidR="000815E5" w:rsidRPr="0057700D">
        <w:rPr>
          <w:rFonts w:ascii="Century Schoolbook" w:eastAsia="Calibri" w:hAnsi="Century Schoolbook" w:cs="Times New Roman"/>
          <w:sz w:val="26"/>
          <w:szCs w:val="26"/>
        </w:rPr>
        <w:t xml:space="preserve"> </w:t>
      </w:r>
      <w:r w:rsidR="006372B6" w:rsidRPr="0057700D">
        <w:rPr>
          <w:rFonts w:ascii="Century Schoolbook" w:eastAsia="Calibri" w:hAnsi="Century Schoolbook" w:cs="Times New Roman"/>
          <w:i/>
          <w:iCs/>
          <w:sz w:val="26"/>
          <w:szCs w:val="26"/>
        </w:rPr>
        <w:t xml:space="preserve">Chavez v. Ill. State Police, </w:t>
      </w:r>
      <w:r w:rsidR="006372B6" w:rsidRPr="0057700D">
        <w:rPr>
          <w:rFonts w:ascii="Century Schoolbook" w:eastAsia="Calibri" w:hAnsi="Century Schoolbook" w:cs="Times New Roman"/>
          <w:sz w:val="26"/>
          <w:szCs w:val="26"/>
        </w:rPr>
        <w:t>251 F.3d 612 (7th Cir. 2001)</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 xml:space="preserve">Chavez v. Ill. State Police, </w:instrText>
      </w:r>
      <w:r w:rsidR="00825D98" w:rsidRPr="0057700D">
        <w:rPr>
          <w:rFonts w:ascii="Century Schoolbook" w:eastAsia="Calibri" w:hAnsi="Century Schoolbook" w:cs="Times New Roman"/>
          <w:sz w:val="26"/>
          <w:szCs w:val="26"/>
        </w:rPr>
        <w:instrText>251 F.3d 612 (7th Cir. 2001)</w:instrText>
      </w:r>
      <w:r w:rsidR="00825D98" w:rsidRPr="0057700D">
        <w:instrText xml:space="preserve">" \s "Chavez v. Ill. State Police, 251 F.3d 612 (7th Cir. 2001)" \c 1 </w:instrText>
      </w:r>
      <w:r w:rsidR="00825D98" w:rsidRPr="0057700D">
        <w:rPr>
          <w:rFonts w:ascii="Century Schoolbook" w:eastAsia="Calibri" w:hAnsi="Century Schoolbook" w:cs="Times New Roman"/>
          <w:sz w:val="26"/>
          <w:szCs w:val="26"/>
        </w:rPr>
        <w:fldChar w:fldCharType="end"/>
      </w:r>
      <w:r w:rsidR="00452AF2" w:rsidRPr="0057700D">
        <w:rPr>
          <w:rFonts w:ascii="Century Schoolbook" w:eastAsia="Calibri" w:hAnsi="Century Schoolbook" w:cs="Times New Roman"/>
          <w:sz w:val="26"/>
          <w:szCs w:val="26"/>
        </w:rPr>
        <w:t xml:space="preserve">.  </w:t>
      </w:r>
      <w:r w:rsidR="009F5B39" w:rsidRPr="0057700D">
        <w:rPr>
          <w:rFonts w:ascii="Century Schoolbook" w:eastAsia="Calibri" w:hAnsi="Century Schoolbook" w:cs="Times New Roman"/>
          <w:sz w:val="26"/>
          <w:szCs w:val="26"/>
        </w:rPr>
        <w:t xml:space="preserve">The Court in </w:t>
      </w:r>
      <w:r w:rsidR="009F5B39" w:rsidRPr="0057700D">
        <w:rPr>
          <w:rFonts w:ascii="Century Schoolbook" w:eastAsia="Calibri" w:hAnsi="Century Schoolbook" w:cs="Times New Roman"/>
          <w:i/>
          <w:iCs/>
          <w:sz w:val="26"/>
          <w:szCs w:val="26"/>
        </w:rPr>
        <w:t>Chavez</w:t>
      </w:r>
      <w:r w:rsidR="009F5B39" w:rsidRPr="0057700D">
        <w:rPr>
          <w:rFonts w:ascii="Century Schoolbook" w:eastAsia="Calibri" w:hAnsi="Century Schoolbook" w:cs="Times New Roman"/>
          <w:sz w:val="26"/>
          <w:szCs w:val="26"/>
        </w:rPr>
        <w:t xml:space="preserve"> dismissed a civil class action that sought money damages and injunctive relief against the Illinois State Police for racial profiling of motorists. </w:t>
      </w:r>
      <w:r w:rsidR="004147F9" w:rsidRPr="0057700D">
        <w:rPr>
          <w:rFonts w:ascii="Century Schoolbook" w:eastAsia="Calibri" w:hAnsi="Century Schoolbook" w:cs="Times New Roman"/>
          <w:sz w:val="26"/>
          <w:szCs w:val="26"/>
        </w:rPr>
        <w:t xml:space="preserve"> </w:t>
      </w:r>
      <w:r w:rsidR="00EB5D4F" w:rsidRPr="0057700D">
        <w:rPr>
          <w:rFonts w:ascii="Century Schoolbook" w:eastAsia="Calibri" w:hAnsi="Century Schoolbook" w:cs="Times New Roman"/>
          <w:sz w:val="26"/>
          <w:szCs w:val="26"/>
        </w:rPr>
        <w:t>The panel</w:t>
      </w:r>
      <w:r w:rsidR="00C52C41" w:rsidRPr="0057700D">
        <w:rPr>
          <w:rFonts w:ascii="Century Schoolbook" w:eastAsia="Calibri" w:hAnsi="Century Schoolbook" w:cs="Times New Roman"/>
          <w:sz w:val="26"/>
          <w:szCs w:val="26"/>
        </w:rPr>
        <w:t>’</w:t>
      </w:r>
      <w:r w:rsidR="00EB5D4F" w:rsidRPr="0057700D">
        <w:rPr>
          <w:rFonts w:ascii="Century Schoolbook" w:eastAsia="Calibri" w:hAnsi="Century Schoolbook" w:cs="Times New Roman"/>
          <w:sz w:val="26"/>
          <w:szCs w:val="26"/>
        </w:rPr>
        <w:t xml:space="preserve">s reliance on </w:t>
      </w:r>
      <w:r w:rsidR="00EB5D4F" w:rsidRPr="0057700D">
        <w:rPr>
          <w:rFonts w:ascii="Century Schoolbook" w:eastAsia="Calibri" w:hAnsi="Century Schoolbook" w:cs="Times New Roman"/>
          <w:i/>
          <w:iCs/>
          <w:sz w:val="26"/>
          <w:szCs w:val="26"/>
        </w:rPr>
        <w:t xml:space="preserve">Chavez </w:t>
      </w:r>
      <w:r w:rsidR="00EB5D4F" w:rsidRPr="0057700D">
        <w:rPr>
          <w:rFonts w:ascii="Century Schoolbook" w:eastAsia="Calibri" w:hAnsi="Century Schoolbook" w:cs="Times New Roman"/>
          <w:sz w:val="26"/>
          <w:szCs w:val="26"/>
        </w:rPr>
        <w:t xml:space="preserve">was inapt.  </w:t>
      </w:r>
      <w:r w:rsidR="00FF372D" w:rsidRPr="0057700D">
        <w:rPr>
          <w:rFonts w:ascii="Century Schoolbook" w:eastAsia="Calibri" w:hAnsi="Century Schoolbook" w:cs="Times New Roman"/>
          <w:sz w:val="26"/>
          <w:szCs w:val="26"/>
        </w:rPr>
        <w:t>A</w:t>
      </w:r>
      <w:r w:rsidR="001C5034" w:rsidRPr="0057700D">
        <w:rPr>
          <w:rFonts w:ascii="Century Schoolbook" w:eastAsia="Calibri" w:hAnsi="Century Schoolbook" w:cs="Times New Roman"/>
          <w:sz w:val="26"/>
          <w:szCs w:val="26"/>
        </w:rPr>
        <w:t xml:space="preserve"> </w:t>
      </w:r>
      <w:r w:rsidR="00AC4DAA" w:rsidRPr="0057700D">
        <w:rPr>
          <w:rFonts w:ascii="Century Schoolbook" w:eastAsia="Calibri" w:hAnsi="Century Schoolbook" w:cs="Times New Roman"/>
          <w:sz w:val="26"/>
          <w:szCs w:val="26"/>
        </w:rPr>
        <w:t xml:space="preserve">statistical </w:t>
      </w:r>
      <w:r w:rsidR="003C2A53" w:rsidRPr="0057700D">
        <w:rPr>
          <w:rFonts w:ascii="Century Schoolbook" w:eastAsia="Calibri" w:hAnsi="Century Schoolbook" w:cs="Times New Roman"/>
          <w:sz w:val="26"/>
          <w:szCs w:val="26"/>
        </w:rPr>
        <w:t xml:space="preserve">standard set in </w:t>
      </w:r>
      <w:r w:rsidR="007441EF" w:rsidRPr="0057700D">
        <w:rPr>
          <w:rFonts w:ascii="Century Schoolbook" w:eastAsia="Calibri" w:hAnsi="Century Schoolbook" w:cs="Times New Roman"/>
          <w:sz w:val="26"/>
          <w:szCs w:val="26"/>
        </w:rPr>
        <w:t xml:space="preserve">a </w:t>
      </w:r>
      <w:r w:rsidR="00637B70" w:rsidRPr="0057700D">
        <w:rPr>
          <w:rFonts w:ascii="Century Schoolbook" w:eastAsia="Calibri" w:hAnsi="Century Schoolbook" w:cs="Times New Roman"/>
          <w:sz w:val="26"/>
          <w:szCs w:val="26"/>
        </w:rPr>
        <w:t xml:space="preserve">civil class action seeking damages is </w:t>
      </w:r>
      <w:r w:rsidR="00872C6E" w:rsidRPr="0057700D">
        <w:rPr>
          <w:rFonts w:ascii="Century Schoolbook" w:eastAsia="Calibri" w:hAnsi="Century Schoolbook" w:cs="Times New Roman"/>
          <w:sz w:val="26"/>
          <w:szCs w:val="26"/>
        </w:rPr>
        <w:t>not appropriate or fair in the case of an in</w:t>
      </w:r>
      <w:r w:rsidR="00CD3848" w:rsidRPr="0057700D">
        <w:rPr>
          <w:rFonts w:ascii="Century Schoolbook" w:eastAsia="Calibri" w:hAnsi="Century Schoolbook" w:cs="Times New Roman"/>
          <w:sz w:val="26"/>
          <w:szCs w:val="26"/>
        </w:rPr>
        <w:t xml:space="preserve">dividual, indigent </w:t>
      </w:r>
      <w:r w:rsidR="00872C6E" w:rsidRPr="0057700D">
        <w:rPr>
          <w:rFonts w:ascii="Century Schoolbook" w:eastAsia="Calibri" w:hAnsi="Century Schoolbook" w:cs="Times New Roman"/>
          <w:sz w:val="26"/>
          <w:szCs w:val="26"/>
        </w:rPr>
        <w:t>defendant like Mr. Johnson</w:t>
      </w:r>
      <w:r w:rsidR="009F5B39" w:rsidRPr="0057700D">
        <w:rPr>
          <w:rFonts w:ascii="Century Schoolbook" w:eastAsia="Calibri" w:hAnsi="Century Schoolbook" w:cs="Times New Roman"/>
          <w:sz w:val="26"/>
          <w:szCs w:val="26"/>
        </w:rPr>
        <w:t>.</w:t>
      </w:r>
      <w:r w:rsidR="00AC4DAA" w:rsidRPr="0057700D">
        <w:rPr>
          <w:rFonts w:ascii="Century Schoolbook" w:eastAsia="Calibri" w:hAnsi="Century Schoolbook" w:cs="Times New Roman"/>
          <w:sz w:val="26"/>
          <w:szCs w:val="26"/>
        </w:rPr>
        <w:t xml:space="preserve">  </w:t>
      </w:r>
      <w:r w:rsidR="00FF372D" w:rsidRPr="0057700D">
        <w:rPr>
          <w:rFonts w:ascii="Century Schoolbook" w:eastAsia="Calibri" w:hAnsi="Century Schoolbook" w:cs="Times New Roman"/>
          <w:sz w:val="26"/>
          <w:szCs w:val="26"/>
        </w:rPr>
        <w:t>Further, N</w:t>
      </w:r>
      <w:r w:rsidR="00AC4DAA" w:rsidRPr="0057700D">
        <w:rPr>
          <w:rFonts w:ascii="Century Schoolbook" w:eastAsia="Calibri" w:hAnsi="Century Schoolbook" w:cs="Times New Roman"/>
          <w:sz w:val="26"/>
          <w:szCs w:val="26"/>
        </w:rPr>
        <w:t xml:space="preserve">orth Carolina’s </w:t>
      </w:r>
      <w:r w:rsidR="00C52C41" w:rsidRPr="0057700D">
        <w:rPr>
          <w:rFonts w:ascii="Century Schoolbook" w:eastAsia="Calibri" w:hAnsi="Century Schoolbook" w:cs="Times New Roman"/>
          <w:sz w:val="26"/>
          <w:szCs w:val="26"/>
        </w:rPr>
        <w:t xml:space="preserve">comprehensive </w:t>
      </w:r>
      <w:r w:rsidR="00926300" w:rsidRPr="0057700D">
        <w:rPr>
          <w:rFonts w:ascii="Century Schoolbook" w:eastAsia="Calibri" w:hAnsi="Century Schoolbook" w:cs="Times New Roman"/>
          <w:sz w:val="26"/>
          <w:szCs w:val="26"/>
        </w:rPr>
        <w:t xml:space="preserve">traffic stop data is exactly the kind the </w:t>
      </w:r>
      <w:r w:rsidR="00926300" w:rsidRPr="0057700D">
        <w:rPr>
          <w:rFonts w:ascii="Century Schoolbook" w:eastAsia="Calibri" w:hAnsi="Century Schoolbook" w:cs="Times New Roman"/>
          <w:i/>
          <w:iCs/>
          <w:sz w:val="26"/>
          <w:szCs w:val="26"/>
        </w:rPr>
        <w:t xml:space="preserve">Chavez </w:t>
      </w:r>
      <w:r w:rsidR="00926300" w:rsidRPr="0057700D">
        <w:rPr>
          <w:rFonts w:ascii="Century Schoolbook" w:eastAsia="Calibri" w:hAnsi="Century Schoolbook" w:cs="Times New Roman"/>
          <w:sz w:val="26"/>
          <w:szCs w:val="26"/>
        </w:rPr>
        <w:t>opinion found lacking</w:t>
      </w:r>
      <w:r w:rsidR="003F1A25" w:rsidRPr="0057700D">
        <w:rPr>
          <w:rFonts w:ascii="Century Schoolbook" w:eastAsia="Calibri" w:hAnsi="Century Schoolbook" w:cs="Times New Roman"/>
          <w:sz w:val="26"/>
          <w:szCs w:val="26"/>
        </w:rPr>
        <w:t xml:space="preserve">.  The </w:t>
      </w:r>
      <w:r w:rsidR="003F1A25" w:rsidRPr="0057700D">
        <w:rPr>
          <w:rFonts w:ascii="Century Schoolbook" w:eastAsia="Calibri" w:hAnsi="Century Schoolbook" w:cs="Times New Roman"/>
          <w:i/>
          <w:iCs/>
          <w:sz w:val="26"/>
          <w:szCs w:val="26"/>
        </w:rPr>
        <w:t>Chavez</w:t>
      </w:r>
      <w:r w:rsidR="003F1A25" w:rsidRPr="0057700D">
        <w:rPr>
          <w:rFonts w:ascii="Century Schoolbook" w:eastAsia="Calibri" w:hAnsi="Century Schoolbook" w:cs="Times New Roman"/>
          <w:sz w:val="26"/>
          <w:szCs w:val="26"/>
        </w:rPr>
        <w:t xml:space="preserve"> </w:t>
      </w:r>
      <w:r w:rsidR="003F1A25" w:rsidRPr="0057700D">
        <w:rPr>
          <w:rFonts w:ascii="Century Schoolbook" w:eastAsia="Calibri" w:hAnsi="Century Schoolbook" w:cs="Times New Roman"/>
          <w:sz w:val="26"/>
          <w:szCs w:val="26"/>
        </w:rPr>
        <w:lastRenderedPageBreak/>
        <w:t xml:space="preserve">opinion </w:t>
      </w:r>
      <w:r w:rsidR="00146E1C" w:rsidRPr="0057700D">
        <w:rPr>
          <w:rFonts w:ascii="Century Schoolbook" w:eastAsia="Calibri" w:hAnsi="Century Schoolbook" w:cs="Times New Roman"/>
          <w:sz w:val="26"/>
          <w:szCs w:val="26"/>
        </w:rPr>
        <w:t>criti</w:t>
      </w:r>
      <w:r w:rsidR="00716CD4" w:rsidRPr="0057700D">
        <w:rPr>
          <w:rFonts w:ascii="Century Schoolbook" w:eastAsia="Calibri" w:hAnsi="Century Schoolbook" w:cs="Times New Roman"/>
          <w:sz w:val="26"/>
          <w:szCs w:val="26"/>
        </w:rPr>
        <w:t xml:space="preserve">cized </w:t>
      </w:r>
      <w:r w:rsidR="00146E1C" w:rsidRPr="0057700D">
        <w:rPr>
          <w:rFonts w:ascii="Century Schoolbook" w:eastAsia="Calibri" w:hAnsi="Century Schoolbook" w:cs="Times New Roman"/>
          <w:sz w:val="26"/>
          <w:szCs w:val="26"/>
        </w:rPr>
        <w:t xml:space="preserve">the data </w:t>
      </w:r>
      <w:r w:rsidR="00716CD4" w:rsidRPr="0057700D">
        <w:rPr>
          <w:rFonts w:ascii="Century Schoolbook" w:eastAsia="Calibri" w:hAnsi="Century Schoolbook" w:cs="Times New Roman"/>
          <w:sz w:val="26"/>
          <w:szCs w:val="26"/>
        </w:rPr>
        <w:t xml:space="preserve">offered </w:t>
      </w:r>
      <w:r w:rsidR="00146E1C" w:rsidRPr="0057700D">
        <w:rPr>
          <w:rFonts w:ascii="Century Schoolbook" w:eastAsia="Calibri" w:hAnsi="Century Schoolbook" w:cs="Times New Roman"/>
          <w:sz w:val="26"/>
          <w:szCs w:val="26"/>
        </w:rPr>
        <w:t>because it was not “compiled for every stop” and did not “comprise a … regular sample of motorists stopped” by officer</w:t>
      </w:r>
      <w:r w:rsidR="00015604" w:rsidRPr="0057700D">
        <w:rPr>
          <w:rFonts w:ascii="Century Schoolbook" w:eastAsia="Calibri" w:hAnsi="Century Schoolbook" w:cs="Times New Roman"/>
          <w:sz w:val="26"/>
          <w:szCs w:val="26"/>
        </w:rPr>
        <w:t>s</w:t>
      </w:r>
      <w:r w:rsidR="00146E1C" w:rsidRPr="0057700D">
        <w:rPr>
          <w:rFonts w:ascii="Century Schoolbook" w:eastAsia="Calibri" w:hAnsi="Century Schoolbook" w:cs="Times New Roman"/>
          <w:sz w:val="26"/>
          <w:szCs w:val="26"/>
        </w:rPr>
        <w:t xml:space="preserve">.  </w:t>
      </w:r>
      <w:r w:rsidR="00146E1C" w:rsidRPr="0057700D">
        <w:rPr>
          <w:rFonts w:ascii="Century Schoolbook" w:eastAsia="Calibri" w:hAnsi="Century Schoolbook" w:cs="Times New Roman"/>
          <w:i/>
          <w:iCs/>
          <w:sz w:val="26"/>
          <w:szCs w:val="26"/>
        </w:rPr>
        <w:t xml:space="preserve">Id. </w:t>
      </w:r>
      <w:r w:rsidR="00146E1C" w:rsidRPr="0057700D">
        <w:rPr>
          <w:rFonts w:ascii="Century Schoolbook" w:eastAsia="Calibri" w:hAnsi="Century Schoolbook" w:cs="Times New Roman"/>
          <w:sz w:val="26"/>
          <w:szCs w:val="26"/>
        </w:rPr>
        <w:t>at 641</w:t>
      </w:r>
      <w:r w:rsidR="00825D98" w:rsidRPr="0057700D">
        <w:rPr>
          <w:rFonts w:ascii="Century Schoolbook" w:eastAsia="Calibri" w:hAnsi="Century Schoolbook" w:cs="Times New Roman"/>
          <w:sz w:val="26"/>
          <w:szCs w:val="26"/>
        </w:rPr>
        <w:fldChar w:fldCharType="begin"/>
      </w:r>
      <w:r w:rsidR="00825D98" w:rsidRPr="0057700D">
        <w:instrText xml:space="preserve"> TA \s "Chavez v. Ill. State Police, 251 F.3d 612 (7th Cir. 2001)" </w:instrText>
      </w:r>
      <w:r w:rsidR="00825D98" w:rsidRPr="0057700D">
        <w:rPr>
          <w:rFonts w:ascii="Century Schoolbook" w:eastAsia="Calibri" w:hAnsi="Century Schoolbook" w:cs="Times New Roman"/>
          <w:sz w:val="26"/>
          <w:szCs w:val="26"/>
        </w:rPr>
        <w:fldChar w:fldCharType="end"/>
      </w:r>
      <w:r w:rsidR="00146E1C" w:rsidRPr="0057700D">
        <w:rPr>
          <w:rFonts w:ascii="Century Schoolbook" w:eastAsia="Calibri" w:hAnsi="Century Schoolbook" w:cs="Times New Roman"/>
          <w:sz w:val="26"/>
          <w:szCs w:val="26"/>
        </w:rPr>
        <w:t>.</w:t>
      </w:r>
      <w:r w:rsidR="00630C5E" w:rsidRPr="0057700D">
        <w:rPr>
          <w:rFonts w:ascii="Century Schoolbook" w:eastAsia="Calibri" w:hAnsi="Century Schoolbook" w:cs="Times New Roman"/>
          <w:sz w:val="26"/>
          <w:szCs w:val="26"/>
        </w:rPr>
        <w:t xml:space="preserve">  </w:t>
      </w:r>
      <w:r w:rsidR="00ED6C80" w:rsidRPr="0057700D">
        <w:rPr>
          <w:rFonts w:ascii="Century Schoolbook" w:eastAsia="Calibri" w:hAnsi="Century Schoolbook" w:cs="Times New Roman"/>
          <w:sz w:val="26"/>
          <w:szCs w:val="26"/>
        </w:rPr>
        <w:t xml:space="preserve">It held </w:t>
      </w:r>
      <w:r w:rsidR="00F03AA6" w:rsidRPr="0057700D">
        <w:rPr>
          <w:rFonts w:ascii="Century Schoolbook" w:eastAsia="Calibri" w:hAnsi="Century Schoolbook" w:cs="Times New Roman"/>
          <w:sz w:val="26"/>
          <w:szCs w:val="26"/>
        </w:rPr>
        <w:t>the data was inaccurate and therefore un</w:t>
      </w:r>
      <w:r w:rsidR="00961EF1" w:rsidRPr="0057700D">
        <w:rPr>
          <w:rFonts w:ascii="Century Schoolbook" w:eastAsia="Calibri" w:hAnsi="Century Schoolbook" w:cs="Times New Roman"/>
          <w:sz w:val="26"/>
          <w:szCs w:val="26"/>
        </w:rPr>
        <w:t>r</w:t>
      </w:r>
      <w:r w:rsidR="00B65348" w:rsidRPr="0057700D">
        <w:rPr>
          <w:rFonts w:ascii="Century Schoolbook" w:eastAsia="Calibri" w:hAnsi="Century Schoolbook" w:cs="Times New Roman"/>
          <w:sz w:val="26"/>
          <w:szCs w:val="26"/>
        </w:rPr>
        <w:t>eliable</w:t>
      </w:r>
      <w:r w:rsidR="00D67F98" w:rsidRPr="0057700D">
        <w:rPr>
          <w:rFonts w:ascii="Century Schoolbook" w:eastAsia="Calibri" w:hAnsi="Century Schoolbook" w:cs="Times New Roman"/>
          <w:sz w:val="26"/>
          <w:szCs w:val="26"/>
        </w:rPr>
        <w:t xml:space="preserve">:  </w:t>
      </w:r>
      <w:r w:rsidR="00C85B70" w:rsidRPr="0057700D">
        <w:rPr>
          <w:rFonts w:ascii="Century Schoolbook" w:eastAsia="Calibri" w:hAnsi="Century Schoolbook" w:cs="Times New Roman"/>
          <w:sz w:val="26"/>
          <w:szCs w:val="26"/>
        </w:rPr>
        <w:t>some data</w:t>
      </w:r>
      <w:r w:rsidR="004317F9" w:rsidRPr="0057700D">
        <w:rPr>
          <w:rFonts w:ascii="Century Schoolbook" w:eastAsia="Calibri" w:hAnsi="Century Schoolbook" w:cs="Times New Roman"/>
          <w:sz w:val="26"/>
          <w:szCs w:val="26"/>
        </w:rPr>
        <w:t xml:space="preserve"> was generated from partial</w:t>
      </w:r>
      <w:r w:rsidR="00D67F98" w:rsidRPr="0057700D">
        <w:rPr>
          <w:rFonts w:ascii="Century Schoolbook" w:eastAsia="Calibri" w:hAnsi="Century Schoolbook" w:cs="Times New Roman"/>
          <w:sz w:val="26"/>
          <w:szCs w:val="26"/>
        </w:rPr>
        <w:t>, random, or undefined samples</w:t>
      </w:r>
      <w:r w:rsidR="00FF4FBC" w:rsidRPr="0057700D">
        <w:rPr>
          <w:rFonts w:ascii="Century Schoolbook" w:eastAsia="Calibri" w:hAnsi="Century Schoolbook" w:cs="Times New Roman"/>
          <w:sz w:val="26"/>
          <w:szCs w:val="26"/>
        </w:rPr>
        <w:t xml:space="preserve">; </w:t>
      </w:r>
      <w:r w:rsidR="00BA661C" w:rsidRPr="0057700D">
        <w:rPr>
          <w:rFonts w:ascii="Century Schoolbook" w:eastAsia="Calibri" w:hAnsi="Century Schoolbook" w:cs="Times New Roman"/>
          <w:sz w:val="26"/>
          <w:szCs w:val="26"/>
        </w:rPr>
        <w:t xml:space="preserve">and </w:t>
      </w:r>
      <w:r w:rsidR="00FF4FBC" w:rsidRPr="0057700D">
        <w:rPr>
          <w:rFonts w:ascii="Century Schoolbook" w:eastAsia="Calibri" w:hAnsi="Century Schoolbook" w:cs="Times New Roman"/>
          <w:sz w:val="26"/>
          <w:szCs w:val="26"/>
        </w:rPr>
        <w:t xml:space="preserve">some data </w:t>
      </w:r>
      <w:r w:rsidR="00BA661C" w:rsidRPr="0057700D">
        <w:rPr>
          <w:rFonts w:ascii="Century Schoolbook" w:eastAsia="Calibri" w:hAnsi="Century Schoolbook" w:cs="Times New Roman"/>
          <w:sz w:val="26"/>
          <w:szCs w:val="26"/>
        </w:rPr>
        <w:t xml:space="preserve">was not useful because it </w:t>
      </w:r>
      <w:r w:rsidR="00FF4FBC" w:rsidRPr="0057700D">
        <w:rPr>
          <w:rFonts w:ascii="Century Schoolbook" w:eastAsia="Calibri" w:hAnsi="Century Schoolbook" w:cs="Times New Roman"/>
          <w:sz w:val="26"/>
          <w:szCs w:val="26"/>
        </w:rPr>
        <w:t>did not include the race of the drivers</w:t>
      </w:r>
      <w:r w:rsidR="00961EF1" w:rsidRPr="0057700D">
        <w:rPr>
          <w:rFonts w:ascii="Century Schoolbook" w:eastAsia="Calibri" w:hAnsi="Century Schoolbook" w:cs="Times New Roman"/>
          <w:sz w:val="26"/>
          <w:szCs w:val="26"/>
        </w:rPr>
        <w:t xml:space="preserve">.  </w:t>
      </w:r>
      <w:r w:rsidR="00D5008D" w:rsidRPr="0057700D">
        <w:rPr>
          <w:rFonts w:ascii="Century Schoolbook" w:eastAsia="Calibri" w:hAnsi="Century Schoolbook" w:cs="Times New Roman"/>
          <w:i/>
          <w:iCs/>
          <w:sz w:val="26"/>
          <w:szCs w:val="26"/>
        </w:rPr>
        <w:t>Id.</w:t>
      </w:r>
      <w:r w:rsidR="00382484" w:rsidRPr="0057700D">
        <w:rPr>
          <w:rFonts w:ascii="Century Schoolbook" w:eastAsia="Calibri" w:hAnsi="Century Schoolbook" w:cs="Times New Roman"/>
          <w:i/>
          <w:iCs/>
          <w:sz w:val="26"/>
          <w:szCs w:val="26"/>
        </w:rPr>
        <w:t xml:space="preserve"> </w:t>
      </w:r>
      <w:r w:rsidR="00382484" w:rsidRPr="0057700D">
        <w:rPr>
          <w:rFonts w:ascii="Century Schoolbook" w:eastAsia="Calibri" w:hAnsi="Century Schoolbook" w:cs="Times New Roman"/>
          <w:sz w:val="26"/>
          <w:szCs w:val="26"/>
        </w:rPr>
        <w:t>at 642-43</w:t>
      </w:r>
      <w:r w:rsidR="00825D98" w:rsidRPr="0057700D">
        <w:rPr>
          <w:rFonts w:ascii="Century Schoolbook" w:eastAsia="Calibri" w:hAnsi="Century Schoolbook" w:cs="Times New Roman"/>
          <w:sz w:val="26"/>
          <w:szCs w:val="26"/>
        </w:rPr>
        <w:fldChar w:fldCharType="begin"/>
      </w:r>
      <w:r w:rsidR="00825D98" w:rsidRPr="0057700D">
        <w:instrText xml:space="preserve"> TA \s "Chavez v. Ill. State Police, 251 F.3d 612 (7th Cir. 2001)" </w:instrText>
      </w:r>
      <w:r w:rsidR="00825D98" w:rsidRPr="0057700D">
        <w:rPr>
          <w:rFonts w:ascii="Century Schoolbook" w:eastAsia="Calibri" w:hAnsi="Century Schoolbook" w:cs="Times New Roman"/>
          <w:sz w:val="26"/>
          <w:szCs w:val="26"/>
        </w:rPr>
        <w:fldChar w:fldCharType="end"/>
      </w:r>
      <w:r w:rsidR="00382484" w:rsidRPr="0057700D">
        <w:rPr>
          <w:rFonts w:ascii="Century Schoolbook" w:eastAsia="Calibri" w:hAnsi="Century Schoolbook" w:cs="Times New Roman"/>
          <w:sz w:val="26"/>
          <w:szCs w:val="26"/>
        </w:rPr>
        <w:t>.</w:t>
      </w:r>
      <w:r w:rsidR="00ED6C80" w:rsidRPr="0057700D">
        <w:rPr>
          <w:rFonts w:ascii="Century Schoolbook" w:eastAsia="Calibri" w:hAnsi="Century Schoolbook" w:cs="Times New Roman"/>
          <w:sz w:val="26"/>
          <w:szCs w:val="26"/>
        </w:rPr>
        <w:t xml:space="preserve">  </w:t>
      </w:r>
      <w:r w:rsidR="001B7388" w:rsidRPr="0057700D">
        <w:rPr>
          <w:rFonts w:ascii="Century Schoolbook" w:eastAsia="Calibri" w:hAnsi="Century Schoolbook" w:cs="Times New Roman"/>
          <w:sz w:val="26"/>
          <w:szCs w:val="26"/>
        </w:rPr>
        <w:t>Th</w:t>
      </w:r>
      <w:r w:rsidR="00293108" w:rsidRPr="0057700D">
        <w:rPr>
          <w:rFonts w:ascii="Century Schoolbook" w:eastAsia="Calibri" w:hAnsi="Century Schoolbook" w:cs="Times New Roman"/>
          <w:sz w:val="26"/>
          <w:szCs w:val="26"/>
        </w:rPr>
        <w:t>ese concerns were not present with Mr. Johnson’s data</w:t>
      </w:r>
      <w:r w:rsidR="00E62BB6" w:rsidRPr="0057700D">
        <w:rPr>
          <w:rFonts w:ascii="Century Schoolbook" w:eastAsia="Calibri" w:hAnsi="Century Schoolbook" w:cs="Times New Roman"/>
          <w:sz w:val="26"/>
          <w:szCs w:val="26"/>
        </w:rPr>
        <w:t xml:space="preserve">: </w:t>
      </w:r>
      <w:r w:rsidR="00126DC0" w:rsidRPr="0057700D">
        <w:rPr>
          <w:rFonts w:ascii="Century Schoolbook" w:eastAsia="Calibri" w:hAnsi="Century Schoolbook" w:cs="Times New Roman"/>
          <w:sz w:val="26"/>
          <w:szCs w:val="26"/>
        </w:rPr>
        <w:t xml:space="preserve"> pursuant to our statute, the State collects data on every stop by officers in jurisdictions of over 10,000 people</w:t>
      </w:r>
      <w:r w:rsidR="00916593" w:rsidRPr="0057700D">
        <w:rPr>
          <w:rFonts w:ascii="Century Schoolbook" w:eastAsia="Calibri" w:hAnsi="Century Schoolbook" w:cs="Times New Roman"/>
          <w:sz w:val="26"/>
          <w:szCs w:val="26"/>
        </w:rPr>
        <w:t xml:space="preserve"> and includes the race of every driver.  </w:t>
      </w:r>
      <w:r w:rsidR="004F4474" w:rsidRPr="0057700D">
        <w:rPr>
          <w:rFonts w:ascii="Century Schoolbook" w:eastAsia="Calibri" w:hAnsi="Century Schoolbook" w:cs="Times New Roman"/>
          <w:sz w:val="26"/>
          <w:szCs w:val="26"/>
        </w:rPr>
        <w:t>N.C.G.S. §</w:t>
      </w:r>
      <w:r w:rsidR="00293108" w:rsidRPr="0057700D">
        <w:rPr>
          <w:rFonts w:ascii="Century Schoolbook" w:eastAsia="Calibri" w:hAnsi="Century Schoolbook" w:cs="Times New Roman"/>
          <w:sz w:val="26"/>
          <w:szCs w:val="26"/>
        </w:rPr>
        <w:t xml:space="preserve"> </w:t>
      </w:r>
      <w:r w:rsidR="00DA4FF2" w:rsidRPr="0057700D">
        <w:rPr>
          <w:rFonts w:ascii="Century Schoolbook" w:eastAsia="Calibri" w:hAnsi="Century Schoolbook" w:cs="Times New Roman"/>
          <w:sz w:val="26"/>
          <w:szCs w:val="26"/>
        </w:rPr>
        <w:t>143B-</w:t>
      </w:r>
      <w:r w:rsidR="004F4474" w:rsidRPr="0057700D">
        <w:rPr>
          <w:rFonts w:ascii="Century Schoolbook" w:eastAsia="Calibri" w:hAnsi="Century Schoolbook" w:cs="Times New Roman"/>
          <w:sz w:val="26"/>
          <w:szCs w:val="26"/>
        </w:rPr>
        <w:t>903</w:t>
      </w:r>
      <w:r w:rsidR="00825D98" w:rsidRPr="0057700D">
        <w:rPr>
          <w:rFonts w:ascii="Century Schoolbook" w:eastAsia="Calibri" w:hAnsi="Century Schoolbook" w:cs="Times New Roman"/>
          <w:sz w:val="26"/>
          <w:szCs w:val="26"/>
        </w:rPr>
        <w:fldChar w:fldCharType="begin"/>
      </w:r>
      <w:r w:rsidR="00825D98" w:rsidRPr="0057700D">
        <w:instrText xml:space="preserve"> TA \s "N.C.G.S. § 143B-903" </w:instrText>
      </w:r>
      <w:r w:rsidR="00825D98" w:rsidRPr="0057700D">
        <w:rPr>
          <w:rFonts w:ascii="Century Schoolbook" w:eastAsia="Calibri" w:hAnsi="Century Schoolbook" w:cs="Times New Roman"/>
          <w:sz w:val="26"/>
          <w:szCs w:val="26"/>
        </w:rPr>
        <w:fldChar w:fldCharType="end"/>
      </w:r>
      <w:r w:rsidR="004F4474" w:rsidRPr="0057700D">
        <w:rPr>
          <w:rFonts w:ascii="Century Schoolbook" w:eastAsia="Calibri" w:hAnsi="Century Schoolbook" w:cs="Times New Roman"/>
          <w:sz w:val="26"/>
          <w:szCs w:val="26"/>
        </w:rPr>
        <w:t>.</w:t>
      </w:r>
    </w:p>
    <w:p w14:paraId="484E6F80" w14:textId="69344743" w:rsidR="00D91B7F" w:rsidRPr="0057700D" w:rsidRDefault="00D91B7F" w:rsidP="001B7388">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4.  </w:t>
      </w:r>
      <w:r w:rsidRPr="0057700D">
        <w:rPr>
          <w:rFonts w:ascii="Century Schoolbook" w:eastAsia="Calibri" w:hAnsi="Century Schoolbook" w:cs="Times New Roman"/>
          <w:sz w:val="26"/>
          <w:szCs w:val="26"/>
          <w:u w:val="single"/>
        </w:rPr>
        <w:t xml:space="preserve">The panel’s </w:t>
      </w:r>
      <w:r w:rsidR="00353058" w:rsidRPr="0057700D">
        <w:rPr>
          <w:rFonts w:ascii="Century Schoolbook" w:eastAsia="Calibri" w:hAnsi="Century Schoolbook" w:cs="Times New Roman"/>
          <w:sz w:val="26"/>
          <w:szCs w:val="26"/>
          <w:u w:val="single"/>
        </w:rPr>
        <w:t xml:space="preserve">issues with the </w:t>
      </w:r>
      <w:r w:rsidR="003C1525" w:rsidRPr="0057700D">
        <w:rPr>
          <w:rFonts w:ascii="Century Schoolbook" w:eastAsia="Calibri" w:hAnsi="Century Schoolbook" w:cs="Times New Roman"/>
          <w:sz w:val="26"/>
          <w:szCs w:val="26"/>
          <w:u w:val="single"/>
        </w:rPr>
        <w:t xml:space="preserve">data </w:t>
      </w:r>
      <w:r w:rsidR="00353058" w:rsidRPr="0057700D">
        <w:rPr>
          <w:rFonts w:ascii="Century Schoolbook" w:eastAsia="Calibri" w:hAnsi="Century Schoolbook" w:cs="Times New Roman"/>
          <w:sz w:val="26"/>
          <w:szCs w:val="26"/>
          <w:u w:val="single"/>
        </w:rPr>
        <w:t>were</w:t>
      </w:r>
      <w:r w:rsidRPr="0057700D">
        <w:rPr>
          <w:rFonts w:ascii="Century Schoolbook" w:eastAsia="Calibri" w:hAnsi="Century Schoolbook" w:cs="Times New Roman"/>
          <w:sz w:val="26"/>
          <w:szCs w:val="26"/>
          <w:u w:val="single"/>
        </w:rPr>
        <w:t xml:space="preserve"> </w:t>
      </w:r>
      <w:proofErr w:type="gramStart"/>
      <w:r w:rsidR="003C1525" w:rsidRPr="0057700D">
        <w:rPr>
          <w:rFonts w:ascii="Century Schoolbook" w:eastAsia="Calibri" w:hAnsi="Century Schoolbook" w:cs="Times New Roman"/>
          <w:sz w:val="26"/>
          <w:szCs w:val="26"/>
          <w:u w:val="single"/>
        </w:rPr>
        <w:t>off-base</w:t>
      </w:r>
      <w:proofErr w:type="gramEnd"/>
      <w:r w:rsidR="003C1525" w:rsidRPr="0057700D">
        <w:rPr>
          <w:rFonts w:ascii="Century Schoolbook" w:eastAsia="Calibri" w:hAnsi="Century Schoolbook" w:cs="Times New Roman"/>
          <w:sz w:val="26"/>
          <w:szCs w:val="26"/>
        </w:rPr>
        <w:t>.</w:t>
      </w:r>
      <w:r w:rsidR="008F50D9" w:rsidRPr="0057700D">
        <w:rPr>
          <w:rFonts w:ascii="Century Schoolbook" w:eastAsia="Calibri" w:hAnsi="Century Schoolbook" w:cs="Times New Roman"/>
          <w:sz w:val="26"/>
          <w:szCs w:val="26"/>
        </w:rPr>
        <w:t xml:space="preserve">  </w:t>
      </w:r>
    </w:p>
    <w:p w14:paraId="25F6E17B" w14:textId="212ADA9B" w:rsidR="00AE14BB" w:rsidRPr="0057700D" w:rsidRDefault="00FF372D" w:rsidP="0064641B">
      <w:pPr>
        <w:spacing w:after="0" w:line="480" w:lineRule="auto"/>
        <w:ind w:firstLine="720"/>
        <w:rPr>
          <w:rFonts w:ascii="Century Schoolbook" w:eastAsia="Calibri" w:hAnsi="Century Schoolbook" w:cs="Times New Roman"/>
          <w:sz w:val="26"/>
          <w:szCs w:val="26"/>
          <w:highlight w:val="yellow"/>
        </w:rPr>
      </w:pPr>
      <w:r w:rsidRPr="0057700D">
        <w:rPr>
          <w:rFonts w:ascii="Century Schoolbook" w:eastAsia="Calibri" w:hAnsi="Century Schoolbook" w:cs="Times New Roman"/>
          <w:sz w:val="26"/>
          <w:szCs w:val="26"/>
        </w:rPr>
        <w:t>T</w:t>
      </w:r>
      <w:r w:rsidR="0064641B" w:rsidRPr="0057700D">
        <w:rPr>
          <w:rFonts w:ascii="Century Schoolbook" w:eastAsia="Calibri" w:hAnsi="Century Schoolbook" w:cs="Times New Roman"/>
          <w:sz w:val="26"/>
          <w:szCs w:val="26"/>
        </w:rPr>
        <w:t xml:space="preserve">he panel had two specific </w:t>
      </w:r>
      <w:r w:rsidR="00191068" w:rsidRPr="0057700D">
        <w:rPr>
          <w:rFonts w:ascii="Century Schoolbook" w:eastAsia="Calibri" w:hAnsi="Century Schoolbook" w:cs="Times New Roman"/>
          <w:sz w:val="26"/>
          <w:szCs w:val="26"/>
        </w:rPr>
        <w:t xml:space="preserve">data-related </w:t>
      </w:r>
      <w:r w:rsidR="0064641B" w:rsidRPr="0057700D">
        <w:rPr>
          <w:rFonts w:ascii="Century Schoolbook" w:eastAsia="Calibri" w:hAnsi="Century Schoolbook" w:cs="Times New Roman"/>
          <w:sz w:val="26"/>
          <w:szCs w:val="26"/>
        </w:rPr>
        <w:t>complaints</w:t>
      </w:r>
      <w:r w:rsidR="00134779" w:rsidRPr="0057700D">
        <w:rPr>
          <w:rFonts w:ascii="Century Schoolbook" w:eastAsia="Calibri" w:hAnsi="Century Schoolbook" w:cs="Times New Roman"/>
          <w:sz w:val="26"/>
          <w:szCs w:val="26"/>
        </w:rPr>
        <w:t xml:space="preserve"> with Mr. Johnson’s evidence</w:t>
      </w:r>
      <w:r w:rsidR="004F4474" w:rsidRPr="0057700D">
        <w:rPr>
          <w:rFonts w:ascii="Century Schoolbook" w:eastAsia="Calibri" w:hAnsi="Century Schoolbook" w:cs="Times New Roman"/>
          <w:sz w:val="26"/>
          <w:szCs w:val="26"/>
        </w:rPr>
        <w:t>,</w:t>
      </w:r>
      <w:r w:rsidR="005E7387" w:rsidRPr="0057700D">
        <w:rPr>
          <w:rFonts w:ascii="Century Schoolbook" w:eastAsia="Calibri" w:hAnsi="Century Schoolbook" w:cs="Times New Roman"/>
          <w:sz w:val="26"/>
          <w:szCs w:val="26"/>
        </w:rPr>
        <w:t xml:space="preserve"> which it used to conclude that Mr. Johnson’s data was inadequate</w:t>
      </w:r>
      <w:r w:rsidR="0064641B" w:rsidRPr="0057700D">
        <w:rPr>
          <w:rFonts w:ascii="Century Schoolbook" w:eastAsia="Calibri" w:hAnsi="Century Schoolbook" w:cs="Times New Roman"/>
          <w:sz w:val="26"/>
          <w:szCs w:val="26"/>
        </w:rPr>
        <w:t xml:space="preserve">.  </w:t>
      </w:r>
      <w:r w:rsidR="005D709D" w:rsidRPr="0057700D">
        <w:rPr>
          <w:rFonts w:ascii="Century Schoolbook" w:eastAsia="Calibri" w:hAnsi="Century Schoolbook" w:cs="Times New Roman"/>
          <w:sz w:val="26"/>
          <w:szCs w:val="26"/>
        </w:rPr>
        <w:t>First</w:t>
      </w:r>
      <w:r w:rsidR="00A86B40" w:rsidRPr="0057700D">
        <w:rPr>
          <w:rFonts w:ascii="Century Schoolbook" w:eastAsia="Calibri" w:hAnsi="Century Schoolbook" w:cs="Times New Roman"/>
          <w:sz w:val="26"/>
          <w:szCs w:val="26"/>
        </w:rPr>
        <w:t>,</w:t>
      </w:r>
      <w:r w:rsidR="0064641B" w:rsidRPr="0057700D">
        <w:rPr>
          <w:rFonts w:ascii="Century Schoolbook" w:eastAsia="Calibri" w:hAnsi="Century Schoolbook" w:cs="Times New Roman"/>
          <w:sz w:val="26"/>
          <w:szCs w:val="26"/>
        </w:rPr>
        <w:t xml:space="preserve"> </w:t>
      </w:r>
      <w:r w:rsidR="005D709D" w:rsidRPr="0057700D">
        <w:rPr>
          <w:rFonts w:ascii="Century Schoolbook" w:eastAsia="Calibri" w:hAnsi="Century Schoolbook" w:cs="Times New Roman"/>
          <w:sz w:val="26"/>
          <w:szCs w:val="26"/>
        </w:rPr>
        <w:t>the panel</w:t>
      </w:r>
      <w:r w:rsidR="002764ED" w:rsidRPr="0057700D">
        <w:rPr>
          <w:rFonts w:ascii="Century Schoolbook" w:eastAsia="Calibri" w:hAnsi="Century Schoolbook" w:cs="Times New Roman"/>
          <w:sz w:val="26"/>
          <w:szCs w:val="26"/>
        </w:rPr>
        <w:t xml:space="preserve"> criticized the lack of </w:t>
      </w:r>
      <w:r w:rsidR="00FD1CA2" w:rsidRPr="0057700D">
        <w:rPr>
          <w:rFonts w:ascii="Century Schoolbook" w:eastAsia="Calibri" w:hAnsi="Century Schoolbook" w:cs="Times New Roman"/>
          <w:sz w:val="26"/>
          <w:szCs w:val="26"/>
        </w:rPr>
        <w:t xml:space="preserve">an “adequate population benchmark from which we can assess the racial compositions of individuals and motorists ‘faced by’ Officer Kuchen.”  </w:t>
      </w:r>
      <w:r w:rsidR="00982A57" w:rsidRPr="0057700D">
        <w:rPr>
          <w:rFonts w:ascii="Century Schoolbook" w:eastAsia="Calibri" w:hAnsi="Century Schoolbook" w:cs="Times New Roman"/>
          <w:sz w:val="26"/>
          <w:szCs w:val="26"/>
        </w:rPr>
        <w:t xml:space="preserve">The panel contended Mr. Johnson should have presented </w:t>
      </w:r>
      <w:r w:rsidR="0040629B" w:rsidRPr="0057700D">
        <w:rPr>
          <w:rFonts w:ascii="Century Schoolbook" w:eastAsia="Calibri" w:hAnsi="Century Schoolbook" w:cs="Times New Roman"/>
          <w:sz w:val="26"/>
          <w:szCs w:val="26"/>
        </w:rPr>
        <w:t xml:space="preserve">data showing the </w:t>
      </w:r>
      <w:r w:rsidR="00982A57" w:rsidRPr="0057700D">
        <w:rPr>
          <w:rFonts w:ascii="Century Schoolbook" w:eastAsia="Calibri" w:hAnsi="Century Schoolbook" w:cs="Times New Roman"/>
          <w:sz w:val="26"/>
          <w:szCs w:val="26"/>
        </w:rPr>
        <w:t xml:space="preserve">racial breakdown of the </w:t>
      </w:r>
      <w:r w:rsidR="00C03D59" w:rsidRPr="0057700D">
        <w:rPr>
          <w:rFonts w:ascii="Century Schoolbook" w:eastAsia="Calibri" w:hAnsi="Century Schoolbook" w:cs="Times New Roman"/>
          <w:sz w:val="26"/>
          <w:szCs w:val="26"/>
        </w:rPr>
        <w:t>s</w:t>
      </w:r>
      <w:r w:rsidR="00982A57" w:rsidRPr="0057700D">
        <w:rPr>
          <w:rFonts w:ascii="Century Schoolbook" w:eastAsia="Calibri" w:hAnsi="Century Schoolbook" w:cs="Times New Roman"/>
          <w:sz w:val="26"/>
          <w:szCs w:val="26"/>
        </w:rPr>
        <w:t>outheast Raleigh police district, rather than citywide data.  (Slip op at 20-21)</w:t>
      </w:r>
    </w:p>
    <w:p w14:paraId="6C7CC25F" w14:textId="2455D5B5" w:rsidR="007B1A8D" w:rsidRPr="0057700D" w:rsidRDefault="00D620F2" w:rsidP="006D3F5E">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Th</w:t>
      </w:r>
      <w:r w:rsidR="006C6333" w:rsidRPr="0057700D">
        <w:rPr>
          <w:rFonts w:ascii="Century Schoolbook" w:eastAsia="Calibri" w:hAnsi="Century Schoolbook" w:cs="Times New Roman"/>
          <w:sz w:val="26"/>
          <w:szCs w:val="26"/>
        </w:rPr>
        <w:t xml:space="preserve">is “benchmark” complaint </w:t>
      </w:r>
      <w:r w:rsidR="00C66261" w:rsidRPr="0057700D">
        <w:rPr>
          <w:rFonts w:ascii="Century Schoolbook" w:eastAsia="Calibri" w:hAnsi="Century Schoolbook" w:cs="Times New Roman"/>
          <w:sz w:val="26"/>
          <w:szCs w:val="26"/>
        </w:rPr>
        <w:t>was improper</w:t>
      </w:r>
      <w:r w:rsidR="003C1525" w:rsidRPr="0057700D">
        <w:rPr>
          <w:rFonts w:ascii="Century Schoolbook" w:eastAsia="Calibri" w:hAnsi="Century Schoolbook" w:cs="Times New Roman"/>
          <w:sz w:val="26"/>
          <w:szCs w:val="26"/>
        </w:rPr>
        <w:t xml:space="preserve"> for several reasons.  </w:t>
      </w:r>
      <w:r w:rsidR="00C03D59" w:rsidRPr="0057700D">
        <w:rPr>
          <w:rFonts w:ascii="Century Schoolbook" w:eastAsia="Calibri" w:hAnsi="Century Schoolbook" w:cs="Times New Roman"/>
          <w:sz w:val="26"/>
          <w:szCs w:val="26"/>
        </w:rPr>
        <w:t xml:space="preserve">Under the reasoning of </w:t>
      </w:r>
      <w:proofErr w:type="spellStart"/>
      <w:r w:rsidR="00C03D59" w:rsidRPr="0057700D">
        <w:rPr>
          <w:rFonts w:ascii="Century Schoolbook" w:eastAsia="Calibri" w:hAnsi="Century Schoolbook" w:cs="Times New Roman"/>
          <w:i/>
          <w:iCs/>
          <w:sz w:val="26"/>
          <w:szCs w:val="26"/>
        </w:rPr>
        <w:t>Crowthers</w:t>
      </w:r>
      <w:proofErr w:type="spellEnd"/>
      <w:r w:rsidR="00C03D59" w:rsidRPr="0057700D">
        <w:rPr>
          <w:rFonts w:ascii="Century Schoolbook" w:eastAsia="Calibri" w:hAnsi="Century Schoolbook" w:cs="Times New Roman"/>
          <w:sz w:val="26"/>
          <w:szCs w:val="26"/>
        </w:rPr>
        <w:t xml:space="preserve">, it was unfair at the prima facie stage for the panel to hold Mr. Johnson responsible for finding and presenting data likely </w:t>
      </w:r>
      <w:r w:rsidR="00C03D59" w:rsidRPr="0057700D">
        <w:rPr>
          <w:rFonts w:ascii="Century Schoolbook" w:eastAsia="Calibri" w:hAnsi="Century Schoolbook" w:cs="Times New Roman"/>
          <w:sz w:val="26"/>
          <w:szCs w:val="26"/>
        </w:rPr>
        <w:lastRenderedPageBreak/>
        <w:t>in the State’s possession.</w:t>
      </w:r>
      <w:r w:rsidR="00580712" w:rsidRPr="0057700D">
        <w:rPr>
          <w:rFonts w:ascii="Century Schoolbook" w:eastAsia="Calibri" w:hAnsi="Century Schoolbook" w:cs="Times New Roman"/>
          <w:sz w:val="26"/>
          <w:szCs w:val="26"/>
        </w:rPr>
        <w:t xml:space="preserve"> </w:t>
      </w:r>
      <w:r w:rsidR="00476A1D" w:rsidRPr="0057700D">
        <w:rPr>
          <w:rFonts w:ascii="Century Schoolbook" w:eastAsia="Calibri" w:hAnsi="Century Schoolbook" w:cs="Times New Roman"/>
          <w:sz w:val="26"/>
          <w:szCs w:val="26"/>
        </w:rPr>
        <w:t xml:space="preserve"> Data showing the racial breakdown of Raleigh’s southeast police district is not readily available.  If a race breakdown by police district exists at all, it would exist in the possession of the police department, which created the districts and polices them daily.  </w:t>
      </w:r>
    </w:p>
    <w:p w14:paraId="1E113D23" w14:textId="5A476608" w:rsidR="00D66192" w:rsidRPr="0057700D" w:rsidRDefault="00476A1D" w:rsidP="00FE69A2">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Moreover, t</w:t>
      </w:r>
      <w:r w:rsidR="003C1525" w:rsidRPr="0057700D">
        <w:rPr>
          <w:rFonts w:ascii="Century Schoolbook" w:eastAsia="Calibri" w:hAnsi="Century Schoolbook" w:cs="Times New Roman"/>
          <w:sz w:val="26"/>
          <w:szCs w:val="26"/>
        </w:rPr>
        <w:t>he</w:t>
      </w:r>
      <w:r w:rsidR="003B3881" w:rsidRPr="0057700D">
        <w:rPr>
          <w:rFonts w:ascii="Century Schoolbook" w:eastAsia="Calibri" w:hAnsi="Century Schoolbook" w:cs="Times New Roman"/>
          <w:sz w:val="26"/>
          <w:szCs w:val="26"/>
        </w:rPr>
        <w:t xml:space="preserve"> panel’s premise </w:t>
      </w:r>
      <w:r w:rsidR="007B1A8D" w:rsidRPr="0057700D">
        <w:rPr>
          <w:rFonts w:ascii="Century Schoolbook" w:eastAsia="Calibri" w:hAnsi="Century Schoolbook" w:cs="Times New Roman"/>
          <w:sz w:val="26"/>
          <w:szCs w:val="26"/>
        </w:rPr>
        <w:t xml:space="preserve">that only southeast district data should have been used </w:t>
      </w:r>
      <w:r w:rsidR="00C03D59" w:rsidRPr="0057700D">
        <w:rPr>
          <w:rFonts w:ascii="Century Schoolbook" w:eastAsia="Calibri" w:hAnsi="Century Schoolbook" w:cs="Times New Roman"/>
          <w:sz w:val="26"/>
          <w:szCs w:val="26"/>
        </w:rPr>
        <w:t xml:space="preserve">for comparison </w:t>
      </w:r>
      <w:r w:rsidR="003B3881" w:rsidRPr="0057700D">
        <w:rPr>
          <w:rFonts w:ascii="Century Schoolbook" w:eastAsia="Calibri" w:hAnsi="Century Schoolbook" w:cs="Times New Roman"/>
          <w:sz w:val="26"/>
          <w:szCs w:val="26"/>
        </w:rPr>
        <w:t xml:space="preserve">is flawed. </w:t>
      </w:r>
      <w:r w:rsidR="007B1A8D" w:rsidRPr="0057700D">
        <w:rPr>
          <w:rFonts w:ascii="Century Schoolbook" w:eastAsia="Calibri" w:hAnsi="Century Schoolbook" w:cs="Times New Roman"/>
          <w:sz w:val="26"/>
          <w:szCs w:val="26"/>
        </w:rPr>
        <w:t xml:space="preserve"> A</w:t>
      </w:r>
      <w:r w:rsidR="003B3881" w:rsidRPr="0057700D">
        <w:rPr>
          <w:rFonts w:ascii="Century Schoolbook" w:eastAsia="Calibri" w:hAnsi="Century Schoolbook" w:cs="Times New Roman"/>
          <w:sz w:val="26"/>
          <w:szCs w:val="26"/>
        </w:rPr>
        <w:t>s a</w:t>
      </w:r>
      <w:r w:rsidR="00F67A18" w:rsidRPr="0057700D">
        <w:rPr>
          <w:rFonts w:ascii="Century Schoolbook" w:eastAsia="Calibri" w:hAnsi="Century Schoolbook" w:cs="Times New Roman"/>
          <w:sz w:val="26"/>
          <w:szCs w:val="26"/>
        </w:rPr>
        <w:t>n initial</w:t>
      </w:r>
      <w:r w:rsidR="003B3881" w:rsidRPr="0057700D">
        <w:rPr>
          <w:rFonts w:ascii="Century Schoolbook" w:eastAsia="Calibri" w:hAnsi="Century Schoolbook" w:cs="Times New Roman"/>
          <w:sz w:val="26"/>
          <w:szCs w:val="26"/>
        </w:rPr>
        <w:t xml:space="preserve"> factual matter, t</w:t>
      </w:r>
      <w:r w:rsidR="006D3F5E" w:rsidRPr="0057700D">
        <w:rPr>
          <w:rFonts w:ascii="Century Schoolbook" w:eastAsia="Calibri" w:hAnsi="Century Schoolbook" w:cs="Times New Roman"/>
          <w:sz w:val="26"/>
          <w:szCs w:val="26"/>
        </w:rPr>
        <w:t>he panel misstate</w:t>
      </w:r>
      <w:r w:rsidR="003C1525" w:rsidRPr="0057700D">
        <w:rPr>
          <w:rFonts w:ascii="Century Schoolbook" w:eastAsia="Calibri" w:hAnsi="Century Schoolbook" w:cs="Times New Roman"/>
          <w:sz w:val="26"/>
          <w:szCs w:val="26"/>
        </w:rPr>
        <w:t>d</w:t>
      </w:r>
      <w:r w:rsidR="006D3F5E" w:rsidRPr="0057700D">
        <w:rPr>
          <w:rFonts w:ascii="Century Schoolbook" w:eastAsia="Calibri" w:hAnsi="Century Schoolbook" w:cs="Times New Roman"/>
          <w:sz w:val="26"/>
          <w:szCs w:val="26"/>
        </w:rPr>
        <w:t xml:space="preserve"> </w:t>
      </w:r>
      <w:r w:rsidR="007B1A8D" w:rsidRPr="0057700D">
        <w:rPr>
          <w:rFonts w:ascii="Century Schoolbook" w:eastAsia="Calibri" w:hAnsi="Century Schoolbook" w:cs="Times New Roman"/>
          <w:sz w:val="26"/>
          <w:szCs w:val="26"/>
        </w:rPr>
        <w:t xml:space="preserve">a relevant </w:t>
      </w:r>
      <w:r w:rsidR="006D3F5E" w:rsidRPr="0057700D">
        <w:rPr>
          <w:rFonts w:ascii="Century Schoolbook" w:eastAsia="Calibri" w:hAnsi="Century Schoolbook" w:cs="Times New Roman"/>
          <w:sz w:val="26"/>
          <w:szCs w:val="26"/>
        </w:rPr>
        <w:t>fact:  Officer Kuchen’s traffic stops occurred in two Raleigh police districts, the southeast and northwest.</w:t>
      </w:r>
      <w:r w:rsidR="004279D0" w:rsidRPr="0057700D">
        <w:rPr>
          <w:rFonts w:ascii="Century Schoolbook" w:eastAsia="Calibri" w:hAnsi="Century Schoolbook" w:cs="Times New Roman"/>
          <w:sz w:val="26"/>
          <w:szCs w:val="26"/>
          <w:vertAlign w:val="superscript"/>
        </w:rPr>
        <w:footnoteReference w:id="10"/>
      </w:r>
      <w:r w:rsidR="00443BA0" w:rsidRPr="0057700D">
        <w:rPr>
          <w:rFonts w:ascii="Century Schoolbook" w:eastAsia="Calibri" w:hAnsi="Century Schoolbook" w:cs="Times New Roman"/>
          <w:sz w:val="26"/>
          <w:szCs w:val="26"/>
        </w:rPr>
        <w:t xml:space="preserve"> </w:t>
      </w:r>
      <w:r w:rsidR="006D3F5E" w:rsidRPr="0057700D">
        <w:rPr>
          <w:rFonts w:ascii="Century Schoolbook" w:eastAsia="Calibri" w:hAnsi="Century Schoolbook" w:cs="Times New Roman"/>
          <w:sz w:val="26"/>
          <w:szCs w:val="26"/>
        </w:rPr>
        <w:t xml:space="preserve"> (</w:t>
      </w:r>
      <w:proofErr w:type="spellStart"/>
      <w:r w:rsidR="006D3F5E" w:rsidRPr="0057700D">
        <w:rPr>
          <w:rFonts w:ascii="Century Schoolbook" w:eastAsia="Calibri" w:hAnsi="Century Schoolbook" w:cs="Times New Roman"/>
          <w:sz w:val="26"/>
          <w:szCs w:val="26"/>
        </w:rPr>
        <w:t>Tpp</w:t>
      </w:r>
      <w:proofErr w:type="spellEnd"/>
      <w:r w:rsidR="006D3F5E" w:rsidRPr="0057700D">
        <w:rPr>
          <w:rFonts w:ascii="Century Schoolbook" w:eastAsia="Calibri" w:hAnsi="Century Schoolbook" w:cs="Times New Roman"/>
          <w:sz w:val="26"/>
          <w:szCs w:val="26"/>
        </w:rPr>
        <w:t xml:space="preserve"> </w:t>
      </w:r>
      <w:r w:rsidR="00443BA0" w:rsidRPr="0057700D">
        <w:rPr>
          <w:rFonts w:ascii="Century Schoolbook" w:eastAsia="Calibri" w:hAnsi="Century Schoolbook" w:cs="Times New Roman"/>
          <w:sz w:val="26"/>
          <w:szCs w:val="26"/>
        </w:rPr>
        <w:t>19-22</w:t>
      </w:r>
      <w:r w:rsidR="006D3F5E" w:rsidRPr="0057700D">
        <w:rPr>
          <w:rFonts w:ascii="Century Schoolbook" w:eastAsia="Calibri" w:hAnsi="Century Schoolbook" w:cs="Times New Roman"/>
          <w:sz w:val="26"/>
          <w:szCs w:val="26"/>
        </w:rPr>
        <w:t xml:space="preserve">)  Therefore, race data </w:t>
      </w:r>
      <w:r w:rsidR="00994040" w:rsidRPr="0057700D">
        <w:rPr>
          <w:rFonts w:ascii="Century Schoolbook" w:eastAsia="Calibri" w:hAnsi="Century Schoolbook" w:cs="Times New Roman"/>
          <w:sz w:val="26"/>
          <w:szCs w:val="26"/>
        </w:rPr>
        <w:t xml:space="preserve">solely </w:t>
      </w:r>
      <w:r w:rsidR="006D3F5E" w:rsidRPr="0057700D">
        <w:rPr>
          <w:rFonts w:ascii="Century Schoolbook" w:eastAsia="Calibri" w:hAnsi="Century Schoolbook" w:cs="Times New Roman"/>
          <w:sz w:val="26"/>
          <w:szCs w:val="26"/>
        </w:rPr>
        <w:t xml:space="preserve">from the southeast district would not have been </w:t>
      </w:r>
      <w:r w:rsidR="007A1589" w:rsidRPr="0057700D">
        <w:rPr>
          <w:rFonts w:ascii="Century Schoolbook" w:eastAsia="Calibri" w:hAnsi="Century Schoolbook" w:cs="Times New Roman"/>
          <w:sz w:val="26"/>
          <w:szCs w:val="26"/>
        </w:rPr>
        <w:t>the</w:t>
      </w:r>
      <w:r w:rsidR="006D3F5E" w:rsidRPr="0057700D">
        <w:rPr>
          <w:rFonts w:ascii="Century Schoolbook" w:eastAsia="Calibri" w:hAnsi="Century Schoolbook" w:cs="Times New Roman"/>
          <w:sz w:val="26"/>
          <w:szCs w:val="26"/>
        </w:rPr>
        <w:t xml:space="preserve"> appropriate benchmark</w:t>
      </w:r>
      <w:r w:rsidR="00BB353A"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sz w:val="26"/>
          <w:szCs w:val="26"/>
        </w:rPr>
        <w:t xml:space="preserve">And </w:t>
      </w:r>
      <w:r w:rsidR="00BB353A" w:rsidRPr="0057700D">
        <w:rPr>
          <w:rFonts w:ascii="Century Schoolbook" w:eastAsia="Calibri" w:hAnsi="Century Schoolbook" w:cs="Times New Roman"/>
          <w:sz w:val="26"/>
          <w:szCs w:val="26"/>
        </w:rPr>
        <w:t xml:space="preserve">importantly, </w:t>
      </w:r>
      <w:r w:rsidR="0013195A" w:rsidRPr="0057700D">
        <w:rPr>
          <w:rFonts w:ascii="Century Schoolbook" w:eastAsia="Calibri" w:hAnsi="Century Schoolbook" w:cs="Times New Roman"/>
          <w:sz w:val="26"/>
          <w:szCs w:val="26"/>
        </w:rPr>
        <w:t>a</w:t>
      </w:r>
      <w:r w:rsidR="003B3881" w:rsidRPr="0057700D">
        <w:rPr>
          <w:rFonts w:ascii="Century Schoolbook" w:eastAsia="Calibri" w:hAnsi="Century Schoolbook" w:cs="Times New Roman"/>
          <w:sz w:val="26"/>
          <w:szCs w:val="26"/>
        </w:rPr>
        <w:t xml:space="preserve">s a </w:t>
      </w:r>
      <w:proofErr w:type="gramStart"/>
      <w:r w:rsidR="0013195A" w:rsidRPr="0057700D">
        <w:rPr>
          <w:rFonts w:ascii="Century Schoolbook" w:eastAsia="Calibri" w:hAnsi="Century Schoolbook" w:cs="Times New Roman"/>
          <w:sz w:val="26"/>
          <w:szCs w:val="26"/>
        </w:rPr>
        <w:t>common sense</w:t>
      </w:r>
      <w:proofErr w:type="gramEnd"/>
      <w:r w:rsidR="0013195A" w:rsidRPr="0057700D">
        <w:rPr>
          <w:rFonts w:ascii="Century Schoolbook" w:eastAsia="Calibri" w:hAnsi="Century Schoolbook" w:cs="Times New Roman"/>
          <w:sz w:val="26"/>
          <w:szCs w:val="26"/>
        </w:rPr>
        <w:t xml:space="preserve"> </w:t>
      </w:r>
      <w:r w:rsidR="003B3881" w:rsidRPr="0057700D">
        <w:rPr>
          <w:rFonts w:ascii="Century Schoolbook" w:eastAsia="Calibri" w:hAnsi="Century Schoolbook" w:cs="Times New Roman"/>
          <w:sz w:val="26"/>
          <w:szCs w:val="26"/>
        </w:rPr>
        <w:t xml:space="preserve">matter, </w:t>
      </w:r>
      <w:r w:rsidR="00603D1E" w:rsidRPr="0057700D">
        <w:rPr>
          <w:rFonts w:ascii="Century Schoolbook" w:eastAsia="Calibri" w:hAnsi="Century Schoolbook" w:cs="Times New Roman"/>
          <w:sz w:val="26"/>
          <w:szCs w:val="26"/>
        </w:rPr>
        <w:t>t</w:t>
      </w:r>
      <w:r w:rsidR="005060FE" w:rsidRPr="0057700D">
        <w:rPr>
          <w:rFonts w:ascii="Century Schoolbook" w:eastAsia="Calibri" w:hAnsi="Century Schoolbook" w:cs="Times New Roman"/>
          <w:sz w:val="26"/>
          <w:szCs w:val="26"/>
        </w:rPr>
        <w:t xml:space="preserve">raffic stops do not </w:t>
      </w:r>
      <w:r w:rsidR="0059323C" w:rsidRPr="0057700D">
        <w:rPr>
          <w:rFonts w:ascii="Century Schoolbook" w:eastAsia="Calibri" w:hAnsi="Century Schoolbook" w:cs="Times New Roman"/>
          <w:sz w:val="26"/>
          <w:szCs w:val="26"/>
        </w:rPr>
        <w:t>only</w:t>
      </w:r>
      <w:r w:rsidR="005060FE" w:rsidRPr="0057700D">
        <w:rPr>
          <w:rFonts w:ascii="Century Schoolbook" w:eastAsia="Calibri" w:hAnsi="Century Schoolbook" w:cs="Times New Roman"/>
          <w:sz w:val="26"/>
          <w:szCs w:val="26"/>
        </w:rPr>
        <w:t xml:space="preserve"> occur in the police district where the driver lives.  </w:t>
      </w:r>
      <w:r w:rsidR="006D3F5E" w:rsidRPr="0057700D">
        <w:rPr>
          <w:rFonts w:ascii="Century Schoolbook" w:eastAsia="Calibri" w:hAnsi="Century Schoolbook" w:cs="Times New Roman"/>
          <w:sz w:val="26"/>
          <w:szCs w:val="26"/>
        </w:rPr>
        <w:t>Kuchen testified that the southeast district include</w:t>
      </w:r>
      <w:r w:rsidR="000D40BE" w:rsidRPr="0057700D">
        <w:rPr>
          <w:rFonts w:ascii="Century Schoolbook" w:eastAsia="Calibri" w:hAnsi="Century Schoolbook" w:cs="Times New Roman"/>
          <w:sz w:val="26"/>
          <w:szCs w:val="26"/>
        </w:rPr>
        <w:t>s</w:t>
      </w:r>
      <w:r w:rsidR="006D3F5E" w:rsidRPr="0057700D">
        <w:rPr>
          <w:rFonts w:ascii="Century Schoolbook" w:eastAsia="Calibri" w:hAnsi="Century Schoolbook" w:cs="Times New Roman"/>
          <w:sz w:val="26"/>
          <w:szCs w:val="26"/>
        </w:rPr>
        <w:t xml:space="preserve"> portions of major thoroughfares such as New Bern Avenue and Capital Boulevard, which he sometimes patrolled during rush hour. </w:t>
      </w:r>
      <w:r w:rsidR="00EE3DB5" w:rsidRPr="0057700D">
        <w:rPr>
          <w:rFonts w:ascii="Century Schoolbook" w:eastAsia="Calibri" w:hAnsi="Century Schoolbook" w:cs="Times New Roman"/>
          <w:sz w:val="26"/>
          <w:szCs w:val="26"/>
        </w:rPr>
        <w:t xml:space="preserve"> </w:t>
      </w:r>
      <w:r w:rsidR="006D3F5E" w:rsidRPr="0057700D">
        <w:rPr>
          <w:rFonts w:ascii="Century Schoolbook" w:eastAsia="Calibri" w:hAnsi="Century Schoolbook" w:cs="Times New Roman"/>
          <w:sz w:val="26"/>
          <w:szCs w:val="26"/>
        </w:rPr>
        <w:t xml:space="preserve">Roads in the southeast district, especially </w:t>
      </w:r>
      <w:r w:rsidR="00873818" w:rsidRPr="0057700D">
        <w:rPr>
          <w:rFonts w:ascii="Century Schoolbook" w:eastAsia="Calibri" w:hAnsi="Century Schoolbook" w:cs="Times New Roman"/>
          <w:sz w:val="26"/>
          <w:szCs w:val="26"/>
        </w:rPr>
        <w:t xml:space="preserve">these </w:t>
      </w:r>
      <w:r w:rsidR="006D3F5E" w:rsidRPr="0057700D">
        <w:rPr>
          <w:rFonts w:ascii="Century Schoolbook" w:eastAsia="Calibri" w:hAnsi="Century Schoolbook" w:cs="Times New Roman"/>
          <w:sz w:val="26"/>
          <w:szCs w:val="26"/>
        </w:rPr>
        <w:t xml:space="preserve">major arteries, would be travelled by drivers from that district as well as drivers from other parts of town, other parts of the county, </w:t>
      </w:r>
      <w:r w:rsidR="006D3F5E" w:rsidRPr="0057700D">
        <w:rPr>
          <w:rFonts w:ascii="Century Schoolbook" w:eastAsia="Calibri" w:hAnsi="Century Schoolbook" w:cs="Times New Roman"/>
          <w:sz w:val="26"/>
          <w:szCs w:val="26"/>
        </w:rPr>
        <w:lastRenderedPageBreak/>
        <w:t>and beyond.</w:t>
      </w:r>
      <w:r w:rsidR="00164D6A" w:rsidRPr="0057700D">
        <w:rPr>
          <w:rFonts w:ascii="Century Schoolbook" w:eastAsia="Calibri" w:hAnsi="Century Schoolbook" w:cs="Times New Roman"/>
          <w:bCs/>
          <w:iCs/>
          <w:sz w:val="26"/>
          <w:szCs w:val="26"/>
          <w:vertAlign w:val="superscript"/>
        </w:rPr>
        <w:footnoteReference w:id="11"/>
      </w:r>
      <w:r w:rsidR="00164D6A" w:rsidRPr="0057700D">
        <w:rPr>
          <w:rFonts w:ascii="Century Schoolbook" w:eastAsia="Calibri" w:hAnsi="Century Schoolbook" w:cs="Times New Roman"/>
          <w:sz w:val="26"/>
          <w:szCs w:val="26"/>
        </w:rPr>
        <w:t xml:space="preserve">  Mr. Johnson had to choose some benchmark, and his choice was </w:t>
      </w:r>
      <w:r w:rsidR="00E83687" w:rsidRPr="0057700D">
        <w:rPr>
          <w:rFonts w:ascii="Century Schoolbook" w:eastAsia="Calibri" w:hAnsi="Century Schoolbook" w:cs="Times New Roman"/>
          <w:sz w:val="26"/>
          <w:szCs w:val="26"/>
        </w:rPr>
        <w:t xml:space="preserve">reasonable and </w:t>
      </w:r>
      <w:r w:rsidR="00164D6A" w:rsidRPr="0057700D">
        <w:rPr>
          <w:rFonts w:ascii="Century Schoolbook" w:eastAsia="Calibri" w:hAnsi="Century Schoolbook" w:cs="Times New Roman"/>
          <w:sz w:val="26"/>
          <w:szCs w:val="26"/>
        </w:rPr>
        <w:t xml:space="preserve">sufficient for a prima facie comparison.  </w:t>
      </w:r>
    </w:p>
    <w:p w14:paraId="2BED8426" w14:textId="10C88345" w:rsidR="00532C97" w:rsidRPr="0057700D" w:rsidRDefault="00532C97" w:rsidP="00532C97">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bCs/>
          <w:iCs/>
          <w:sz w:val="26"/>
          <w:szCs w:val="26"/>
        </w:rPr>
        <w:t xml:space="preserve">The panel’s other data-related complaint </w:t>
      </w:r>
      <w:r w:rsidR="00D069C8" w:rsidRPr="0057700D">
        <w:rPr>
          <w:rFonts w:ascii="Century Schoolbook" w:eastAsia="Calibri" w:hAnsi="Century Schoolbook" w:cs="Times New Roman"/>
          <w:bCs/>
          <w:iCs/>
          <w:sz w:val="26"/>
          <w:szCs w:val="26"/>
        </w:rPr>
        <w:t xml:space="preserve">was that there was no </w:t>
      </w:r>
      <w:r w:rsidRPr="0057700D">
        <w:rPr>
          <w:rFonts w:ascii="Century Schoolbook" w:eastAsia="Calibri" w:hAnsi="Century Schoolbook" w:cs="Times New Roman"/>
          <w:sz w:val="26"/>
          <w:szCs w:val="26"/>
        </w:rPr>
        <w:t>information showing the nature of Kuchen’s involvement in the arrests listed under his name in the ACIS database, including why and where they occurred.  (Slip op at 21)  This alleged flaw is even less persuasive.  The State maintains the ACIS database and has full access to it.  The State could have accessed records from ACIS, a</w:t>
      </w:r>
      <w:r w:rsidR="00D069C8" w:rsidRPr="0057700D">
        <w:rPr>
          <w:rFonts w:ascii="Century Schoolbook" w:eastAsia="Calibri" w:hAnsi="Century Schoolbook" w:cs="Times New Roman"/>
          <w:sz w:val="26"/>
          <w:szCs w:val="26"/>
        </w:rPr>
        <w:t xml:space="preserve">long with </w:t>
      </w:r>
      <w:r w:rsidRPr="0057700D">
        <w:rPr>
          <w:rFonts w:ascii="Century Schoolbook" w:eastAsia="Calibri" w:hAnsi="Century Schoolbook" w:cs="Times New Roman"/>
          <w:sz w:val="26"/>
          <w:szCs w:val="26"/>
        </w:rPr>
        <w:t>other police records not published in the traffic stop database</w:t>
      </w:r>
      <w:r w:rsidR="00D069C8" w:rsidRPr="0057700D">
        <w:rPr>
          <w:rFonts w:ascii="Century Schoolbook" w:eastAsia="Calibri" w:hAnsi="Century Schoolbook" w:cs="Times New Roman"/>
          <w:sz w:val="26"/>
          <w:szCs w:val="26"/>
        </w:rPr>
        <w:t>.  Or the State could have asked O</w:t>
      </w:r>
      <w:r w:rsidRPr="0057700D">
        <w:rPr>
          <w:rFonts w:ascii="Century Schoolbook" w:eastAsia="Calibri" w:hAnsi="Century Schoolbook" w:cs="Times New Roman"/>
          <w:sz w:val="26"/>
          <w:szCs w:val="26"/>
        </w:rPr>
        <w:t>fficer Kuchen</w:t>
      </w:r>
      <w:r w:rsidR="00D069C8" w:rsidRPr="0057700D">
        <w:rPr>
          <w:rFonts w:ascii="Century Schoolbook" w:eastAsia="Calibri" w:hAnsi="Century Schoolbook" w:cs="Times New Roman"/>
          <w:sz w:val="26"/>
          <w:szCs w:val="26"/>
        </w:rPr>
        <w:t xml:space="preserve"> to explain </w:t>
      </w:r>
      <w:r w:rsidRPr="0057700D">
        <w:rPr>
          <w:rFonts w:ascii="Century Schoolbook" w:eastAsia="Calibri" w:hAnsi="Century Schoolbook" w:cs="Times New Roman"/>
          <w:sz w:val="26"/>
          <w:szCs w:val="26"/>
        </w:rPr>
        <w:t xml:space="preserve">why </w:t>
      </w:r>
      <w:r w:rsidR="00D069C8" w:rsidRPr="0057700D">
        <w:rPr>
          <w:rFonts w:ascii="Century Schoolbook" w:eastAsia="Calibri" w:hAnsi="Century Schoolbook" w:cs="Times New Roman"/>
          <w:sz w:val="26"/>
          <w:szCs w:val="26"/>
        </w:rPr>
        <w:t xml:space="preserve">he arrested </w:t>
      </w:r>
      <w:r w:rsidRPr="0057700D">
        <w:rPr>
          <w:rFonts w:ascii="Century Schoolbook" w:eastAsia="Calibri" w:hAnsi="Century Schoolbook" w:cs="Times New Roman"/>
          <w:sz w:val="26"/>
          <w:szCs w:val="26"/>
        </w:rPr>
        <w:t xml:space="preserve">so many Black citizens.  </w:t>
      </w:r>
    </w:p>
    <w:p w14:paraId="51F36FFC" w14:textId="23D8680D" w:rsidR="00532C97" w:rsidRPr="0057700D" w:rsidRDefault="00532C97" w:rsidP="00532C97">
      <w:pPr>
        <w:spacing w:after="0" w:line="480" w:lineRule="auto"/>
        <w:ind w:firstLine="720"/>
        <w:rPr>
          <w:rFonts w:ascii="Century Schoolbook" w:eastAsia="Calibri" w:hAnsi="Century Schoolbook" w:cs="Times New Roman"/>
          <w:bCs/>
          <w:iCs/>
          <w:sz w:val="26"/>
          <w:szCs w:val="26"/>
        </w:rPr>
      </w:pPr>
      <w:r w:rsidRPr="0057700D">
        <w:rPr>
          <w:rFonts w:ascii="Century Schoolbook" w:eastAsia="Calibri" w:hAnsi="Century Schoolbook" w:cs="Times New Roman"/>
          <w:bCs/>
          <w:iCs/>
          <w:sz w:val="26"/>
          <w:szCs w:val="26"/>
        </w:rPr>
        <w:t xml:space="preserve">The panel noted that some of Kuchen’s arrests likely resulted from </w:t>
      </w:r>
      <w:r w:rsidR="00F87A22" w:rsidRPr="0057700D">
        <w:rPr>
          <w:rFonts w:ascii="Century Schoolbook" w:eastAsia="Calibri" w:hAnsi="Century Schoolbook" w:cs="Times New Roman"/>
          <w:bCs/>
          <w:iCs/>
          <w:sz w:val="26"/>
          <w:szCs w:val="26"/>
        </w:rPr>
        <w:t xml:space="preserve">911 </w:t>
      </w:r>
      <w:r w:rsidRPr="0057700D">
        <w:rPr>
          <w:rFonts w:ascii="Century Schoolbook" w:eastAsia="Calibri" w:hAnsi="Century Schoolbook" w:cs="Times New Roman"/>
          <w:bCs/>
          <w:iCs/>
          <w:sz w:val="26"/>
          <w:szCs w:val="26"/>
        </w:rPr>
        <w:t xml:space="preserve">calls, rather than from his own initiative.  (Slip op at 21)  Perhaps this is a fair point; perhaps not.  Either way, Mr. Johnson put on prima facie evidence showing a stark disparity, supporting an inference that Officer Kuchen spent a disproportionate amount of time and energy looking for Black people </w:t>
      </w:r>
      <w:r w:rsidRPr="0057700D">
        <w:rPr>
          <w:rFonts w:ascii="Century Schoolbook" w:eastAsia="Calibri" w:hAnsi="Century Schoolbook" w:cs="Times New Roman"/>
          <w:bCs/>
          <w:iCs/>
          <w:sz w:val="26"/>
          <w:szCs w:val="26"/>
        </w:rPr>
        <w:lastRenderedPageBreak/>
        <w:t xml:space="preserve">committing crimes.  </w:t>
      </w:r>
      <w:r w:rsidR="00D02A64" w:rsidRPr="0057700D">
        <w:rPr>
          <w:rFonts w:ascii="Century Schoolbook" w:eastAsia="Calibri" w:hAnsi="Century Schoolbook" w:cs="Times New Roman"/>
          <w:bCs/>
          <w:iCs/>
          <w:sz w:val="26"/>
          <w:szCs w:val="26"/>
        </w:rPr>
        <w:t xml:space="preserve">Mr. Johnson had no access to this information.  </w:t>
      </w:r>
      <w:r w:rsidRPr="0057700D">
        <w:rPr>
          <w:rFonts w:ascii="Century Schoolbook" w:eastAsia="Calibri" w:hAnsi="Century Schoolbook" w:cs="Times New Roman"/>
          <w:bCs/>
          <w:iCs/>
          <w:sz w:val="26"/>
          <w:szCs w:val="26"/>
        </w:rPr>
        <w:t xml:space="preserve">As with the traffic stop data, the State is the party better able to fill </w:t>
      </w:r>
      <w:r w:rsidR="0049652A" w:rsidRPr="0057700D">
        <w:rPr>
          <w:rFonts w:ascii="Century Schoolbook" w:eastAsia="Calibri" w:hAnsi="Century Schoolbook" w:cs="Times New Roman"/>
          <w:bCs/>
          <w:iCs/>
          <w:sz w:val="26"/>
          <w:szCs w:val="26"/>
        </w:rPr>
        <w:t>out</w:t>
      </w:r>
      <w:r w:rsidRPr="0057700D">
        <w:rPr>
          <w:rFonts w:ascii="Century Schoolbook" w:eastAsia="Calibri" w:hAnsi="Century Schoolbook" w:cs="Times New Roman"/>
          <w:bCs/>
          <w:iCs/>
          <w:sz w:val="26"/>
          <w:szCs w:val="26"/>
        </w:rPr>
        <w:t xml:space="preserve"> the data, and it </w:t>
      </w:r>
      <w:r w:rsidR="0049652A" w:rsidRPr="0057700D">
        <w:rPr>
          <w:rFonts w:ascii="Century Schoolbook" w:eastAsia="Calibri" w:hAnsi="Century Schoolbook" w:cs="Times New Roman"/>
          <w:bCs/>
          <w:iCs/>
          <w:sz w:val="26"/>
          <w:szCs w:val="26"/>
        </w:rPr>
        <w:t>was</w:t>
      </w:r>
      <w:r w:rsidRPr="0057700D">
        <w:rPr>
          <w:rFonts w:ascii="Century Schoolbook" w:eastAsia="Calibri" w:hAnsi="Century Schoolbook" w:cs="Times New Roman"/>
          <w:bCs/>
          <w:iCs/>
          <w:sz w:val="26"/>
          <w:szCs w:val="26"/>
        </w:rPr>
        <w:t xml:space="preserve"> the State’s burden to respond once a prima facie case </w:t>
      </w:r>
      <w:r w:rsidR="00476D4F" w:rsidRPr="0057700D">
        <w:rPr>
          <w:rFonts w:ascii="Century Schoolbook" w:eastAsia="Calibri" w:hAnsi="Century Schoolbook" w:cs="Times New Roman"/>
          <w:bCs/>
          <w:iCs/>
          <w:sz w:val="26"/>
          <w:szCs w:val="26"/>
        </w:rPr>
        <w:t>wa</w:t>
      </w:r>
      <w:r w:rsidRPr="0057700D">
        <w:rPr>
          <w:rFonts w:ascii="Century Schoolbook" w:eastAsia="Calibri" w:hAnsi="Century Schoolbook" w:cs="Times New Roman"/>
          <w:bCs/>
          <w:iCs/>
          <w:sz w:val="26"/>
          <w:szCs w:val="26"/>
        </w:rPr>
        <w:t>s made.  If the data existed,</w:t>
      </w:r>
      <w:r w:rsidRPr="0057700D">
        <w:rPr>
          <w:rStyle w:val="FootnoteReference"/>
          <w:rFonts w:ascii="Century Schoolbook" w:eastAsia="Calibri" w:hAnsi="Century Schoolbook" w:cs="Times New Roman"/>
          <w:bCs/>
          <w:iCs/>
          <w:sz w:val="26"/>
          <w:szCs w:val="26"/>
        </w:rPr>
        <w:footnoteReference w:id="12"/>
      </w:r>
      <w:r w:rsidRPr="0057700D">
        <w:rPr>
          <w:rFonts w:ascii="Century Schoolbook" w:eastAsia="Calibri" w:hAnsi="Century Schoolbook" w:cs="Times New Roman"/>
          <w:bCs/>
          <w:iCs/>
          <w:sz w:val="26"/>
          <w:szCs w:val="26"/>
        </w:rPr>
        <w:t xml:space="preserve"> the </w:t>
      </w:r>
      <w:r w:rsidR="000D1EF7" w:rsidRPr="0057700D">
        <w:rPr>
          <w:rFonts w:ascii="Century Schoolbook" w:eastAsia="Calibri" w:hAnsi="Century Schoolbook" w:cs="Times New Roman"/>
          <w:bCs/>
          <w:iCs/>
          <w:sz w:val="26"/>
          <w:szCs w:val="26"/>
        </w:rPr>
        <w:t xml:space="preserve">failure was the State’s for not producing it.  </w:t>
      </w:r>
      <w:r w:rsidRPr="0057700D">
        <w:rPr>
          <w:rFonts w:ascii="Century Schoolbook" w:eastAsia="Calibri" w:hAnsi="Century Schoolbook" w:cs="Times New Roman"/>
          <w:bCs/>
          <w:iCs/>
          <w:sz w:val="26"/>
          <w:szCs w:val="26"/>
        </w:rPr>
        <w:t xml:space="preserve">  </w:t>
      </w:r>
    </w:p>
    <w:p w14:paraId="4AFCA12E" w14:textId="445AA036" w:rsidR="00B21AD1" w:rsidRPr="0057700D" w:rsidRDefault="00E20D6D" w:rsidP="00B21AD1">
      <w:pPr>
        <w:spacing w:after="0" w:line="480" w:lineRule="auto"/>
        <w:ind w:firstLine="720"/>
        <w:rPr>
          <w:rFonts w:ascii="Century Schoolbook" w:eastAsia="Calibri" w:hAnsi="Century Schoolbook" w:cs="Times New Roman"/>
          <w:bCs/>
          <w:iCs/>
          <w:sz w:val="26"/>
          <w:szCs w:val="26"/>
        </w:rPr>
      </w:pPr>
      <w:r w:rsidRPr="0057700D">
        <w:rPr>
          <w:rFonts w:ascii="Century Schoolbook" w:eastAsia="Calibri" w:hAnsi="Century Schoolbook" w:cs="Times New Roman"/>
          <w:bCs/>
          <w:iCs/>
          <w:sz w:val="26"/>
          <w:szCs w:val="26"/>
        </w:rPr>
        <w:t xml:space="preserve">5.  </w:t>
      </w:r>
      <w:r w:rsidR="00B21AD1" w:rsidRPr="0057700D">
        <w:rPr>
          <w:rFonts w:ascii="Century Schoolbook" w:eastAsia="Calibri" w:hAnsi="Century Schoolbook" w:cs="Times New Roman"/>
          <w:bCs/>
          <w:iCs/>
          <w:sz w:val="26"/>
          <w:szCs w:val="26"/>
          <w:u w:val="single"/>
        </w:rPr>
        <w:t>The statistics supported discriminatory purpose</w:t>
      </w:r>
      <w:r w:rsidR="00B21AD1" w:rsidRPr="0057700D">
        <w:rPr>
          <w:rFonts w:ascii="Century Schoolbook" w:eastAsia="Calibri" w:hAnsi="Century Schoolbook" w:cs="Times New Roman"/>
          <w:bCs/>
          <w:iCs/>
          <w:sz w:val="26"/>
          <w:szCs w:val="26"/>
        </w:rPr>
        <w:t>.</w:t>
      </w:r>
    </w:p>
    <w:p w14:paraId="048F777F" w14:textId="0A854318" w:rsidR="00907902" w:rsidRPr="0057700D" w:rsidRDefault="00B21AD1" w:rsidP="00907902">
      <w:pPr>
        <w:spacing w:after="0" w:line="480" w:lineRule="auto"/>
        <w:ind w:firstLine="720"/>
        <w:rPr>
          <w:rFonts w:ascii="Century Schoolbook" w:eastAsia="Calibri" w:hAnsi="Century Schoolbook" w:cs="Times New Roman"/>
          <w:bCs/>
          <w:iCs/>
          <w:sz w:val="26"/>
          <w:szCs w:val="26"/>
        </w:rPr>
      </w:pPr>
      <w:r w:rsidRPr="0057700D">
        <w:rPr>
          <w:rFonts w:ascii="Century Schoolbook" w:eastAsia="Calibri" w:hAnsi="Century Schoolbook" w:cs="Times New Roman"/>
          <w:bCs/>
          <w:iCs/>
          <w:sz w:val="26"/>
          <w:szCs w:val="26"/>
        </w:rPr>
        <w:t xml:space="preserve">The panel incorrectly held that the statistics were </w:t>
      </w:r>
      <w:r w:rsidR="00C63070" w:rsidRPr="0057700D">
        <w:rPr>
          <w:rFonts w:ascii="Century Schoolbook" w:eastAsia="Calibri" w:hAnsi="Century Schoolbook" w:cs="Times New Roman"/>
          <w:bCs/>
          <w:iCs/>
          <w:sz w:val="26"/>
          <w:szCs w:val="26"/>
        </w:rPr>
        <w:t>insufficiently</w:t>
      </w:r>
      <w:r w:rsidRPr="0057700D">
        <w:rPr>
          <w:rFonts w:ascii="Century Schoolbook" w:eastAsia="Calibri" w:hAnsi="Century Schoolbook" w:cs="Times New Roman"/>
          <w:bCs/>
          <w:iCs/>
          <w:sz w:val="26"/>
          <w:szCs w:val="26"/>
        </w:rPr>
        <w:t xml:space="preserve"> stark to support discriminatory purpose.  (Slip op at 21)</w:t>
      </w:r>
      <w:r w:rsidR="00C63070" w:rsidRPr="0057700D">
        <w:rPr>
          <w:rFonts w:ascii="Century Schoolbook" w:eastAsia="Calibri" w:hAnsi="Century Schoolbook" w:cs="Times New Roman"/>
          <w:bCs/>
          <w:iCs/>
          <w:sz w:val="26"/>
          <w:szCs w:val="26"/>
        </w:rPr>
        <w:t xml:space="preserve">  Kuchen’s rate of stopping and arresting Black citizens was </w:t>
      </w:r>
      <w:r w:rsidR="008B3307" w:rsidRPr="0057700D">
        <w:rPr>
          <w:rFonts w:ascii="Century Schoolbook" w:eastAsia="Calibri" w:hAnsi="Century Schoolbook" w:cs="Times New Roman"/>
          <w:bCs/>
          <w:iCs/>
          <w:sz w:val="26"/>
          <w:szCs w:val="26"/>
        </w:rPr>
        <w:t>more than</w:t>
      </w:r>
      <w:r w:rsidR="00C63070" w:rsidRPr="0057700D">
        <w:rPr>
          <w:rFonts w:ascii="Century Schoolbook" w:eastAsia="Calibri" w:hAnsi="Century Schoolbook" w:cs="Times New Roman"/>
          <w:bCs/>
          <w:iCs/>
          <w:sz w:val="26"/>
          <w:szCs w:val="26"/>
        </w:rPr>
        <w:t xml:space="preserve"> triple the Black population of Raleigh; and </w:t>
      </w:r>
      <w:r w:rsidR="00DB77EF" w:rsidRPr="0057700D">
        <w:rPr>
          <w:rFonts w:ascii="Century Schoolbook" w:eastAsia="Calibri" w:hAnsi="Century Schoolbook" w:cs="Times New Roman"/>
          <w:bCs/>
          <w:iCs/>
          <w:sz w:val="26"/>
          <w:szCs w:val="26"/>
        </w:rPr>
        <w:t xml:space="preserve">his rate of stopping Black drivers was nearly double that of other Raleigh officers.  These discrepancies </w:t>
      </w:r>
      <w:r w:rsidR="00E5436F" w:rsidRPr="0057700D">
        <w:rPr>
          <w:rFonts w:ascii="Century Schoolbook" w:eastAsia="Calibri" w:hAnsi="Century Schoolbook" w:cs="Times New Roman"/>
          <w:bCs/>
          <w:iCs/>
          <w:sz w:val="26"/>
          <w:szCs w:val="26"/>
        </w:rPr>
        <w:t xml:space="preserve">are facially stark and therefore constitute </w:t>
      </w:r>
      <w:proofErr w:type="gramStart"/>
      <w:r w:rsidR="00E5436F" w:rsidRPr="0057700D">
        <w:rPr>
          <w:rFonts w:ascii="Century Schoolbook" w:eastAsia="Calibri" w:hAnsi="Century Schoolbook" w:cs="Times New Roman"/>
          <w:bCs/>
          <w:iCs/>
          <w:sz w:val="26"/>
          <w:szCs w:val="26"/>
        </w:rPr>
        <w:t>a prima facie</w:t>
      </w:r>
      <w:proofErr w:type="gramEnd"/>
      <w:r w:rsidR="00E5436F" w:rsidRPr="0057700D">
        <w:rPr>
          <w:rFonts w:ascii="Century Schoolbook" w:eastAsia="Calibri" w:hAnsi="Century Schoolbook" w:cs="Times New Roman"/>
          <w:bCs/>
          <w:iCs/>
          <w:sz w:val="26"/>
          <w:szCs w:val="26"/>
        </w:rPr>
        <w:t xml:space="preserve"> showing of discriminat</w:t>
      </w:r>
      <w:r w:rsidR="00184A82" w:rsidRPr="0057700D">
        <w:rPr>
          <w:rFonts w:ascii="Century Schoolbook" w:eastAsia="Calibri" w:hAnsi="Century Schoolbook" w:cs="Times New Roman"/>
          <w:bCs/>
          <w:iCs/>
          <w:sz w:val="26"/>
          <w:szCs w:val="26"/>
        </w:rPr>
        <w:t xml:space="preserve">ory purpose.  </w:t>
      </w:r>
      <w:proofErr w:type="spellStart"/>
      <w:r w:rsidR="00E51FB9" w:rsidRPr="0057700D">
        <w:rPr>
          <w:rFonts w:ascii="Century Schoolbook" w:eastAsia="Calibri" w:hAnsi="Century Schoolbook" w:cs="Times New Roman"/>
          <w:bCs/>
          <w:i/>
          <w:sz w:val="26"/>
          <w:szCs w:val="26"/>
        </w:rPr>
        <w:t>McKleskey</w:t>
      </w:r>
      <w:proofErr w:type="spellEnd"/>
      <w:r w:rsidR="00825D98" w:rsidRPr="0057700D">
        <w:rPr>
          <w:rFonts w:ascii="Century Schoolbook" w:eastAsia="Calibri" w:hAnsi="Century Schoolbook" w:cs="Times New Roman"/>
          <w:bCs/>
          <w:i/>
          <w:sz w:val="26"/>
          <w:szCs w:val="26"/>
        </w:rPr>
        <w:fldChar w:fldCharType="begin"/>
      </w:r>
      <w:r w:rsidR="00825D98" w:rsidRPr="0057700D">
        <w:instrText xml:space="preserve"> TA \s "McKleskey v. Kemp, 481 U.S. 279, 294 (1987)" </w:instrText>
      </w:r>
      <w:r w:rsidR="00825D98" w:rsidRPr="0057700D">
        <w:rPr>
          <w:rFonts w:ascii="Century Schoolbook" w:eastAsia="Calibri" w:hAnsi="Century Schoolbook" w:cs="Times New Roman"/>
          <w:bCs/>
          <w:i/>
          <w:sz w:val="26"/>
          <w:szCs w:val="26"/>
        </w:rPr>
        <w:fldChar w:fldCharType="end"/>
      </w:r>
      <w:r w:rsidR="00E51FB9" w:rsidRPr="0057700D">
        <w:rPr>
          <w:rFonts w:ascii="Century Schoolbook" w:eastAsia="Calibri" w:hAnsi="Century Schoolbook" w:cs="Times New Roman"/>
          <w:bCs/>
          <w:i/>
          <w:sz w:val="26"/>
          <w:szCs w:val="26"/>
        </w:rPr>
        <w:t>; Batson</w:t>
      </w:r>
      <w:r w:rsidR="00825D98" w:rsidRPr="0057700D">
        <w:rPr>
          <w:rFonts w:ascii="Century Schoolbook" w:eastAsia="Calibri" w:hAnsi="Century Schoolbook" w:cs="Times New Roman"/>
          <w:bCs/>
          <w:i/>
          <w:sz w:val="26"/>
          <w:szCs w:val="26"/>
        </w:rPr>
        <w:fldChar w:fldCharType="begin"/>
      </w:r>
      <w:r w:rsidR="00825D98" w:rsidRPr="0057700D">
        <w:instrText xml:space="preserve"> TA \s "Batson v. Kentucky, 476 U.S. 79 (1986)" </w:instrText>
      </w:r>
      <w:r w:rsidR="00825D98" w:rsidRPr="0057700D">
        <w:rPr>
          <w:rFonts w:ascii="Century Schoolbook" w:eastAsia="Calibri" w:hAnsi="Century Schoolbook" w:cs="Times New Roman"/>
          <w:bCs/>
          <w:i/>
          <w:sz w:val="26"/>
          <w:szCs w:val="26"/>
        </w:rPr>
        <w:fldChar w:fldCharType="end"/>
      </w:r>
      <w:r w:rsidR="00D92A50" w:rsidRPr="0057700D">
        <w:rPr>
          <w:rFonts w:ascii="Century Schoolbook" w:eastAsia="Calibri" w:hAnsi="Century Schoolbook" w:cs="Times New Roman"/>
          <w:bCs/>
          <w:i/>
          <w:sz w:val="26"/>
          <w:szCs w:val="26"/>
        </w:rPr>
        <w:t>; Barden</w:t>
      </w:r>
      <w:r w:rsidR="00825D98" w:rsidRPr="0057700D">
        <w:rPr>
          <w:rFonts w:ascii="Century Schoolbook" w:eastAsia="Calibri" w:hAnsi="Century Schoolbook" w:cs="Times New Roman"/>
          <w:bCs/>
          <w:i/>
          <w:sz w:val="26"/>
          <w:szCs w:val="26"/>
        </w:rPr>
        <w:fldChar w:fldCharType="begin"/>
      </w:r>
      <w:r w:rsidR="00825D98" w:rsidRPr="0057700D">
        <w:instrText xml:space="preserve"> TA \s "State v. Barden, 356 N.C. 316, 344-45, 572 S.E.2d 108, 127-28 (2002)" </w:instrText>
      </w:r>
      <w:r w:rsidR="00825D98" w:rsidRPr="0057700D">
        <w:rPr>
          <w:rFonts w:ascii="Century Schoolbook" w:eastAsia="Calibri" w:hAnsi="Century Schoolbook" w:cs="Times New Roman"/>
          <w:bCs/>
          <w:i/>
          <w:sz w:val="26"/>
          <w:szCs w:val="26"/>
        </w:rPr>
        <w:fldChar w:fldCharType="end"/>
      </w:r>
      <w:r w:rsidR="00E51FB9" w:rsidRPr="0057700D">
        <w:rPr>
          <w:rFonts w:ascii="Century Schoolbook" w:eastAsia="Calibri" w:hAnsi="Century Schoolbook" w:cs="Times New Roman"/>
          <w:bCs/>
          <w:i/>
          <w:sz w:val="26"/>
          <w:szCs w:val="26"/>
        </w:rPr>
        <w:t xml:space="preserve">. </w:t>
      </w:r>
      <w:r w:rsidR="00DD29D6" w:rsidRPr="0057700D">
        <w:rPr>
          <w:rFonts w:ascii="Century Schoolbook" w:eastAsia="Calibri" w:hAnsi="Century Schoolbook" w:cs="Times New Roman"/>
          <w:bCs/>
          <w:i/>
          <w:sz w:val="26"/>
          <w:szCs w:val="26"/>
        </w:rPr>
        <w:t xml:space="preserve"> </w:t>
      </w:r>
      <w:r w:rsidR="000345B5" w:rsidRPr="0057700D">
        <w:rPr>
          <w:rFonts w:ascii="Century Schoolbook" w:eastAsia="Calibri" w:hAnsi="Century Schoolbook" w:cs="Times New Roman"/>
          <w:bCs/>
          <w:iCs/>
          <w:sz w:val="26"/>
          <w:szCs w:val="26"/>
        </w:rPr>
        <w:t>Further, i</w:t>
      </w:r>
      <w:r w:rsidR="00DD29D6" w:rsidRPr="0057700D">
        <w:rPr>
          <w:rFonts w:ascii="Century Schoolbook" w:eastAsia="Calibri" w:hAnsi="Century Schoolbook" w:cs="Times New Roman"/>
          <w:bCs/>
          <w:iCs/>
          <w:sz w:val="26"/>
          <w:szCs w:val="26"/>
        </w:rPr>
        <w:t xml:space="preserve">n making </w:t>
      </w:r>
      <w:r w:rsidR="000345B5" w:rsidRPr="0057700D">
        <w:rPr>
          <w:rFonts w:ascii="Century Schoolbook" w:eastAsia="Calibri" w:hAnsi="Century Schoolbook" w:cs="Times New Roman"/>
          <w:bCs/>
          <w:iCs/>
          <w:sz w:val="26"/>
          <w:szCs w:val="26"/>
        </w:rPr>
        <w:t>this</w:t>
      </w:r>
      <w:r w:rsidR="00DD29D6" w:rsidRPr="0057700D">
        <w:rPr>
          <w:rFonts w:ascii="Century Schoolbook" w:eastAsia="Calibri" w:hAnsi="Century Schoolbook" w:cs="Times New Roman"/>
          <w:bCs/>
          <w:iCs/>
          <w:sz w:val="26"/>
          <w:szCs w:val="26"/>
        </w:rPr>
        <w:t xml:space="preserve"> determination, t</w:t>
      </w:r>
      <w:r w:rsidR="00907902" w:rsidRPr="0057700D">
        <w:rPr>
          <w:rFonts w:ascii="Century Schoolbook" w:eastAsia="Calibri" w:hAnsi="Century Schoolbook" w:cs="Times New Roman"/>
          <w:bCs/>
          <w:iCs/>
          <w:sz w:val="26"/>
          <w:szCs w:val="26"/>
        </w:rPr>
        <w:t xml:space="preserve">he panel ignored other evidence of discriminatory purpose that buttressed the statistical evidence, </w:t>
      </w:r>
      <w:r w:rsidR="000345B5" w:rsidRPr="0057700D">
        <w:rPr>
          <w:rFonts w:ascii="Century Schoolbook" w:eastAsia="Calibri" w:hAnsi="Century Schoolbook" w:cs="Times New Roman"/>
          <w:bCs/>
          <w:iCs/>
          <w:sz w:val="26"/>
          <w:szCs w:val="26"/>
        </w:rPr>
        <w:t>as</w:t>
      </w:r>
      <w:r w:rsidR="00907902" w:rsidRPr="0057700D">
        <w:rPr>
          <w:rFonts w:ascii="Century Schoolbook" w:eastAsia="Calibri" w:hAnsi="Century Schoolbook" w:cs="Times New Roman"/>
          <w:bCs/>
          <w:iCs/>
          <w:sz w:val="26"/>
          <w:szCs w:val="26"/>
        </w:rPr>
        <w:t xml:space="preserve"> discussed in subsection 7 of this argument.</w:t>
      </w:r>
    </w:p>
    <w:p w14:paraId="2A4FA99B" w14:textId="22C874F1" w:rsidR="00571522" w:rsidRPr="0057700D" w:rsidRDefault="00E20D6D" w:rsidP="00F8259E">
      <w:pPr>
        <w:spacing w:after="0" w:line="24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6</w:t>
      </w:r>
      <w:r w:rsidR="00750AD4" w:rsidRPr="0057700D">
        <w:rPr>
          <w:rFonts w:ascii="Century Schoolbook" w:eastAsia="Calibri" w:hAnsi="Century Schoolbook" w:cs="Times New Roman"/>
          <w:sz w:val="26"/>
          <w:szCs w:val="26"/>
        </w:rPr>
        <w:t xml:space="preserve">.  </w:t>
      </w:r>
      <w:r w:rsidR="005E0461" w:rsidRPr="0057700D">
        <w:rPr>
          <w:rFonts w:ascii="Century Schoolbook" w:eastAsia="Calibri" w:hAnsi="Century Schoolbook" w:cs="Times New Roman"/>
          <w:sz w:val="26"/>
          <w:szCs w:val="26"/>
          <w:u w:val="single"/>
        </w:rPr>
        <w:t>I</w:t>
      </w:r>
      <w:r w:rsidR="00750AD4" w:rsidRPr="0057700D">
        <w:rPr>
          <w:rFonts w:ascii="Century Schoolbook" w:eastAsia="Calibri" w:hAnsi="Century Schoolbook" w:cs="Times New Roman"/>
          <w:sz w:val="26"/>
          <w:szCs w:val="26"/>
          <w:u w:val="single"/>
        </w:rPr>
        <w:t xml:space="preserve">ssues </w:t>
      </w:r>
      <w:r w:rsidR="007C025F" w:rsidRPr="0057700D">
        <w:rPr>
          <w:rFonts w:ascii="Century Schoolbook" w:eastAsia="Calibri" w:hAnsi="Century Schoolbook" w:cs="Times New Roman"/>
          <w:sz w:val="26"/>
          <w:szCs w:val="26"/>
          <w:u w:val="single"/>
        </w:rPr>
        <w:t>not addressed by the panel</w:t>
      </w:r>
      <w:r w:rsidR="00750AD4" w:rsidRPr="0057700D">
        <w:rPr>
          <w:rFonts w:ascii="Century Schoolbook" w:eastAsia="Calibri" w:hAnsi="Century Schoolbook" w:cs="Times New Roman"/>
          <w:sz w:val="26"/>
          <w:szCs w:val="26"/>
        </w:rPr>
        <w:t xml:space="preserve">. </w:t>
      </w:r>
    </w:p>
    <w:p w14:paraId="7E4601E3" w14:textId="77777777" w:rsidR="00F8259E" w:rsidRPr="0057700D" w:rsidRDefault="00F8259E" w:rsidP="00F8259E">
      <w:pPr>
        <w:spacing w:after="0" w:line="240" w:lineRule="auto"/>
        <w:ind w:firstLine="720"/>
        <w:rPr>
          <w:rFonts w:ascii="Century Schoolbook" w:eastAsia="Calibri" w:hAnsi="Century Schoolbook" w:cs="Times New Roman"/>
          <w:sz w:val="26"/>
          <w:szCs w:val="26"/>
        </w:rPr>
      </w:pPr>
    </w:p>
    <w:p w14:paraId="6ED4D2CF" w14:textId="57B7EF9F" w:rsidR="006D3F5E" w:rsidRPr="0057700D" w:rsidRDefault="00750AD4" w:rsidP="00FE69A2">
      <w:pPr>
        <w:spacing w:after="0" w:line="480" w:lineRule="auto"/>
        <w:ind w:firstLine="720"/>
        <w:rPr>
          <w:rFonts w:ascii="Century Schoolbook" w:eastAsia="Calibri" w:hAnsi="Century Schoolbook" w:cs="Times New Roman"/>
          <w:bCs/>
          <w:iCs/>
          <w:sz w:val="26"/>
          <w:szCs w:val="26"/>
        </w:rPr>
      </w:pPr>
      <w:r w:rsidRPr="0057700D">
        <w:rPr>
          <w:rFonts w:ascii="Century Schoolbook" w:eastAsia="Calibri" w:hAnsi="Century Schoolbook" w:cs="Times New Roman"/>
          <w:sz w:val="26"/>
          <w:szCs w:val="26"/>
        </w:rPr>
        <w:t>The trial court</w:t>
      </w:r>
      <w:r w:rsidR="00BE589D" w:rsidRPr="0057700D">
        <w:rPr>
          <w:rFonts w:ascii="Century Schoolbook" w:eastAsia="Calibri" w:hAnsi="Century Schoolbook" w:cs="Times New Roman"/>
          <w:sz w:val="26"/>
          <w:szCs w:val="26"/>
        </w:rPr>
        <w:t xml:space="preserve"> questioned whether the race of </w:t>
      </w:r>
      <w:r w:rsidR="003F52AA" w:rsidRPr="0057700D">
        <w:rPr>
          <w:rFonts w:ascii="Century Schoolbook" w:eastAsia="Calibri" w:hAnsi="Century Schoolbook" w:cs="Times New Roman"/>
          <w:sz w:val="26"/>
          <w:szCs w:val="26"/>
        </w:rPr>
        <w:t xml:space="preserve">Raleigh </w:t>
      </w:r>
      <w:r w:rsidR="00BE589D" w:rsidRPr="0057700D">
        <w:rPr>
          <w:rFonts w:ascii="Century Schoolbook" w:eastAsia="Calibri" w:hAnsi="Century Schoolbook" w:cs="Times New Roman"/>
          <w:sz w:val="26"/>
          <w:szCs w:val="26"/>
        </w:rPr>
        <w:t>drivers differ</w:t>
      </w:r>
      <w:r w:rsidR="00703C60" w:rsidRPr="0057700D">
        <w:rPr>
          <w:rFonts w:ascii="Century Schoolbook" w:eastAsia="Calibri" w:hAnsi="Century Schoolbook" w:cs="Times New Roman"/>
          <w:sz w:val="26"/>
          <w:szCs w:val="26"/>
        </w:rPr>
        <w:t>ed</w:t>
      </w:r>
      <w:r w:rsidR="00BE589D" w:rsidRPr="0057700D">
        <w:rPr>
          <w:rFonts w:ascii="Century Schoolbook" w:eastAsia="Calibri" w:hAnsi="Century Schoolbook" w:cs="Times New Roman"/>
          <w:sz w:val="26"/>
          <w:szCs w:val="26"/>
        </w:rPr>
        <w:t xml:space="preserve"> from the race of </w:t>
      </w:r>
      <w:r w:rsidR="003F52AA" w:rsidRPr="0057700D">
        <w:rPr>
          <w:rFonts w:ascii="Century Schoolbook" w:eastAsia="Calibri" w:hAnsi="Century Schoolbook" w:cs="Times New Roman"/>
          <w:sz w:val="26"/>
          <w:szCs w:val="26"/>
        </w:rPr>
        <w:t xml:space="preserve">Raleigh </w:t>
      </w:r>
      <w:r w:rsidR="00BE589D" w:rsidRPr="0057700D">
        <w:rPr>
          <w:rFonts w:ascii="Century Schoolbook" w:eastAsia="Calibri" w:hAnsi="Century Schoolbook" w:cs="Times New Roman"/>
          <w:sz w:val="26"/>
          <w:szCs w:val="26"/>
        </w:rPr>
        <w:t xml:space="preserve">residents. </w:t>
      </w:r>
      <w:r w:rsidR="00C550C2" w:rsidRPr="0057700D">
        <w:rPr>
          <w:rFonts w:ascii="Century Schoolbook" w:eastAsia="Calibri" w:hAnsi="Century Schoolbook" w:cs="Times New Roman"/>
          <w:sz w:val="26"/>
          <w:szCs w:val="26"/>
        </w:rPr>
        <w:t xml:space="preserve"> </w:t>
      </w:r>
      <w:r w:rsidR="003F52AA" w:rsidRPr="0057700D">
        <w:rPr>
          <w:rFonts w:ascii="Century Schoolbook" w:eastAsia="Calibri" w:hAnsi="Century Schoolbook" w:cs="Times New Roman"/>
          <w:sz w:val="26"/>
          <w:szCs w:val="26"/>
        </w:rPr>
        <w:t xml:space="preserve">(Rp </w:t>
      </w:r>
      <w:r w:rsidR="001B20E8" w:rsidRPr="0057700D">
        <w:rPr>
          <w:rFonts w:ascii="Century Schoolbook" w:eastAsia="Calibri" w:hAnsi="Century Schoolbook" w:cs="Times New Roman"/>
          <w:sz w:val="26"/>
          <w:szCs w:val="26"/>
        </w:rPr>
        <w:t>40 ¶12</w:t>
      </w:r>
      <w:r w:rsidR="003F52AA" w:rsidRPr="0057700D">
        <w:rPr>
          <w:rFonts w:ascii="Century Schoolbook" w:eastAsia="Calibri" w:hAnsi="Century Schoolbook" w:cs="Times New Roman"/>
          <w:sz w:val="26"/>
          <w:szCs w:val="26"/>
        </w:rPr>
        <w:t>)</w:t>
      </w:r>
      <w:r w:rsidR="00543245" w:rsidRPr="0057700D">
        <w:rPr>
          <w:rFonts w:ascii="Century Schoolbook" w:eastAsia="Calibri" w:hAnsi="Century Schoolbook" w:cs="Times New Roman"/>
          <w:sz w:val="26"/>
          <w:szCs w:val="26"/>
        </w:rPr>
        <w:t xml:space="preserve"> </w:t>
      </w:r>
      <w:r w:rsidR="003F52AA" w:rsidRPr="0057700D">
        <w:rPr>
          <w:rFonts w:ascii="Century Schoolbook" w:eastAsia="Calibri" w:hAnsi="Century Schoolbook" w:cs="Times New Roman"/>
          <w:sz w:val="26"/>
          <w:szCs w:val="26"/>
        </w:rPr>
        <w:t xml:space="preserve"> </w:t>
      </w:r>
      <w:r w:rsidR="00543245" w:rsidRPr="0057700D">
        <w:rPr>
          <w:rFonts w:ascii="Century Schoolbook" w:eastAsia="Calibri" w:hAnsi="Century Schoolbook" w:cs="Times New Roman"/>
          <w:sz w:val="26"/>
          <w:szCs w:val="26"/>
        </w:rPr>
        <w:t xml:space="preserve">The panel did not rely on </w:t>
      </w:r>
      <w:r w:rsidR="00543245" w:rsidRPr="0057700D">
        <w:rPr>
          <w:rFonts w:ascii="Century Schoolbook" w:eastAsia="Calibri" w:hAnsi="Century Schoolbook" w:cs="Times New Roman"/>
          <w:sz w:val="26"/>
          <w:szCs w:val="26"/>
        </w:rPr>
        <w:lastRenderedPageBreak/>
        <w:t xml:space="preserve">this argument, and rightly so.  </w:t>
      </w:r>
      <w:r w:rsidR="00BE589D" w:rsidRPr="0057700D">
        <w:rPr>
          <w:rFonts w:ascii="Century Schoolbook" w:eastAsia="Calibri" w:hAnsi="Century Schoolbook" w:cs="Times New Roman"/>
          <w:sz w:val="26"/>
          <w:szCs w:val="26"/>
        </w:rPr>
        <w:t xml:space="preserve">There is no </w:t>
      </w:r>
      <w:r w:rsidR="00384EBA" w:rsidRPr="0057700D">
        <w:rPr>
          <w:rFonts w:ascii="Century Schoolbook" w:eastAsia="Calibri" w:hAnsi="Century Schoolbook" w:cs="Times New Roman"/>
          <w:sz w:val="26"/>
          <w:szCs w:val="26"/>
        </w:rPr>
        <w:t>basis</w:t>
      </w:r>
      <w:r w:rsidR="00BE589D" w:rsidRPr="0057700D">
        <w:rPr>
          <w:rFonts w:ascii="Century Schoolbook" w:eastAsia="Calibri" w:hAnsi="Century Schoolbook" w:cs="Times New Roman"/>
          <w:sz w:val="26"/>
          <w:szCs w:val="26"/>
        </w:rPr>
        <w:t xml:space="preserve"> t</w:t>
      </w:r>
      <w:r w:rsidR="006D3F5E" w:rsidRPr="0057700D">
        <w:rPr>
          <w:rFonts w:ascii="Century Schoolbook" w:eastAsia="Calibri" w:hAnsi="Century Schoolbook" w:cs="Times New Roman"/>
          <w:bCs/>
          <w:iCs/>
          <w:sz w:val="26"/>
          <w:szCs w:val="26"/>
        </w:rPr>
        <w:t xml:space="preserve">o </w:t>
      </w:r>
      <w:r w:rsidR="00384EBA" w:rsidRPr="0057700D">
        <w:rPr>
          <w:rFonts w:ascii="Century Schoolbook" w:eastAsia="Calibri" w:hAnsi="Century Schoolbook" w:cs="Times New Roman"/>
          <w:bCs/>
          <w:iCs/>
          <w:sz w:val="26"/>
          <w:szCs w:val="26"/>
        </w:rPr>
        <w:t>infer</w:t>
      </w:r>
      <w:r w:rsidR="006D3F5E" w:rsidRPr="0057700D">
        <w:rPr>
          <w:rFonts w:ascii="Century Schoolbook" w:eastAsia="Calibri" w:hAnsi="Century Schoolbook" w:cs="Times New Roman"/>
          <w:bCs/>
          <w:iCs/>
          <w:sz w:val="26"/>
          <w:szCs w:val="26"/>
        </w:rPr>
        <w:t xml:space="preserve"> that the </w:t>
      </w:r>
      <w:r w:rsidR="006D3F5E" w:rsidRPr="0057700D">
        <w:rPr>
          <w:rFonts w:ascii="Century Schoolbook" w:eastAsia="Calibri" w:hAnsi="Century Schoolbook" w:cs="Times New Roman"/>
          <w:bCs/>
          <w:i/>
          <w:sz w:val="26"/>
          <w:szCs w:val="26"/>
        </w:rPr>
        <w:t>driving</w:t>
      </w:r>
      <w:r w:rsidR="006D3F5E" w:rsidRPr="0057700D">
        <w:rPr>
          <w:rFonts w:ascii="Century Schoolbook" w:eastAsia="Calibri" w:hAnsi="Century Schoolbook" w:cs="Times New Roman"/>
          <w:bCs/>
          <w:iCs/>
          <w:sz w:val="26"/>
          <w:szCs w:val="26"/>
        </w:rPr>
        <w:t xml:space="preserve"> population in Raleigh is </w:t>
      </w:r>
      <w:proofErr w:type="gramStart"/>
      <w:r w:rsidR="006D3F5E" w:rsidRPr="0057700D">
        <w:rPr>
          <w:rFonts w:ascii="Century Schoolbook" w:eastAsia="Calibri" w:hAnsi="Century Schoolbook" w:cs="Times New Roman"/>
          <w:bCs/>
          <w:iCs/>
          <w:sz w:val="26"/>
          <w:szCs w:val="26"/>
        </w:rPr>
        <w:t>more Black</w:t>
      </w:r>
      <w:proofErr w:type="gramEnd"/>
      <w:r w:rsidR="006D3F5E" w:rsidRPr="0057700D">
        <w:rPr>
          <w:rFonts w:ascii="Century Schoolbook" w:eastAsia="Calibri" w:hAnsi="Century Schoolbook" w:cs="Times New Roman"/>
          <w:bCs/>
          <w:iCs/>
          <w:sz w:val="26"/>
          <w:szCs w:val="26"/>
        </w:rPr>
        <w:t xml:space="preserve"> than the residential population.  </w:t>
      </w:r>
      <w:r w:rsidR="00CB5BF8" w:rsidRPr="0057700D">
        <w:rPr>
          <w:rFonts w:ascii="Century Schoolbook" w:eastAsia="Calibri" w:hAnsi="Century Schoolbook" w:cs="Times New Roman"/>
          <w:bCs/>
          <w:iCs/>
          <w:sz w:val="26"/>
          <w:szCs w:val="26"/>
        </w:rPr>
        <w:t>In</w:t>
      </w:r>
      <w:r w:rsidR="00B34EA5" w:rsidRPr="0057700D">
        <w:rPr>
          <w:rFonts w:ascii="Century Schoolbook" w:eastAsia="Calibri" w:hAnsi="Century Schoolbook" w:cs="Times New Roman"/>
          <w:bCs/>
          <w:iCs/>
          <w:sz w:val="26"/>
          <w:szCs w:val="26"/>
        </w:rPr>
        <w:t xml:space="preserve"> fact,</w:t>
      </w:r>
      <w:r w:rsidR="00CB5BF8" w:rsidRPr="0057700D">
        <w:rPr>
          <w:rFonts w:ascii="Century Schoolbook" w:eastAsia="Calibri" w:hAnsi="Century Schoolbook" w:cs="Times New Roman"/>
          <w:bCs/>
          <w:iCs/>
          <w:sz w:val="26"/>
          <w:szCs w:val="26"/>
        </w:rPr>
        <w:t xml:space="preserve"> th</w:t>
      </w:r>
      <w:r w:rsidR="006D3F5E" w:rsidRPr="0057700D">
        <w:rPr>
          <w:rFonts w:ascii="Century Schoolbook" w:eastAsia="Calibri" w:hAnsi="Century Schoolbook" w:cs="Times New Roman"/>
          <w:bCs/>
          <w:iCs/>
          <w:sz w:val="26"/>
          <w:szCs w:val="26"/>
        </w:rPr>
        <w:t>e</w:t>
      </w:r>
      <w:r w:rsidR="00B112F5" w:rsidRPr="0057700D">
        <w:rPr>
          <w:rFonts w:ascii="Century Schoolbook" w:eastAsia="Calibri" w:hAnsi="Century Schoolbook" w:cs="Times New Roman"/>
          <w:bCs/>
          <w:iCs/>
          <w:sz w:val="26"/>
          <w:szCs w:val="26"/>
        </w:rPr>
        <w:t>re are credible reasons to believe the</w:t>
      </w:r>
      <w:r w:rsidR="006D3F5E" w:rsidRPr="0057700D">
        <w:rPr>
          <w:rFonts w:ascii="Century Schoolbook" w:eastAsia="Calibri" w:hAnsi="Century Schoolbook" w:cs="Times New Roman"/>
          <w:bCs/>
          <w:iCs/>
          <w:sz w:val="26"/>
          <w:szCs w:val="26"/>
        </w:rPr>
        <w:t xml:space="preserve"> </w:t>
      </w:r>
      <w:r w:rsidR="00F10C18" w:rsidRPr="0057700D">
        <w:rPr>
          <w:rFonts w:ascii="Century Schoolbook" w:eastAsia="Calibri" w:hAnsi="Century Schoolbook" w:cs="Times New Roman"/>
          <w:bCs/>
          <w:iCs/>
          <w:sz w:val="26"/>
          <w:szCs w:val="26"/>
        </w:rPr>
        <w:t xml:space="preserve">opposite is true:  </w:t>
      </w:r>
      <w:r w:rsidR="006D3F5E" w:rsidRPr="0057700D">
        <w:rPr>
          <w:rFonts w:ascii="Century Schoolbook" w:eastAsia="Calibri" w:hAnsi="Century Schoolbook" w:cs="Times New Roman"/>
          <w:bCs/>
          <w:iCs/>
          <w:sz w:val="26"/>
          <w:szCs w:val="26"/>
        </w:rPr>
        <w:t>“Preliminary national data on race-specific driving patterns, like differences in vehicle ownership by race (</w:t>
      </w:r>
      <w:proofErr w:type="gramStart"/>
      <w:r w:rsidR="006D3F5E" w:rsidRPr="0057700D">
        <w:rPr>
          <w:rFonts w:ascii="Century Schoolbook" w:eastAsia="Calibri" w:hAnsi="Century Schoolbook" w:cs="Times New Roman"/>
          <w:bCs/>
          <w:i/>
          <w:sz w:val="26"/>
          <w:szCs w:val="26"/>
        </w:rPr>
        <w:t>e.g.</w:t>
      </w:r>
      <w:proofErr w:type="gramEnd"/>
      <w:r w:rsidR="006D3F5E" w:rsidRPr="0057700D">
        <w:rPr>
          <w:rFonts w:ascii="Century Schoolbook" w:eastAsia="Calibri" w:hAnsi="Century Schoolbook" w:cs="Times New Roman"/>
          <w:bCs/>
          <w:iCs/>
          <w:sz w:val="26"/>
          <w:szCs w:val="26"/>
        </w:rPr>
        <w:t xml:space="preserve"> 51% of Black households have vehicles vs. 84% of white households)</w:t>
      </w:r>
      <w:r w:rsidR="00AD5685" w:rsidRPr="0057700D">
        <w:rPr>
          <w:rFonts w:ascii="Century Schoolbook" w:eastAsia="Calibri" w:hAnsi="Century Schoolbook" w:cs="Times New Roman"/>
          <w:bCs/>
          <w:iCs/>
          <w:sz w:val="26"/>
          <w:szCs w:val="26"/>
        </w:rPr>
        <w:t>,</w:t>
      </w:r>
      <w:r w:rsidR="006D3F5E" w:rsidRPr="0057700D">
        <w:rPr>
          <w:rFonts w:ascii="Century Schoolbook" w:eastAsia="Calibri" w:hAnsi="Century Schoolbook" w:cs="Times New Roman"/>
          <w:bCs/>
          <w:iCs/>
          <w:sz w:val="26"/>
          <w:szCs w:val="26"/>
        </w:rPr>
        <w:t xml:space="preserve"> suggest</w:t>
      </w:r>
      <w:r w:rsidR="00830A28" w:rsidRPr="0057700D">
        <w:rPr>
          <w:rFonts w:ascii="Century Schoolbook" w:eastAsia="Calibri" w:hAnsi="Century Schoolbook" w:cs="Times New Roman"/>
          <w:bCs/>
          <w:iCs/>
          <w:sz w:val="26"/>
          <w:szCs w:val="26"/>
        </w:rPr>
        <w:t>s</w:t>
      </w:r>
      <w:r w:rsidR="006D3F5E" w:rsidRPr="0057700D">
        <w:rPr>
          <w:rFonts w:ascii="Century Schoolbook" w:eastAsia="Calibri" w:hAnsi="Century Schoolbook" w:cs="Times New Roman"/>
          <w:bCs/>
          <w:iCs/>
          <w:sz w:val="26"/>
          <w:szCs w:val="26"/>
        </w:rPr>
        <w:t xml:space="preserve"> the already disparate rates by race based on residential populations may widely underestimate the true disparities</w:t>
      </w:r>
      <w:r w:rsidR="00BA498D" w:rsidRPr="0057700D">
        <w:rPr>
          <w:rFonts w:ascii="Century Schoolbook" w:eastAsia="Calibri" w:hAnsi="Century Schoolbook" w:cs="Times New Roman"/>
          <w:bCs/>
          <w:iCs/>
          <w:sz w:val="26"/>
          <w:szCs w:val="26"/>
        </w:rPr>
        <w:t xml:space="preserve"> [in traffic stops]</w:t>
      </w:r>
      <w:r w:rsidR="006D3F5E" w:rsidRPr="0057700D">
        <w:rPr>
          <w:rFonts w:ascii="Century Schoolbook" w:eastAsia="Calibri" w:hAnsi="Century Schoolbook" w:cs="Times New Roman"/>
          <w:bCs/>
          <w:iCs/>
          <w:sz w:val="26"/>
          <w:szCs w:val="26"/>
        </w:rPr>
        <w:t>.”</w:t>
      </w:r>
      <w:r w:rsidR="006D3F5E" w:rsidRPr="0057700D">
        <w:rPr>
          <w:rFonts w:ascii="Century Schoolbook" w:eastAsia="Calibri" w:hAnsi="Century Schoolbook" w:cs="Times New Roman"/>
          <w:bCs/>
          <w:iCs/>
          <w:sz w:val="26"/>
          <w:szCs w:val="26"/>
          <w:vertAlign w:val="superscript"/>
        </w:rPr>
        <w:footnoteReference w:id="13"/>
      </w:r>
      <w:r w:rsidR="006D3F5E" w:rsidRPr="0057700D">
        <w:rPr>
          <w:rFonts w:ascii="Century Schoolbook" w:eastAsia="Calibri" w:hAnsi="Century Schoolbook" w:cs="Times New Roman"/>
          <w:bCs/>
          <w:iCs/>
          <w:sz w:val="26"/>
          <w:szCs w:val="26"/>
        </w:rPr>
        <w:t xml:space="preserve">  </w:t>
      </w:r>
    </w:p>
    <w:p w14:paraId="75F48D81" w14:textId="7B02672D" w:rsidR="00F00D57" w:rsidRPr="0057700D" w:rsidRDefault="00F00D57" w:rsidP="00F00D57">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The trial court held Mr. Johnson’s prima facie showing was insufficient because he did not show</w:t>
      </w:r>
      <w:r w:rsidR="00715D51" w:rsidRPr="0057700D">
        <w:rPr>
          <w:rFonts w:ascii="Century Schoolbook" w:eastAsia="Calibri" w:hAnsi="Century Schoolbook" w:cs="Times New Roman"/>
          <w:sz w:val="26"/>
          <w:szCs w:val="26"/>
        </w:rPr>
        <w:t xml:space="preserve"> that</w:t>
      </w:r>
      <w:r w:rsidRPr="0057700D">
        <w:rPr>
          <w:rFonts w:ascii="Century Schoolbook" w:eastAsia="Calibri" w:hAnsi="Century Schoolbook" w:cs="Times New Roman"/>
          <w:sz w:val="26"/>
          <w:szCs w:val="26"/>
        </w:rPr>
        <w:t xml:space="preserve"> </w:t>
      </w:r>
      <w:proofErr w:type="gramStart"/>
      <w:r w:rsidRPr="0057700D">
        <w:rPr>
          <w:rFonts w:ascii="Century Schoolbook" w:eastAsia="Calibri" w:hAnsi="Century Schoolbook" w:cs="Times New Roman"/>
          <w:sz w:val="26"/>
          <w:szCs w:val="26"/>
        </w:rPr>
        <w:t>similarly</w:t>
      </w:r>
      <w:r w:rsidR="00E804BF" w:rsidRPr="0057700D">
        <w:rPr>
          <w:rFonts w:ascii="Century Schoolbook" w:eastAsia="Calibri" w:hAnsi="Century Schoolbook" w:cs="Times New Roman"/>
          <w:sz w:val="26"/>
          <w:szCs w:val="26"/>
        </w:rPr>
        <w:t>-</w:t>
      </w:r>
      <w:r w:rsidRPr="0057700D">
        <w:rPr>
          <w:rFonts w:ascii="Century Schoolbook" w:eastAsia="Calibri" w:hAnsi="Century Schoolbook" w:cs="Times New Roman"/>
          <w:sz w:val="26"/>
          <w:szCs w:val="26"/>
        </w:rPr>
        <w:t>situated</w:t>
      </w:r>
      <w:proofErr w:type="gramEnd"/>
      <w:r w:rsidRPr="0057700D">
        <w:rPr>
          <w:rFonts w:ascii="Century Schoolbook" w:eastAsia="Calibri" w:hAnsi="Century Schoolbook" w:cs="Times New Roman"/>
          <w:sz w:val="26"/>
          <w:szCs w:val="26"/>
        </w:rPr>
        <w:t xml:space="preserve"> drivers </w:t>
      </w:r>
      <w:r w:rsidR="00B5038E" w:rsidRPr="0057700D">
        <w:rPr>
          <w:rFonts w:ascii="Century Schoolbook" w:eastAsia="Calibri" w:hAnsi="Century Schoolbook" w:cs="Times New Roman"/>
          <w:sz w:val="26"/>
          <w:szCs w:val="26"/>
        </w:rPr>
        <w:t>of a different race were not investigated.  (</w:t>
      </w:r>
      <w:proofErr w:type="spellStart"/>
      <w:r w:rsidR="00B5038E" w:rsidRPr="0057700D">
        <w:rPr>
          <w:rFonts w:ascii="Century Schoolbook" w:eastAsia="Calibri" w:hAnsi="Century Schoolbook" w:cs="Times New Roman"/>
          <w:sz w:val="26"/>
          <w:szCs w:val="26"/>
        </w:rPr>
        <w:t>R</w:t>
      </w:r>
      <w:r w:rsidR="00F44C45" w:rsidRPr="0057700D">
        <w:rPr>
          <w:rFonts w:ascii="Century Schoolbook" w:eastAsia="Calibri" w:hAnsi="Century Schoolbook" w:cs="Times New Roman"/>
          <w:sz w:val="26"/>
          <w:szCs w:val="26"/>
        </w:rPr>
        <w:t>p</w:t>
      </w:r>
      <w:r w:rsidR="00B5038E" w:rsidRPr="0057700D">
        <w:rPr>
          <w:rFonts w:ascii="Century Schoolbook" w:eastAsia="Calibri" w:hAnsi="Century Schoolbook" w:cs="Times New Roman"/>
          <w:sz w:val="26"/>
          <w:szCs w:val="26"/>
        </w:rPr>
        <w:t>p</w:t>
      </w:r>
      <w:proofErr w:type="spellEnd"/>
      <w:r w:rsidR="00B5038E" w:rsidRPr="0057700D">
        <w:rPr>
          <w:rFonts w:ascii="Century Schoolbook" w:eastAsia="Calibri" w:hAnsi="Century Schoolbook" w:cs="Times New Roman"/>
          <w:sz w:val="26"/>
          <w:szCs w:val="26"/>
        </w:rPr>
        <w:t xml:space="preserve"> </w:t>
      </w:r>
      <w:r w:rsidR="00F44C45" w:rsidRPr="0057700D">
        <w:rPr>
          <w:rFonts w:ascii="Century Schoolbook" w:eastAsia="Calibri" w:hAnsi="Century Schoolbook" w:cs="Times New Roman"/>
          <w:sz w:val="26"/>
          <w:szCs w:val="26"/>
        </w:rPr>
        <w:t>4</w:t>
      </w:r>
      <w:r w:rsidR="001F52DC" w:rsidRPr="0057700D">
        <w:rPr>
          <w:rFonts w:ascii="Century Schoolbook" w:eastAsia="Calibri" w:hAnsi="Century Schoolbook" w:cs="Times New Roman"/>
          <w:sz w:val="26"/>
          <w:szCs w:val="26"/>
        </w:rPr>
        <w:t>3</w:t>
      </w:r>
      <w:r w:rsidR="00F44C45" w:rsidRPr="0057700D">
        <w:rPr>
          <w:rFonts w:ascii="Century Schoolbook" w:eastAsia="Calibri" w:hAnsi="Century Schoolbook" w:cs="Times New Roman"/>
          <w:sz w:val="26"/>
          <w:szCs w:val="26"/>
        </w:rPr>
        <w:t>-</w:t>
      </w:r>
      <w:r w:rsidR="006D4B5D" w:rsidRPr="0057700D">
        <w:rPr>
          <w:rFonts w:ascii="Century Schoolbook" w:eastAsia="Calibri" w:hAnsi="Century Schoolbook" w:cs="Times New Roman"/>
          <w:sz w:val="26"/>
          <w:szCs w:val="26"/>
        </w:rPr>
        <w:t>46</w:t>
      </w:r>
      <w:r w:rsidR="00B5038E" w:rsidRPr="0057700D">
        <w:rPr>
          <w:rFonts w:ascii="Century Schoolbook" w:eastAsia="Calibri" w:hAnsi="Century Schoolbook" w:cs="Times New Roman"/>
          <w:sz w:val="26"/>
          <w:szCs w:val="26"/>
        </w:rPr>
        <w:t xml:space="preserve">)  The </w:t>
      </w:r>
      <w:r w:rsidRPr="0057700D">
        <w:rPr>
          <w:rFonts w:ascii="Century Schoolbook" w:eastAsia="Calibri" w:hAnsi="Century Schoolbook" w:cs="Times New Roman"/>
          <w:sz w:val="26"/>
          <w:szCs w:val="26"/>
        </w:rPr>
        <w:t>panel expressly declined to address this issue (</w:t>
      </w:r>
      <w:r w:rsidR="00D41F9D" w:rsidRPr="0057700D">
        <w:rPr>
          <w:rFonts w:ascii="Century Schoolbook" w:eastAsia="Calibri" w:hAnsi="Century Schoolbook" w:cs="Times New Roman"/>
          <w:sz w:val="26"/>
          <w:szCs w:val="26"/>
        </w:rPr>
        <w:t>S</w:t>
      </w:r>
      <w:r w:rsidRPr="0057700D">
        <w:rPr>
          <w:rFonts w:ascii="Century Schoolbook" w:eastAsia="Calibri" w:hAnsi="Century Schoolbook" w:cs="Times New Roman"/>
          <w:sz w:val="26"/>
          <w:szCs w:val="26"/>
        </w:rPr>
        <w:t xml:space="preserve">lip </w:t>
      </w:r>
      <w:r w:rsidR="00D41F9D" w:rsidRPr="0057700D">
        <w:rPr>
          <w:rFonts w:ascii="Century Schoolbook" w:eastAsia="Calibri" w:hAnsi="Century Schoolbook" w:cs="Times New Roman"/>
          <w:sz w:val="26"/>
          <w:szCs w:val="26"/>
        </w:rPr>
        <w:t>O</w:t>
      </w:r>
      <w:r w:rsidRPr="0057700D">
        <w:rPr>
          <w:rFonts w:ascii="Century Schoolbook" w:eastAsia="Calibri" w:hAnsi="Century Schoolbook" w:cs="Times New Roman"/>
          <w:sz w:val="26"/>
          <w:szCs w:val="26"/>
        </w:rPr>
        <w:t xml:space="preserve">p at 15 n. 3) and Mr. Johnson believes it is </w:t>
      </w:r>
      <w:r w:rsidR="00E804BF" w:rsidRPr="0057700D">
        <w:rPr>
          <w:rFonts w:ascii="Century Schoolbook" w:eastAsia="Calibri" w:hAnsi="Century Schoolbook" w:cs="Times New Roman"/>
          <w:sz w:val="26"/>
          <w:szCs w:val="26"/>
        </w:rPr>
        <w:t xml:space="preserve">therefore </w:t>
      </w:r>
      <w:r w:rsidRPr="0057700D">
        <w:rPr>
          <w:rFonts w:ascii="Century Schoolbook" w:eastAsia="Calibri" w:hAnsi="Century Schoolbook" w:cs="Times New Roman"/>
          <w:sz w:val="26"/>
          <w:szCs w:val="26"/>
        </w:rPr>
        <w:t xml:space="preserve">not ripe for argument.  However, if this Court reaches the question in the interests of judicial economy and clarifying standards for courts below, it should hold </w:t>
      </w:r>
      <w:r w:rsidRPr="0057700D">
        <w:rPr>
          <w:rFonts w:ascii="Century Schoolbook" w:eastAsia="Calibri" w:hAnsi="Century Schoolbook" w:cs="Times New Roman"/>
          <w:sz w:val="26"/>
          <w:szCs w:val="26"/>
        </w:rPr>
        <w:lastRenderedPageBreak/>
        <w:t xml:space="preserve">that the </w:t>
      </w:r>
      <w:proofErr w:type="gramStart"/>
      <w:r w:rsidRPr="0057700D">
        <w:rPr>
          <w:rFonts w:ascii="Century Schoolbook" w:eastAsia="Calibri" w:hAnsi="Century Schoolbook" w:cs="Times New Roman"/>
          <w:sz w:val="26"/>
          <w:szCs w:val="26"/>
        </w:rPr>
        <w:t>similarly-situated</w:t>
      </w:r>
      <w:proofErr w:type="gramEnd"/>
      <w:r w:rsidRPr="0057700D">
        <w:rPr>
          <w:rFonts w:ascii="Century Schoolbook" w:eastAsia="Calibri" w:hAnsi="Century Schoolbook" w:cs="Times New Roman"/>
          <w:sz w:val="26"/>
          <w:szCs w:val="26"/>
        </w:rPr>
        <w:t xml:space="preserve"> requirement in selective enforcement cases</w:t>
      </w:r>
      <w:r w:rsidR="00973131" w:rsidRPr="0057700D">
        <w:rPr>
          <w:rFonts w:ascii="Century Schoolbook" w:eastAsia="Calibri" w:hAnsi="Century Schoolbook" w:cs="Times New Roman"/>
          <w:sz w:val="26"/>
          <w:szCs w:val="26"/>
        </w:rPr>
        <w:t xml:space="preserve"> is either not required, or</w:t>
      </w:r>
      <w:r w:rsidR="0068353B" w:rsidRPr="0057700D">
        <w:rPr>
          <w:rFonts w:ascii="Century Schoolbook" w:eastAsia="Calibri" w:hAnsi="Century Schoolbook" w:cs="Times New Roman"/>
          <w:sz w:val="26"/>
          <w:szCs w:val="26"/>
        </w:rPr>
        <w:t xml:space="preserve"> that the requirement</w:t>
      </w:r>
      <w:r w:rsidR="00973131"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sz w:val="26"/>
          <w:szCs w:val="26"/>
        </w:rPr>
        <w:t xml:space="preserve">may be proved through statistical evidence.  </w:t>
      </w:r>
      <w:r w:rsidRPr="0057700D">
        <w:rPr>
          <w:rFonts w:ascii="Century Schoolbook" w:eastAsia="Calibri" w:hAnsi="Century Schoolbook" w:cs="Times New Roman"/>
          <w:i/>
          <w:iCs/>
          <w:sz w:val="26"/>
          <w:szCs w:val="26"/>
        </w:rPr>
        <w:t>See, e.g., Johnson v. Holmes</w:t>
      </w:r>
      <w:r w:rsidRPr="0057700D">
        <w:rPr>
          <w:rFonts w:ascii="Century Schoolbook" w:eastAsia="Calibri" w:hAnsi="Century Schoolbook" w:cs="Times New Roman"/>
          <w:sz w:val="26"/>
          <w:szCs w:val="26"/>
        </w:rPr>
        <w:t xml:space="preserve">, 782 </w:t>
      </w:r>
      <w:r w:rsidRPr="001A2D7B">
        <w:rPr>
          <w:rFonts w:ascii="Century Schoolbook" w:eastAsia="Calibri" w:hAnsi="Century Schoolbook" w:cs="Times New Roman"/>
          <w:sz w:val="26"/>
          <w:szCs w:val="26"/>
        </w:rPr>
        <w:t>F.</w:t>
      </w:r>
      <w:r w:rsidR="00136DF1" w:rsidRPr="001A2D7B">
        <w:rPr>
          <w:rFonts w:ascii="Century Schoolbook" w:eastAsia="Calibri" w:hAnsi="Century Schoolbook" w:cs="Times New Roman"/>
          <w:sz w:val="26"/>
          <w:szCs w:val="26"/>
        </w:rPr>
        <w:t xml:space="preserve"> </w:t>
      </w:r>
      <w:proofErr w:type="spellStart"/>
      <w:r w:rsidRPr="001A2D7B">
        <w:rPr>
          <w:rFonts w:ascii="Century Schoolbook" w:eastAsia="Calibri" w:hAnsi="Century Schoolbook" w:cs="Times New Roman"/>
          <w:sz w:val="26"/>
          <w:szCs w:val="26"/>
        </w:rPr>
        <w:t>App</w:t>
      </w:r>
      <w:r w:rsidR="008C5908" w:rsidRPr="001A2D7B">
        <w:rPr>
          <w:rFonts w:ascii="Century Schoolbook" w:eastAsia="Calibri" w:hAnsi="Century Schoolbook" w:cs="Times New Roman"/>
          <w:sz w:val="26"/>
          <w:szCs w:val="26"/>
        </w:rPr>
        <w:t>’</w:t>
      </w:r>
      <w:r w:rsidRPr="001A2D7B">
        <w:rPr>
          <w:rFonts w:ascii="Century Schoolbook" w:eastAsia="Calibri" w:hAnsi="Century Schoolbook" w:cs="Times New Roman"/>
          <w:sz w:val="26"/>
          <w:szCs w:val="26"/>
        </w:rPr>
        <w:t>x</w:t>
      </w:r>
      <w:proofErr w:type="spellEnd"/>
      <w:r w:rsidRPr="001A2D7B">
        <w:rPr>
          <w:rFonts w:ascii="Century Schoolbook" w:eastAsia="Calibri" w:hAnsi="Century Schoolbook" w:cs="Times New Roman"/>
          <w:sz w:val="26"/>
          <w:szCs w:val="26"/>
        </w:rPr>
        <w:t xml:space="preserve"> 26</w:t>
      </w:r>
      <w:r w:rsidRPr="0057700D">
        <w:rPr>
          <w:rFonts w:ascii="Century Schoolbook" w:eastAsia="Calibri" w:hAnsi="Century Schoolbook" w:cs="Times New Roman"/>
          <w:sz w:val="26"/>
          <w:szCs w:val="26"/>
        </w:rPr>
        <w:t>9, 277 (4</w:t>
      </w:r>
      <w:r w:rsidRPr="0057700D">
        <w:rPr>
          <w:rFonts w:ascii="Century Schoolbook" w:eastAsia="Calibri" w:hAnsi="Century Schoolbook" w:cs="Times New Roman"/>
          <w:sz w:val="26"/>
          <w:szCs w:val="26"/>
          <w:vertAlign w:val="superscript"/>
        </w:rPr>
        <w:t>th</w:t>
      </w:r>
      <w:r w:rsidRPr="0057700D">
        <w:rPr>
          <w:rFonts w:ascii="Century Schoolbook" w:eastAsia="Calibri" w:hAnsi="Century Schoolbook" w:cs="Times New Roman"/>
          <w:sz w:val="26"/>
          <w:szCs w:val="26"/>
        </w:rPr>
        <w:t xml:space="preserve"> Cir</w:t>
      </w:r>
      <w:r w:rsidR="006E55CC" w:rsidRPr="0057700D">
        <w:rPr>
          <w:rFonts w:ascii="Century Schoolbook" w:eastAsia="Calibri" w:hAnsi="Century Schoolbook" w:cs="Times New Roman"/>
          <w:sz w:val="26"/>
          <w:szCs w:val="26"/>
        </w:rPr>
        <w:t>.</w:t>
      </w:r>
      <w:r w:rsidRPr="0057700D">
        <w:rPr>
          <w:rFonts w:ascii="Century Schoolbook" w:eastAsia="Calibri" w:hAnsi="Century Schoolbook" w:cs="Times New Roman"/>
          <w:sz w:val="26"/>
          <w:szCs w:val="26"/>
        </w:rPr>
        <w:t xml:space="preserve"> 2019)</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Johnson v. Holmes</w:instrText>
      </w:r>
      <w:r w:rsidR="00825D98" w:rsidRPr="0057700D">
        <w:rPr>
          <w:rFonts w:ascii="Century Schoolbook" w:eastAsia="Calibri" w:hAnsi="Century Schoolbook" w:cs="Times New Roman"/>
          <w:sz w:val="26"/>
          <w:szCs w:val="26"/>
        </w:rPr>
        <w:instrText>, 782 F.App’x 269, 277 (4</w:instrText>
      </w:r>
      <w:r w:rsidR="00825D98" w:rsidRPr="0057700D">
        <w:rPr>
          <w:rFonts w:ascii="Century Schoolbook" w:eastAsia="Calibri" w:hAnsi="Century Schoolbook" w:cs="Times New Roman"/>
          <w:sz w:val="26"/>
          <w:szCs w:val="26"/>
          <w:vertAlign w:val="superscript"/>
        </w:rPr>
        <w:instrText>th</w:instrText>
      </w:r>
      <w:r w:rsidR="00825D98" w:rsidRPr="0057700D">
        <w:rPr>
          <w:rFonts w:ascii="Century Schoolbook" w:eastAsia="Calibri" w:hAnsi="Century Schoolbook" w:cs="Times New Roman"/>
          <w:sz w:val="26"/>
          <w:szCs w:val="26"/>
        </w:rPr>
        <w:instrText xml:space="preserve"> Cir. 2019)</w:instrText>
      </w:r>
      <w:r w:rsidR="00825D98" w:rsidRPr="0057700D">
        <w:instrText xml:space="preserve">" \s "Johnson v. Holmes, 782 F.App’x 269, 277 (4th Cir. 2019)" \c 1 </w:instrText>
      </w:r>
      <w:r w:rsidR="00825D98" w:rsidRPr="0057700D">
        <w:rPr>
          <w:rFonts w:ascii="Century Schoolbook" w:eastAsia="Calibri" w:hAnsi="Century Schoolbook" w:cs="Times New Roman"/>
          <w:sz w:val="26"/>
          <w:szCs w:val="26"/>
        </w:rPr>
        <w:fldChar w:fldCharType="end"/>
      </w:r>
      <w:r w:rsidRPr="0057700D">
        <w:rPr>
          <w:rFonts w:ascii="Century Schoolbook" w:eastAsia="Calibri" w:hAnsi="Century Schoolbook" w:cs="Times New Roman"/>
          <w:sz w:val="26"/>
          <w:szCs w:val="26"/>
        </w:rPr>
        <w:t>.</w:t>
      </w:r>
      <w:r w:rsidRPr="0057700D">
        <w:rPr>
          <w:rStyle w:val="FootnoteReference"/>
          <w:rFonts w:ascii="Century Schoolbook" w:eastAsia="Calibri" w:hAnsi="Century Schoolbook" w:cs="Times New Roman"/>
          <w:sz w:val="26"/>
          <w:szCs w:val="26"/>
        </w:rPr>
        <w:footnoteReference w:id="14"/>
      </w:r>
      <w:r w:rsidRPr="0057700D">
        <w:rPr>
          <w:rFonts w:ascii="Century Schoolbook" w:eastAsia="Calibri" w:hAnsi="Century Schoolbook" w:cs="Times New Roman"/>
          <w:sz w:val="26"/>
          <w:szCs w:val="26"/>
        </w:rPr>
        <w:t xml:space="preserve">  Mr. Johnson </w:t>
      </w:r>
      <w:r w:rsidR="00695389" w:rsidRPr="0057700D">
        <w:rPr>
          <w:rFonts w:ascii="Century Schoolbook" w:eastAsia="Calibri" w:hAnsi="Century Schoolbook" w:cs="Times New Roman"/>
          <w:sz w:val="26"/>
          <w:szCs w:val="26"/>
        </w:rPr>
        <w:t xml:space="preserve">simply </w:t>
      </w:r>
      <w:r w:rsidRPr="0057700D">
        <w:rPr>
          <w:rFonts w:ascii="Century Schoolbook" w:eastAsia="Calibri" w:hAnsi="Century Schoolbook" w:cs="Times New Roman"/>
          <w:sz w:val="26"/>
          <w:szCs w:val="26"/>
        </w:rPr>
        <w:t xml:space="preserve">would not have been able to prove who Officer Kuchen chose </w:t>
      </w:r>
      <w:r w:rsidRPr="0057700D">
        <w:rPr>
          <w:rFonts w:ascii="Century Schoolbook" w:eastAsia="Calibri" w:hAnsi="Century Schoolbook" w:cs="Times New Roman"/>
          <w:i/>
          <w:iCs/>
          <w:sz w:val="26"/>
          <w:szCs w:val="26"/>
        </w:rPr>
        <w:t>not</w:t>
      </w:r>
      <w:r w:rsidRPr="0057700D">
        <w:rPr>
          <w:rFonts w:ascii="Century Schoolbook" w:eastAsia="Calibri" w:hAnsi="Century Schoolbook" w:cs="Times New Roman"/>
          <w:sz w:val="26"/>
          <w:szCs w:val="26"/>
        </w:rPr>
        <w:t xml:space="preserve"> to investigate for trespassing</w:t>
      </w:r>
      <w:r w:rsidR="002B7446" w:rsidRPr="0057700D">
        <w:rPr>
          <w:rFonts w:ascii="Century Schoolbook" w:eastAsia="Calibri" w:hAnsi="Century Schoolbook" w:cs="Times New Roman"/>
          <w:sz w:val="26"/>
          <w:szCs w:val="26"/>
        </w:rPr>
        <w:t>.  O</w:t>
      </w:r>
      <w:r w:rsidRPr="0057700D">
        <w:rPr>
          <w:rFonts w:ascii="Century Schoolbook" w:eastAsia="Calibri" w:hAnsi="Century Schoolbook" w:cs="Times New Roman"/>
          <w:sz w:val="26"/>
          <w:szCs w:val="26"/>
        </w:rPr>
        <w:t>fficers do not keep records of stops that do not occur</w:t>
      </w:r>
      <w:r w:rsidR="005254DF" w:rsidRPr="0057700D">
        <w:rPr>
          <w:rFonts w:ascii="Century Schoolbook" w:eastAsia="Calibri" w:hAnsi="Century Schoolbook" w:cs="Times New Roman"/>
          <w:sz w:val="26"/>
          <w:szCs w:val="26"/>
        </w:rPr>
        <w:t>.</w:t>
      </w:r>
      <w:r w:rsidRPr="0057700D">
        <w:rPr>
          <w:rFonts w:ascii="Century Schoolbook" w:eastAsia="Calibri" w:hAnsi="Century Schoolbook" w:cs="Times New Roman"/>
          <w:sz w:val="26"/>
          <w:szCs w:val="26"/>
        </w:rPr>
        <w:t xml:space="preserve">     </w:t>
      </w:r>
    </w:p>
    <w:p w14:paraId="51A2A456" w14:textId="5A067817" w:rsidR="00B3069D" w:rsidRPr="0057700D" w:rsidRDefault="00186A8D" w:rsidP="00186A8D">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To </w:t>
      </w:r>
      <w:r w:rsidR="001A7AE5" w:rsidRPr="0057700D">
        <w:rPr>
          <w:rFonts w:ascii="Century Schoolbook" w:eastAsia="Calibri" w:hAnsi="Century Schoolbook" w:cs="Times New Roman"/>
          <w:sz w:val="26"/>
          <w:szCs w:val="26"/>
        </w:rPr>
        <w:t xml:space="preserve">require otherwise would </w:t>
      </w:r>
      <w:r w:rsidRPr="0057700D">
        <w:rPr>
          <w:rFonts w:ascii="Century Schoolbook" w:eastAsia="Calibri" w:hAnsi="Century Schoolbook" w:cs="Times New Roman"/>
          <w:sz w:val="26"/>
          <w:szCs w:val="26"/>
        </w:rPr>
        <w:t>create an impossible burden for citizens trying to secure their right to equal protection under the law.  Mr. Johnson presented the data reasonably available to him after significant effort by his appointed attorney.  Requiring more to merely raise an inference of discrimination is unduly burdensome and unfair.  Further, such a framework incentivizes the State to avoid collecting data, and to make it difficult to retrieve.</w:t>
      </w:r>
      <w:r w:rsidRPr="0057700D">
        <w:rPr>
          <w:rStyle w:val="FootnoteReference"/>
          <w:rFonts w:ascii="Century Schoolbook" w:eastAsia="Calibri" w:hAnsi="Century Schoolbook" w:cs="Times New Roman"/>
          <w:sz w:val="26"/>
          <w:szCs w:val="26"/>
        </w:rPr>
        <w:footnoteReference w:id="15"/>
      </w:r>
      <w:r w:rsidRPr="0057700D">
        <w:rPr>
          <w:rFonts w:ascii="Century Schoolbook" w:eastAsia="Calibri" w:hAnsi="Century Schoolbook" w:cs="Times New Roman"/>
          <w:sz w:val="26"/>
          <w:szCs w:val="26"/>
        </w:rPr>
        <w:t xml:space="preserve">  If North Carolina is to meaningfully address race discrimination in policing, the incentives should lead to the exact opposite goal:  a thorough collection of data openly available to the public. </w:t>
      </w:r>
    </w:p>
    <w:p w14:paraId="375CA6D8" w14:textId="49ABBCB4" w:rsidR="00EB2F6B" w:rsidRPr="0057700D" w:rsidRDefault="00017A46" w:rsidP="00EB2F6B">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lastRenderedPageBreak/>
        <w:t>7</w:t>
      </w:r>
      <w:r w:rsidR="0008477D" w:rsidRPr="0057700D">
        <w:rPr>
          <w:rFonts w:ascii="Century Schoolbook" w:eastAsia="Calibri" w:hAnsi="Century Schoolbook" w:cs="Times New Roman"/>
          <w:sz w:val="26"/>
          <w:szCs w:val="26"/>
        </w:rPr>
        <w:t xml:space="preserve">.  </w:t>
      </w:r>
      <w:r w:rsidR="0008477D" w:rsidRPr="0057700D">
        <w:rPr>
          <w:rFonts w:ascii="Century Schoolbook" w:eastAsia="Calibri" w:hAnsi="Century Schoolbook" w:cs="Times New Roman"/>
          <w:sz w:val="26"/>
          <w:szCs w:val="26"/>
          <w:u w:val="single"/>
        </w:rPr>
        <w:t>The ‘o</w:t>
      </w:r>
      <w:r w:rsidR="00EB2F6B" w:rsidRPr="0057700D">
        <w:rPr>
          <w:rFonts w:ascii="Century Schoolbook" w:eastAsia="Calibri" w:hAnsi="Century Schoolbook" w:cs="Times New Roman"/>
          <w:sz w:val="26"/>
          <w:szCs w:val="26"/>
          <w:u w:val="single"/>
        </w:rPr>
        <w:t>ther evidence</w:t>
      </w:r>
      <w:r w:rsidR="0008477D" w:rsidRPr="0057700D">
        <w:rPr>
          <w:rFonts w:ascii="Century Schoolbook" w:eastAsia="Calibri" w:hAnsi="Century Schoolbook" w:cs="Times New Roman"/>
          <w:sz w:val="26"/>
          <w:szCs w:val="26"/>
          <w:u w:val="single"/>
        </w:rPr>
        <w:t>’</w:t>
      </w:r>
      <w:r w:rsidR="00EA5A4D" w:rsidRPr="0057700D">
        <w:rPr>
          <w:rFonts w:ascii="Century Schoolbook" w:eastAsia="Calibri" w:hAnsi="Century Schoolbook" w:cs="Times New Roman"/>
          <w:sz w:val="26"/>
          <w:szCs w:val="26"/>
          <w:u w:val="single"/>
        </w:rPr>
        <w:t xml:space="preserve"> </w:t>
      </w:r>
      <w:r w:rsidR="0008477D" w:rsidRPr="0057700D">
        <w:rPr>
          <w:rFonts w:ascii="Century Schoolbook" w:eastAsia="Calibri" w:hAnsi="Century Schoolbook" w:cs="Times New Roman"/>
          <w:sz w:val="26"/>
          <w:szCs w:val="26"/>
          <w:u w:val="single"/>
        </w:rPr>
        <w:t>supported discriminatory purpose</w:t>
      </w:r>
      <w:r w:rsidR="0008477D" w:rsidRPr="0057700D">
        <w:rPr>
          <w:rFonts w:ascii="Century Schoolbook" w:eastAsia="Calibri" w:hAnsi="Century Schoolbook" w:cs="Times New Roman"/>
          <w:sz w:val="26"/>
          <w:szCs w:val="26"/>
        </w:rPr>
        <w:t>.</w:t>
      </w:r>
    </w:p>
    <w:p w14:paraId="57011B53" w14:textId="3A7A88E1" w:rsidR="00F32E55" w:rsidRPr="0057700D" w:rsidRDefault="00BB1070" w:rsidP="00F32E55">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Mr. Johnson presented relevant statistics from which a reasonable inference of discrimination could be drawn, and the statistics were so stark that they alone supported the prima facie inference.  </w:t>
      </w:r>
      <w:r w:rsidRPr="0057700D">
        <w:rPr>
          <w:rFonts w:ascii="Century Schoolbook" w:eastAsia="Calibri" w:hAnsi="Century Schoolbook" w:cs="Times New Roman"/>
          <w:i/>
          <w:iCs/>
          <w:sz w:val="26"/>
          <w:szCs w:val="26"/>
        </w:rPr>
        <w:t>See Barden.</w:t>
      </w:r>
      <w:r w:rsidRPr="0057700D">
        <w:rPr>
          <w:rFonts w:ascii="Century Schoolbook" w:eastAsia="Calibri" w:hAnsi="Century Schoolbook" w:cs="Times New Roman"/>
          <w:sz w:val="26"/>
          <w:szCs w:val="26"/>
        </w:rPr>
        <w:t xml:space="preserve">  </w:t>
      </w:r>
      <w:r w:rsidR="00E94E31" w:rsidRPr="0057700D">
        <w:rPr>
          <w:rFonts w:ascii="Century Schoolbook" w:eastAsia="Calibri" w:hAnsi="Century Schoolbook" w:cs="Times New Roman"/>
          <w:sz w:val="26"/>
          <w:szCs w:val="26"/>
        </w:rPr>
        <w:t>But the full circumstances of this stop, including the poor showing of r</w:t>
      </w:r>
      <w:r w:rsidR="00E34A45" w:rsidRPr="0057700D">
        <w:rPr>
          <w:rFonts w:ascii="Century Schoolbook" w:eastAsia="Calibri" w:hAnsi="Century Schoolbook" w:cs="Times New Roman"/>
          <w:sz w:val="26"/>
          <w:szCs w:val="26"/>
        </w:rPr>
        <w:t>easonable suspicion by Officer Kuchen</w:t>
      </w:r>
      <w:r w:rsidR="00E94E31" w:rsidRPr="0057700D">
        <w:rPr>
          <w:rFonts w:ascii="Century Schoolbook" w:eastAsia="Calibri" w:hAnsi="Century Schoolbook" w:cs="Times New Roman"/>
          <w:sz w:val="26"/>
          <w:szCs w:val="26"/>
        </w:rPr>
        <w:t>,</w:t>
      </w:r>
      <w:r w:rsidR="00E94E31" w:rsidRPr="0057700D">
        <w:rPr>
          <w:rStyle w:val="FootnoteReference"/>
          <w:rFonts w:ascii="Century Schoolbook" w:eastAsia="Calibri" w:hAnsi="Century Schoolbook" w:cs="Times New Roman"/>
          <w:sz w:val="26"/>
          <w:szCs w:val="26"/>
        </w:rPr>
        <w:footnoteReference w:id="16"/>
      </w:r>
      <w:r w:rsidR="00E94E31" w:rsidRPr="0057700D">
        <w:rPr>
          <w:rFonts w:ascii="Century Schoolbook" w:eastAsia="Calibri" w:hAnsi="Century Schoolbook" w:cs="Times New Roman"/>
          <w:sz w:val="26"/>
          <w:szCs w:val="26"/>
        </w:rPr>
        <w:t xml:space="preserve"> further support Mr. Johnson’s prima facie case</w:t>
      </w:r>
      <w:r w:rsidR="00E34A45" w:rsidRPr="0057700D">
        <w:rPr>
          <w:rFonts w:ascii="Century Schoolbook" w:eastAsia="Calibri" w:hAnsi="Century Schoolbook" w:cs="Times New Roman"/>
          <w:sz w:val="26"/>
          <w:szCs w:val="26"/>
        </w:rPr>
        <w:t>.</w:t>
      </w:r>
      <w:r w:rsidR="00EB2F6B" w:rsidRPr="0057700D">
        <w:rPr>
          <w:rFonts w:ascii="Century Schoolbook" w:eastAsia="Calibri" w:hAnsi="Century Schoolbook" w:cs="Times New Roman"/>
          <w:sz w:val="26"/>
          <w:szCs w:val="26"/>
        </w:rPr>
        <w:t xml:space="preserve"> </w:t>
      </w:r>
      <w:r w:rsidR="00E95464" w:rsidRPr="0057700D">
        <w:rPr>
          <w:rFonts w:ascii="Century Schoolbook" w:eastAsia="Calibri" w:hAnsi="Century Schoolbook" w:cs="Times New Roman"/>
          <w:sz w:val="26"/>
          <w:szCs w:val="26"/>
        </w:rPr>
        <w:t xml:space="preserve"> </w:t>
      </w:r>
      <w:r w:rsidR="00146A81" w:rsidRPr="0057700D">
        <w:rPr>
          <w:rFonts w:ascii="Century Schoolbook" w:eastAsia="Calibri" w:hAnsi="Century Schoolbook" w:cs="Times New Roman"/>
          <w:i/>
          <w:iCs/>
          <w:sz w:val="26"/>
          <w:szCs w:val="26"/>
        </w:rPr>
        <w:t>See Md. State Conf. of NAACP Branches v. Md. State Police</w:t>
      </w:r>
      <w:r w:rsidR="00146A81" w:rsidRPr="0057700D">
        <w:rPr>
          <w:rFonts w:ascii="Century Schoolbook" w:eastAsia="Calibri" w:hAnsi="Century Schoolbook" w:cs="Times New Roman"/>
          <w:sz w:val="26"/>
          <w:szCs w:val="26"/>
        </w:rPr>
        <w:t xml:space="preserve">, 454 </w:t>
      </w:r>
      <w:r w:rsidR="00146A81" w:rsidRPr="001A2D7B">
        <w:rPr>
          <w:rFonts w:ascii="Century Schoolbook" w:eastAsia="Calibri" w:hAnsi="Century Schoolbook" w:cs="Times New Roman"/>
          <w:sz w:val="26"/>
          <w:szCs w:val="26"/>
        </w:rPr>
        <w:t>F.</w:t>
      </w:r>
      <w:r w:rsidR="00136DF1" w:rsidRPr="001A2D7B">
        <w:rPr>
          <w:rFonts w:ascii="Century Schoolbook" w:eastAsia="Calibri" w:hAnsi="Century Schoolbook" w:cs="Times New Roman"/>
          <w:sz w:val="26"/>
          <w:szCs w:val="26"/>
        </w:rPr>
        <w:t xml:space="preserve"> </w:t>
      </w:r>
      <w:r w:rsidR="00146A81" w:rsidRPr="001A2D7B">
        <w:rPr>
          <w:rFonts w:ascii="Century Schoolbook" w:eastAsia="Calibri" w:hAnsi="Century Schoolbook" w:cs="Times New Roman"/>
          <w:sz w:val="26"/>
          <w:szCs w:val="26"/>
        </w:rPr>
        <w:t>Supp.</w:t>
      </w:r>
      <w:r w:rsidR="00136DF1" w:rsidRPr="001A2D7B">
        <w:rPr>
          <w:rFonts w:ascii="Century Schoolbook" w:eastAsia="Calibri" w:hAnsi="Century Schoolbook" w:cs="Times New Roman"/>
          <w:sz w:val="26"/>
          <w:szCs w:val="26"/>
        </w:rPr>
        <w:t xml:space="preserve"> </w:t>
      </w:r>
      <w:r w:rsidR="00146A81" w:rsidRPr="001A2D7B">
        <w:rPr>
          <w:rFonts w:ascii="Century Schoolbook" w:eastAsia="Calibri" w:hAnsi="Century Schoolbook" w:cs="Times New Roman"/>
          <w:sz w:val="26"/>
          <w:szCs w:val="26"/>
        </w:rPr>
        <w:t>2d 339, 349 (D.</w:t>
      </w:r>
      <w:r w:rsidR="007A4C25" w:rsidRPr="001A2D7B">
        <w:rPr>
          <w:rFonts w:ascii="Century Schoolbook" w:eastAsia="Calibri" w:hAnsi="Century Schoolbook" w:cs="Times New Roman"/>
          <w:sz w:val="26"/>
          <w:szCs w:val="26"/>
        </w:rPr>
        <w:t xml:space="preserve"> </w:t>
      </w:r>
      <w:r w:rsidR="00146A81" w:rsidRPr="001A2D7B">
        <w:rPr>
          <w:rFonts w:ascii="Century Schoolbook" w:eastAsia="Calibri" w:hAnsi="Century Schoolbook" w:cs="Times New Roman"/>
          <w:sz w:val="26"/>
          <w:szCs w:val="26"/>
        </w:rPr>
        <w:t>Md.</w:t>
      </w:r>
      <w:r w:rsidR="00146A81" w:rsidRPr="0057700D">
        <w:rPr>
          <w:rFonts w:ascii="Century Schoolbook" w:eastAsia="Calibri" w:hAnsi="Century Schoolbook" w:cs="Times New Roman"/>
          <w:sz w:val="26"/>
          <w:szCs w:val="26"/>
        </w:rPr>
        <w:t xml:space="preserve"> 2006)</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Md. State Conf. of NAACP Branches v. Md. State Police</w:instrText>
      </w:r>
      <w:r w:rsidR="00825D98" w:rsidRPr="0057700D">
        <w:rPr>
          <w:rFonts w:ascii="Century Schoolbook" w:eastAsia="Calibri" w:hAnsi="Century Schoolbook" w:cs="Times New Roman"/>
          <w:sz w:val="26"/>
          <w:szCs w:val="26"/>
        </w:rPr>
        <w:instrText>, 454 F.Supp.2d 339, 349 (D.Md. 2006)</w:instrText>
      </w:r>
      <w:r w:rsidR="00825D98" w:rsidRPr="0057700D">
        <w:instrText xml:space="preserve">" \s "Md. State Conf. of NAACP Branches v. Md. State Police, 454 F.Supp.2d 339, 349 (D.Md. 2006)" \c 1 </w:instrText>
      </w:r>
      <w:r w:rsidR="00825D98" w:rsidRPr="0057700D">
        <w:rPr>
          <w:rFonts w:ascii="Century Schoolbook" w:eastAsia="Calibri" w:hAnsi="Century Schoolbook" w:cs="Times New Roman"/>
          <w:sz w:val="26"/>
          <w:szCs w:val="26"/>
        </w:rPr>
        <w:fldChar w:fldCharType="end"/>
      </w:r>
      <w:r w:rsidR="00146A81" w:rsidRPr="0057700D">
        <w:rPr>
          <w:rFonts w:ascii="Century Schoolbook" w:eastAsia="Calibri" w:hAnsi="Century Schoolbook" w:cs="Times New Roman"/>
          <w:sz w:val="26"/>
          <w:szCs w:val="26"/>
        </w:rPr>
        <w:t xml:space="preserve"> (holding that “statistical evidence plus the arguable absence of any legitimate justification for the stop, is sufficient” to establish Fourteenth Amendment violation for summary judgment purposes).</w:t>
      </w:r>
      <w:r w:rsidR="005301BA" w:rsidRPr="0057700D">
        <w:rPr>
          <w:rFonts w:ascii="Century Schoolbook" w:eastAsia="Calibri" w:hAnsi="Century Schoolbook" w:cs="Times New Roman"/>
          <w:sz w:val="26"/>
          <w:szCs w:val="26"/>
        </w:rPr>
        <w:t xml:space="preserve">  </w:t>
      </w:r>
    </w:p>
    <w:p w14:paraId="56E97C4E" w14:textId="228BE1F4" w:rsidR="00F32E55" w:rsidRPr="0057700D" w:rsidRDefault="00F32E55" w:rsidP="00F32E55">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Kuchen testified he was conducting “proactive crime patrol</w:t>
      </w:r>
      <w:r w:rsidR="00EA6790" w:rsidRPr="0057700D">
        <w:rPr>
          <w:rFonts w:ascii="Century Schoolbook" w:eastAsia="Calibri" w:hAnsi="Century Schoolbook" w:cs="Times New Roman"/>
          <w:sz w:val="26"/>
          <w:szCs w:val="26"/>
        </w:rPr>
        <w:t>.</w:t>
      </w:r>
      <w:r w:rsidRPr="0057700D">
        <w:rPr>
          <w:rFonts w:ascii="Century Schoolbook" w:eastAsia="Calibri" w:hAnsi="Century Schoolbook" w:cs="Times New Roman"/>
          <w:sz w:val="26"/>
          <w:szCs w:val="26"/>
        </w:rPr>
        <w:t>”</w:t>
      </w:r>
      <w:r w:rsidR="00EA6790" w:rsidRPr="0057700D">
        <w:rPr>
          <w:rStyle w:val="FootnoteReference"/>
          <w:rFonts w:ascii="Century Schoolbook" w:eastAsia="Calibri" w:hAnsi="Century Schoolbook" w:cs="Times New Roman"/>
          <w:sz w:val="26"/>
          <w:szCs w:val="26"/>
        </w:rPr>
        <w:footnoteReference w:id="17"/>
      </w:r>
      <w:r w:rsidR="009B3530" w:rsidRPr="0057700D">
        <w:rPr>
          <w:rFonts w:ascii="Century Schoolbook" w:eastAsia="Calibri" w:hAnsi="Century Schoolbook" w:cs="Times New Roman"/>
          <w:sz w:val="26"/>
          <w:szCs w:val="26"/>
        </w:rPr>
        <w:t xml:space="preserve"> </w:t>
      </w:r>
      <w:r w:rsidR="00EA6790" w:rsidRPr="0057700D">
        <w:rPr>
          <w:rFonts w:ascii="Century Schoolbook" w:eastAsia="Calibri" w:hAnsi="Century Schoolbook" w:cs="Times New Roman"/>
          <w:sz w:val="26"/>
          <w:szCs w:val="26"/>
        </w:rPr>
        <w:t xml:space="preserve"> </w:t>
      </w:r>
      <w:r w:rsidR="00445847" w:rsidRPr="0057700D">
        <w:rPr>
          <w:rFonts w:ascii="Century Schoolbook" w:eastAsia="Calibri" w:hAnsi="Century Schoolbook" w:cs="Times New Roman"/>
          <w:sz w:val="26"/>
          <w:szCs w:val="26"/>
        </w:rPr>
        <w:t>(</w:t>
      </w:r>
      <w:proofErr w:type="spellStart"/>
      <w:r w:rsidR="00445847" w:rsidRPr="0057700D">
        <w:rPr>
          <w:rFonts w:ascii="Century Schoolbook" w:eastAsia="Calibri" w:hAnsi="Century Schoolbook" w:cs="Times New Roman"/>
          <w:sz w:val="26"/>
          <w:szCs w:val="26"/>
        </w:rPr>
        <w:t>Tp</w:t>
      </w:r>
      <w:proofErr w:type="spellEnd"/>
      <w:r w:rsidR="00445847" w:rsidRPr="0057700D">
        <w:rPr>
          <w:rFonts w:ascii="Century Schoolbook" w:eastAsia="Calibri" w:hAnsi="Century Schoolbook" w:cs="Times New Roman"/>
          <w:sz w:val="26"/>
          <w:szCs w:val="26"/>
        </w:rPr>
        <w:t xml:space="preserve"> 22) </w:t>
      </w:r>
    </w:p>
    <w:p w14:paraId="076038BB" w14:textId="658B7866" w:rsidR="000E4CCD" w:rsidRPr="0057700D" w:rsidRDefault="00D141CD" w:rsidP="00F32E55">
      <w:pPr>
        <w:spacing w:after="0" w:line="480" w:lineRule="auto"/>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lastRenderedPageBreak/>
        <w:t>Mr. Johnson</w:t>
      </w:r>
      <w:r w:rsidR="00787B34" w:rsidRPr="0057700D">
        <w:rPr>
          <w:rFonts w:ascii="Century Schoolbook" w:eastAsia="Calibri" w:hAnsi="Century Schoolbook" w:cs="Times New Roman"/>
          <w:sz w:val="26"/>
          <w:szCs w:val="26"/>
        </w:rPr>
        <w:t>, however,</w:t>
      </w:r>
      <w:r w:rsidRPr="0057700D">
        <w:rPr>
          <w:rFonts w:ascii="Century Schoolbook" w:eastAsia="Calibri" w:hAnsi="Century Schoolbook" w:cs="Times New Roman"/>
          <w:sz w:val="26"/>
          <w:szCs w:val="26"/>
        </w:rPr>
        <w:t xml:space="preserve"> was </w:t>
      </w:r>
      <w:r w:rsidR="00B41B75" w:rsidRPr="0057700D">
        <w:rPr>
          <w:rFonts w:ascii="Century Schoolbook" w:eastAsia="Calibri" w:hAnsi="Century Schoolbook" w:cs="Times New Roman"/>
          <w:sz w:val="26"/>
          <w:szCs w:val="26"/>
        </w:rPr>
        <w:t xml:space="preserve">doing nothing to </w:t>
      </w:r>
      <w:r w:rsidR="001B1AA8" w:rsidRPr="0057700D">
        <w:rPr>
          <w:rFonts w:ascii="Century Schoolbook" w:eastAsia="Calibri" w:hAnsi="Century Schoolbook" w:cs="Times New Roman"/>
          <w:sz w:val="26"/>
          <w:szCs w:val="26"/>
        </w:rPr>
        <w:t xml:space="preserve">raise a reasonable suspicion that he was </w:t>
      </w:r>
      <w:r w:rsidRPr="0057700D">
        <w:rPr>
          <w:rFonts w:ascii="Century Schoolbook" w:eastAsia="Calibri" w:hAnsi="Century Schoolbook" w:cs="Times New Roman"/>
          <w:sz w:val="26"/>
          <w:szCs w:val="26"/>
        </w:rPr>
        <w:t xml:space="preserve">engaged in any crime.  He </w:t>
      </w:r>
      <w:r w:rsidR="00EB2F6B" w:rsidRPr="0057700D">
        <w:rPr>
          <w:rFonts w:ascii="Century Schoolbook" w:eastAsia="Calibri" w:hAnsi="Century Schoolbook" w:cs="Times New Roman"/>
          <w:sz w:val="26"/>
          <w:szCs w:val="26"/>
        </w:rPr>
        <w:t xml:space="preserve">was not driving down the road violating traffic laws.  </w:t>
      </w:r>
      <w:r w:rsidR="00BA2875" w:rsidRPr="0057700D">
        <w:rPr>
          <w:rFonts w:ascii="Century Schoolbook" w:eastAsia="Calibri" w:hAnsi="Century Schoolbook" w:cs="Times New Roman"/>
          <w:i/>
          <w:iCs/>
          <w:sz w:val="26"/>
          <w:szCs w:val="26"/>
        </w:rPr>
        <w:t>See State v. Style</w:t>
      </w:r>
      <w:r w:rsidR="00BA2875" w:rsidRPr="0057700D">
        <w:rPr>
          <w:rFonts w:ascii="Century Schoolbook" w:eastAsia="Calibri" w:hAnsi="Century Schoolbook" w:cs="Times New Roman"/>
          <w:sz w:val="26"/>
          <w:szCs w:val="26"/>
        </w:rPr>
        <w:t>s, 362 N.C. 412, 417 (2008)</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State v. Style</w:instrText>
      </w:r>
      <w:r w:rsidR="00825D98" w:rsidRPr="0057700D">
        <w:rPr>
          <w:rFonts w:ascii="Century Schoolbook" w:eastAsia="Calibri" w:hAnsi="Century Schoolbook" w:cs="Times New Roman"/>
          <w:sz w:val="26"/>
          <w:szCs w:val="26"/>
        </w:rPr>
        <w:instrText>s, 362 N.C. 412, 417 (2008)</w:instrText>
      </w:r>
      <w:r w:rsidR="00825D98" w:rsidRPr="0057700D">
        <w:instrText xml:space="preserve">" \s "State v. Styles, 362 N.C. 412, 417 (2008)" \c 1 </w:instrText>
      </w:r>
      <w:r w:rsidR="00825D98" w:rsidRPr="0057700D">
        <w:rPr>
          <w:rFonts w:ascii="Century Schoolbook" w:eastAsia="Calibri" w:hAnsi="Century Schoolbook" w:cs="Times New Roman"/>
          <w:sz w:val="26"/>
          <w:szCs w:val="26"/>
        </w:rPr>
        <w:fldChar w:fldCharType="end"/>
      </w:r>
      <w:r w:rsidR="00BA2875" w:rsidRPr="0057700D">
        <w:rPr>
          <w:rFonts w:ascii="Century Schoolbook" w:eastAsia="Calibri" w:hAnsi="Century Schoolbook" w:cs="Times New Roman"/>
          <w:sz w:val="26"/>
          <w:szCs w:val="26"/>
        </w:rPr>
        <w:t xml:space="preserve">.  </w:t>
      </w:r>
      <w:r w:rsidR="00EB2F6B" w:rsidRPr="0057700D">
        <w:rPr>
          <w:rFonts w:ascii="Century Schoolbook" w:eastAsia="Calibri" w:hAnsi="Century Schoolbook" w:cs="Times New Roman"/>
          <w:sz w:val="26"/>
          <w:szCs w:val="26"/>
        </w:rPr>
        <w:t xml:space="preserve">He was not </w:t>
      </w:r>
      <w:r w:rsidR="00053ED5" w:rsidRPr="0057700D">
        <w:rPr>
          <w:rFonts w:ascii="Century Schoolbook" w:eastAsia="Calibri" w:hAnsi="Century Schoolbook" w:cs="Times New Roman"/>
          <w:sz w:val="26"/>
          <w:szCs w:val="26"/>
        </w:rPr>
        <w:t>running</w:t>
      </w:r>
      <w:r w:rsidR="00EB2F6B" w:rsidRPr="0057700D">
        <w:rPr>
          <w:rFonts w:ascii="Century Schoolbook" w:eastAsia="Calibri" w:hAnsi="Century Schoolbook" w:cs="Times New Roman"/>
          <w:sz w:val="26"/>
          <w:szCs w:val="26"/>
        </w:rPr>
        <w:t xml:space="preserve"> away from the scene of a </w:t>
      </w:r>
      <w:r w:rsidR="00053ED5" w:rsidRPr="0057700D">
        <w:rPr>
          <w:rFonts w:ascii="Century Schoolbook" w:eastAsia="Calibri" w:hAnsi="Century Schoolbook" w:cs="Times New Roman"/>
          <w:sz w:val="26"/>
          <w:szCs w:val="26"/>
        </w:rPr>
        <w:t>crime</w:t>
      </w:r>
      <w:r w:rsidR="00EB2F6B" w:rsidRPr="0057700D">
        <w:rPr>
          <w:rFonts w:ascii="Century Schoolbook" w:eastAsia="Calibri" w:hAnsi="Century Schoolbook" w:cs="Times New Roman"/>
          <w:sz w:val="26"/>
          <w:szCs w:val="26"/>
        </w:rPr>
        <w:t xml:space="preserve"> wearing clothing matching a reported suspect.  </w:t>
      </w:r>
      <w:r w:rsidR="00BA2875" w:rsidRPr="0057700D">
        <w:rPr>
          <w:rFonts w:ascii="Century Schoolbook" w:eastAsia="Calibri" w:hAnsi="Century Schoolbook" w:cs="Times New Roman"/>
          <w:i/>
          <w:iCs/>
          <w:sz w:val="26"/>
          <w:szCs w:val="26"/>
        </w:rPr>
        <w:t xml:space="preserve">See </w:t>
      </w:r>
      <w:r w:rsidR="00C00E39" w:rsidRPr="0057700D">
        <w:rPr>
          <w:rFonts w:ascii="Century Schoolbook" w:eastAsia="Calibri" w:hAnsi="Century Schoolbook" w:cs="Times New Roman"/>
          <w:i/>
          <w:iCs/>
          <w:sz w:val="26"/>
          <w:szCs w:val="26"/>
        </w:rPr>
        <w:t xml:space="preserve">State v. </w:t>
      </w:r>
      <w:proofErr w:type="spellStart"/>
      <w:r w:rsidR="00C00E39" w:rsidRPr="0057700D">
        <w:rPr>
          <w:rFonts w:ascii="Century Schoolbook" w:eastAsia="Calibri" w:hAnsi="Century Schoolbook" w:cs="Times New Roman"/>
          <w:i/>
          <w:iCs/>
          <w:sz w:val="26"/>
          <w:szCs w:val="26"/>
        </w:rPr>
        <w:t>Buie</w:t>
      </w:r>
      <w:proofErr w:type="spellEnd"/>
      <w:r w:rsidR="00C00E39" w:rsidRPr="0057700D">
        <w:rPr>
          <w:rFonts w:ascii="Century Schoolbook" w:eastAsia="Calibri" w:hAnsi="Century Schoolbook" w:cs="Times New Roman"/>
          <w:sz w:val="26"/>
          <w:szCs w:val="26"/>
        </w:rPr>
        <w:t xml:space="preserve">, </w:t>
      </w:r>
      <w:r w:rsidR="00AD0247" w:rsidRPr="0057700D">
        <w:rPr>
          <w:rFonts w:ascii="Century Schoolbook" w:eastAsia="Calibri" w:hAnsi="Century Schoolbook" w:cs="Times New Roman"/>
          <w:sz w:val="26"/>
          <w:szCs w:val="26"/>
        </w:rPr>
        <w:t>297 N.C. 159, 162 (1979)</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State v. Buie</w:instrText>
      </w:r>
      <w:r w:rsidR="00825D98" w:rsidRPr="0057700D">
        <w:rPr>
          <w:rFonts w:ascii="Century Schoolbook" w:eastAsia="Calibri" w:hAnsi="Century Schoolbook" w:cs="Times New Roman"/>
          <w:sz w:val="26"/>
          <w:szCs w:val="26"/>
        </w:rPr>
        <w:instrText>, 297 N.C. 159, 162 (1979)</w:instrText>
      </w:r>
      <w:r w:rsidR="00825D98" w:rsidRPr="0057700D">
        <w:instrText xml:space="preserve">" \s "State v. Buie, 297 N.C. 159, 162 (1979)" \c 1 </w:instrText>
      </w:r>
      <w:r w:rsidR="00825D98" w:rsidRPr="0057700D">
        <w:rPr>
          <w:rFonts w:ascii="Century Schoolbook" w:eastAsia="Calibri" w:hAnsi="Century Schoolbook" w:cs="Times New Roman"/>
          <w:sz w:val="26"/>
          <w:szCs w:val="26"/>
        </w:rPr>
        <w:fldChar w:fldCharType="end"/>
      </w:r>
      <w:r w:rsidR="00053ED5" w:rsidRPr="0057700D">
        <w:rPr>
          <w:rFonts w:ascii="Century Schoolbook" w:eastAsia="Calibri" w:hAnsi="Century Schoolbook" w:cs="Times New Roman"/>
          <w:sz w:val="26"/>
          <w:szCs w:val="26"/>
        </w:rPr>
        <w:t xml:space="preserve">.  </w:t>
      </w:r>
      <w:r w:rsidR="00EB2F6B" w:rsidRPr="0057700D">
        <w:rPr>
          <w:rFonts w:ascii="Century Schoolbook" w:eastAsia="Calibri" w:hAnsi="Century Schoolbook" w:cs="Times New Roman"/>
          <w:sz w:val="26"/>
          <w:szCs w:val="26"/>
        </w:rPr>
        <w:t xml:space="preserve">He was not handing off a package </w:t>
      </w:r>
      <w:r w:rsidR="00CF1FE0" w:rsidRPr="0057700D">
        <w:rPr>
          <w:rFonts w:ascii="Century Schoolbook" w:eastAsia="Calibri" w:hAnsi="Century Schoolbook" w:cs="Times New Roman"/>
          <w:sz w:val="26"/>
          <w:szCs w:val="26"/>
        </w:rPr>
        <w:t xml:space="preserve">in a high crime location, circumstances just on the edge of reasonable suspicion.  </w:t>
      </w:r>
      <w:r w:rsidR="00CF1FE0" w:rsidRPr="0057700D">
        <w:rPr>
          <w:rFonts w:ascii="Century Schoolbook" w:eastAsia="Calibri" w:hAnsi="Century Schoolbook" w:cs="Times New Roman"/>
          <w:i/>
          <w:iCs/>
          <w:sz w:val="26"/>
          <w:szCs w:val="26"/>
        </w:rPr>
        <w:t>See State v. Mello</w:t>
      </w:r>
      <w:r w:rsidR="00CF1FE0" w:rsidRPr="0057700D">
        <w:rPr>
          <w:rFonts w:ascii="Century Schoolbook" w:eastAsia="Calibri" w:hAnsi="Century Schoolbook" w:cs="Times New Roman"/>
          <w:sz w:val="26"/>
          <w:szCs w:val="26"/>
        </w:rPr>
        <w:t xml:space="preserve">, 200 N.C. App. </w:t>
      </w:r>
      <w:r w:rsidR="00DD4C9A">
        <w:rPr>
          <w:rFonts w:ascii="Century Schoolbook" w:eastAsia="Calibri" w:hAnsi="Century Schoolbook" w:cs="Times New Roman"/>
          <w:sz w:val="26"/>
          <w:szCs w:val="26"/>
        </w:rPr>
        <w:t>561</w:t>
      </w:r>
      <w:r w:rsidR="00CF1FE0" w:rsidRPr="0057700D">
        <w:rPr>
          <w:rFonts w:ascii="Century Schoolbook" w:eastAsia="Calibri" w:hAnsi="Century Schoolbook" w:cs="Times New Roman"/>
          <w:sz w:val="26"/>
          <w:szCs w:val="26"/>
        </w:rPr>
        <w:t xml:space="preserve"> (2009)</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State v. Mello</w:instrText>
      </w:r>
      <w:r w:rsidR="00825D98" w:rsidRPr="0057700D">
        <w:rPr>
          <w:rFonts w:ascii="Century Schoolbook" w:eastAsia="Calibri" w:hAnsi="Century Schoolbook" w:cs="Times New Roman"/>
          <w:sz w:val="26"/>
          <w:szCs w:val="26"/>
        </w:rPr>
        <w:instrText>, 200 N.C. App. 137 (2009)</w:instrText>
      </w:r>
      <w:r w:rsidR="00825D98" w:rsidRPr="0057700D">
        <w:instrText xml:space="preserve">" \s "State v. Mello, 200 N.C. App. 137 (2009)" \c 1 </w:instrText>
      </w:r>
      <w:r w:rsidR="00825D98" w:rsidRPr="0057700D">
        <w:rPr>
          <w:rFonts w:ascii="Century Schoolbook" w:eastAsia="Calibri" w:hAnsi="Century Schoolbook" w:cs="Times New Roman"/>
          <w:sz w:val="26"/>
          <w:szCs w:val="26"/>
        </w:rPr>
        <w:fldChar w:fldCharType="end"/>
      </w:r>
      <w:r w:rsidR="00700FCB" w:rsidRPr="0057700D">
        <w:rPr>
          <w:rFonts w:ascii="Century Schoolbook" w:eastAsia="Calibri" w:hAnsi="Century Schoolbook" w:cs="Times New Roman"/>
          <w:sz w:val="26"/>
          <w:szCs w:val="26"/>
        </w:rPr>
        <w:t xml:space="preserve">.  </w:t>
      </w:r>
      <w:r w:rsidR="00EB2F6B" w:rsidRPr="0057700D">
        <w:rPr>
          <w:rFonts w:ascii="Century Schoolbook" w:eastAsia="Calibri" w:hAnsi="Century Schoolbook" w:cs="Times New Roman"/>
          <w:sz w:val="26"/>
          <w:szCs w:val="26"/>
        </w:rPr>
        <w:t xml:space="preserve">He was, instead, sitting alone in his car.  </w:t>
      </w:r>
      <w:r w:rsidRPr="0057700D">
        <w:rPr>
          <w:rFonts w:ascii="Century Schoolbook" w:eastAsia="Calibri" w:hAnsi="Century Schoolbook" w:cs="Times New Roman"/>
          <w:sz w:val="26"/>
          <w:szCs w:val="26"/>
        </w:rPr>
        <w:t>Bo</w:t>
      </w:r>
      <w:r w:rsidR="00EB2F6B" w:rsidRPr="0057700D">
        <w:rPr>
          <w:rFonts w:ascii="Century Schoolbook" w:eastAsia="Calibri" w:hAnsi="Century Schoolbook" w:cs="Times New Roman"/>
          <w:sz w:val="26"/>
          <w:szCs w:val="26"/>
        </w:rPr>
        <w:t xml:space="preserve">thering no one.  </w:t>
      </w:r>
      <w:r w:rsidRPr="0057700D">
        <w:rPr>
          <w:rFonts w:ascii="Century Schoolbook" w:eastAsia="Calibri" w:hAnsi="Century Schoolbook" w:cs="Times New Roman"/>
          <w:sz w:val="26"/>
          <w:szCs w:val="26"/>
        </w:rPr>
        <w:t>And n</w:t>
      </w:r>
      <w:r w:rsidR="00EB2F6B" w:rsidRPr="0057700D">
        <w:rPr>
          <w:rFonts w:ascii="Century Schoolbook" w:eastAsia="Calibri" w:hAnsi="Century Schoolbook" w:cs="Times New Roman"/>
          <w:sz w:val="26"/>
          <w:szCs w:val="26"/>
        </w:rPr>
        <w:t>o one had called to complain.</w:t>
      </w:r>
    </w:p>
    <w:p w14:paraId="650A26CB" w14:textId="1D53F52F" w:rsidR="00BA21EC" w:rsidRPr="0057700D" w:rsidRDefault="004B4CE0" w:rsidP="00EB2F6B">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Kuchen</w:t>
      </w:r>
      <w:r w:rsidR="00D141CD" w:rsidRPr="0057700D">
        <w:rPr>
          <w:rFonts w:ascii="Century Schoolbook" w:eastAsia="Calibri" w:hAnsi="Century Schoolbook" w:cs="Times New Roman"/>
          <w:sz w:val="26"/>
          <w:szCs w:val="26"/>
        </w:rPr>
        <w:t>’s decision to</w:t>
      </w:r>
      <w:r w:rsidRPr="0057700D">
        <w:rPr>
          <w:rFonts w:ascii="Century Schoolbook" w:eastAsia="Calibri" w:hAnsi="Century Schoolbook" w:cs="Times New Roman"/>
          <w:sz w:val="26"/>
          <w:szCs w:val="26"/>
        </w:rPr>
        <w:t xml:space="preserve"> root out possible trespassing by Mr. Johnson</w:t>
      </w:r>
      <w:r w:rsidR="00D141CD" w:rsidRPr="0057700D">
        <w:rPr>
          <w:rFonts w:ascii="Century Schoolbook" w:eastAsia="Calibri" w:hAnsi="Century Schoolbook" w:cs="Times New Roman"/>
          <w:sz w:val="26"/>
          <w:szCs w:val="26"/>
        </w:rPr>
        <w:t xml:space="preserve"> would be </w:t>
      </w:r>
      <w:r w:rsidR="00D13A61" w:rsidRPr="0057700D">
        <w:rPr>
          <w:rFonts w:ascii="Century Schoolbook" w:eastAsia="Calibri" w:hAnsi="Century Schoolbook" w:cs="Times New Roman"/>
          <w:sz w:val="26"/>
          <w:szCs w:val="26"/>
        </w:rPr>
        <w:t xml:space="preserve">a </w:t>
      </w:r>
      <w:r w:rsidR="00D141CD" w:rsidRPr="0057700D">
        <w:rPr>
          <w:rFonts w:ascii="Century Schoolbook" w:eastAsia="Calibri" w:hAnsi="Century Schoolbook" w:cs="Times New Roman"/>
          <w:sz w:val="26"/>
          <w:szCs w:val="26"/>
        </w:rPr>
        <w:t xml:space="preserve">dubious </w:t>
      </w:r>
      <w:r w:rsidR="00D13A61" w:rsidRPr="0057700D">
        <w:rPr>
          <w:rFonts w:ascii="Century Schoolbook" w:eastAsia="Calibri" w:hAnsi="Century Schoolbook" w:cs="Times New Roman"/>
          <w:sz w:val="26"/>
          <w:szCs w:val="26"/>
        </w:rPr>
        <w:t xml:space="preserve">use of police resources </w:t>
      </w:r>
      <w:r w:rsidR="00D141CD" w:rsidRPr="0057700D">
        <w:rPr>
          <w:rFonts w:ascii="Century Schoolbook" w:eastAsia="Calibri" w:hAnsi="Century Schoolbook" w:cs="Times New Roman"/>
          <w:sz w:val="26"/>
          <w:szCs w:val="26"/>
        </w:rPr>
        <w:t xml:space="preserve">even if there was reasonable suspicion of trespassing.  But there was not.  </w:t>
      </w:r>
      <w:r w:rsidR="005716BD" w:rsidRPr="0057700D">
        <w:rPr>
          <w:rFonts w:ascii="Century Schoolbook" w:eastAsia="Calibri" w:hAnsi="Century Schoolbook" w:cs="Times New Roman"/>
          <w:sz w:val="26"/>
          <w:szCs w:val="26"/>
        </w:rPr>
        <w:t>Trespassing occurs when a person enters or remains on the premises of another after being told to leave, or after disregarding signs prohibiting entry which were likely to come to the person’s attention.  N.C.G.S. § 14-159.13</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sz w:val="26"/>
          <w:szCs w:val="26"/>
        </w:rPr>
        <w:instrText>N.C.G.S. § 14-159.13</w:instrText>
      </w:r>
      <w:r w:rsidR="00825D98" w:rsidRPr="0057700D">
        <w:instrText xml:space="preserve">" \s "N.C.G.S. § 14-159.13" \c 2 </w:instrText>
      </w:r>
      <w:r w:rsidR="00825D98" w:rsidRPr="0057700D">
        <w:rPr>
          <w:rFonts w:ascii="Century Schoolbook" w:eastAsia="Calibri" w:hAnsi="Century Schoolbook" w:cs="Times New Roman"/>
          <w:sz w:val="26"/>
          <w:szCs w:val="26"/>
        </w:rPr>
        <w:fldChar w:fldCharType="end"/>
      </w:r>
      <w:r w:rsidR="005716BD" w:rsidRPr="0057700D">
        <w:rPr>
          <w:rFonts w:ascii="Century Schoolbook" w:eastAsia="Calibri" w:hAnsi="Century Schoolbook" w:cs="Times New Roman"/>
          <w:sz w:val="26"/>
          <w:szCs w:val="26"/>
        </w:rPr>
        <w:t xml:space="preserve">.  </w:t>
      </w:r>
    </w:p>
    <w:p w14:paraId="6AA67060" w14:textId="17C98A7E" w:rsidR="00EB2F6B" w:rsidRPr="0057700D" w:rsidRDefault="00BA21EC" w:rsidP="00EB2F6B">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bCs/>
          <w:iCs/>
          <w:sz w:val="26"/>
          <w:szCs w:val="26"/>
        </w:rPr>
        <w:t xml:space="preserve">Raleigh North Apartments was a large complex </w:t>
      </w:r>
      <w:r w:rsidR="00BC2074" w:rsidRPr="0057700D">
        <w:rPr>
          <w:rFonts w:ascii="Century Schoolbook" w:eastAsia="Calibri" w:hAnsi="Century Schoolbook" w:cs="Times New Roman"/>
          <w:bCs/>
          <w:iCs/>
          <w:sz w:val="26"/>
          <w:szCs w:val="26"/>
        </w:rPr>
        <w:t>of</w:t>
      </w:r>
      <w:r w:rsidRPr="0057700D">
        <w:rPr>
          <w:rFonts w:ascii="Century Schoolbook" w:eastAsia="Calibri" w:hAnsi="Century Schoolbook" w:cs="Times New Roman"/>
          <w:bCs/>
          <w:iCs/>
          <w:sz w:val="26"/>
          <w:szCs w:val="26"/>
        </w:rPr>
        <w:t xml:space="preserve"> about two dozen buildings, with small parking areas surrounding each building.  Residents did not have parking permits.  (</w:t>
      </w:r>
      <w:proofErr w:type="spellStart"/>
      <w:r w:rsidRPr="0057700D">
        <w:rPr>
          <w:rFonts w:ascii="Century Schoolbook" w:eastAsia="Calibri" w:hAnsi="Century Schoolbook" w:cs="Times New Roman"/>
          <w:bCs/>
          <w:iCs/>
          <w:sz w:val="26"/>
          <w:szCs w:val="26"/>
        </w:rPr>
        <w:t>Tpp</w:t>
      </w:r>
      <w:proofErr w:type="spellEnd"/>
      <w:r w:rsidRPr="0057700D">
        <w:rPr>
          <w:rFonts w:ascii="Century Schoolbook" w:eastAsia="Calibri" w:hAnsi="Century Schoolbook" w:cs="Times New Roman"/>
          <w:bCs/>
          <w:iCs/>
          <w:sz w:val="26"/>
          <w:szCs w:val="26"/>
        </w:rPr>
        <w:t xml:space="preserve"> 41-42)  </w:t>
      </w:r>
      <w:r w:rsidR="00EE46DB" w:rsidRPr="0057700D">
        <w:rPr>
          <w:rFonts w:ascii="Century Schoolbook" w:eastAsia="Calibri" w:hAnsi="Century Schoolbook" w:cs="Times New Roman"/>
          <w:sz w:val="26"/>
          <w:szCs w:val="26"/>
        </w:rPr>
        <w:t xml:space="preserve">Kuchen observed Mr. </w:t>
      </w:r>
      <w:r w:rsidR="00A10BF6" w:rsidRPr="0057700D">
        <w:rPr>
          <w:rFonts w:ascii="Century Schoolbook" w:eastAsia="Calibri" w:hAnsi="Century Schoolbook" w:cs="Times New Roman"/>
          <w:sz w:val="26"/>
          <w:szCs w:val="26"/>
        </w:rPr>
        <w:t>J</w:t>
      </w:r>
      <w:r w:rsidR="00EE46DB" w:rsidRPr="0057700D">
        <w:rPr>
          <w:rFonts w:ascii="Century Schoolbook" w:eastAsia="Calibri" w:hAnsi="Century Schoolbook" w:cs="Times New Roman"/>
          <w:sz w:val="26"/>
          <w:szCs w:val="26"/>
        </w:rPr>
        <w:t>ohnson in</w:t>
      </w:r>
      <w:r w:rsidR="00965E88" w:rsidRPr="0057700D">
        <w:rPr>
          <w:rFonts w:ascii="Century Schoolbook" w:eastAsia="Calibri" w:hAnsi="Century Schoolbook" w:cs="Times New Roman"/>
          <w:sz w:val="26"/>
          <w:szCs w:val="26"/>
        </w:rPr>
        <w:t xml:space="preserve"> one of the marked parking spaces, in an </w:t>
      </w:r>
      <w:r w:rsidR="002B42E3" w:rsidRPr="0057700D">
        <w:rPr>
          <w:rFonts w:ascii="Century Schoolbook" w:eastAsia="Calibri" w:hAnsi="Century Schoolbook" w:cs="Times New Roman"/>
          <w:sz w:val="26"/>
          <w:szCs w:val="26"/>
        </w:rPr>
        <w:t xml:space="preserve">unlit car, </w:t>
      </w:r>
      <w:r w:rsidR="00EE46DB" w:rsidRPr="0057700D">
        <w:rPr>
          <w:rFonts w:ascii="Century Schoolbook" w:eastAsia="Calibri" w:hAnsi="Century Schoolbook" w:cs="Times New Roman"/>
          <w:sz w:val="26"/>
          <w:szCs w:val="26"/>
        </w:rPr>
        <w:t xml:space="preserve">for </w:t>
      </w:r>
      <w:r w:rsidR="002B42E3" w:rsidRPr="0057700D">
        <w:rPr>
          <w:rFonts w:ascii="Century Schoolbook" w:eastAsia="Calibri" w:hAnsi="Century Schoolbook" w:cs="Times New Roman"/>
          <w:sz w:val="26"/>
          <w:szCs w:val="26"/>
        </w:rPr>
        <w:t>a matter of seconds</w:t>
      </w:r>
      <w:r w:rsidR="00BC2074" w:rsidRPr="0057700D">
        <w:rPr>
          <w:rFonts w:ascii="Century Schoolbook" w:eastAsia="Calibri" w:hAnsi="Century Schoolbook" w:cs="Times New Roman"/>
          <w:sz w:val="26"/>
          <w:szCs w:val="26"/>
        </w:rPr>
        <w:t xml:space="preserve"> – </w:t>
      </w:r>
      <w:r w:rsidR="002B42E3" w:rsidRPr="0057700D">
        <w:rPr>
          <w:rFonts w:ascii="Century Schoolbook" w:eastAsia="Calibri" w:hAnsi="Century Schoolbook" w:cs="Times New Roman"/>
          <w:sz w:val="26"/>
          <w:szCs w:val="26"/>
        </w:rPr>
        <w:t xml:space="preserve">Kuchen said he drove his patrol car past Mr. Johnson’s parked car at 4-5 </w:t>
      </w:r>
      <w:r w:rsidR="002B42E3" w:rsidRPr="0057700D">
        <w:rPr>
          <w:rFonts w:ascii="Century Schoolbook" w:eastAsia="Calibri" w:hAnsi="Century Schoolbook" w:cs="Times New Roman"/>
          <w:sz w:val="26"/>
          <w:szCs w:val="26"/>
        </w:rPr>
        <w:lastRenderedPageBreak/>
        <w:t xml:space="preserve">miles an hour, </w:t>
      </w:r>
      <w:r w:rsidR="009C7102" w:rsidRPr="0057700D">
        <w:rPr>
          <w:rFonts w:ascii="Century Schoolbook" w:eastAsia="Calibri" w:hAnsi="Century Schoolbook" w:cs="Times New Roman"/>
          <w:sz w:val="26"/>
          <w:szCs w:val="26"/>
        </w:rPr>
        <w:t xml:space="preserve">stopped his patrol car in the road and immediately got out. </w:t>
      </w:r>
      <w:r w:rsidR="004972D7" w:rsidRPr="0057700D">
        <w:rPr>
          <w:rFonts w:ascii="Century Schoolbook" w:eastAsia="Calibri" w:hAnsi="Century Schoolbook" w:cs="Times New Roman"/>
          <w:sz w:val="26"/>
          <w:szCs w:val="26"/>
        </w:rPr>
        <w:t xml:space="preserve"> </w:t>
      </w:r>
      <w:r w:rsidR="009C7102" w:rsidRPr="0057700D">
        <w:rPr>
          <w:rFonts w:ascii="Century Schoolbook" w:eastAsia="Calibri" w:hAnsi="Century Schoolbook" w:cs="Times New Roman"/>
          <w:sz w:val="26"/>
          <w:szCs w:val="26"/>
        </w:rPr>
        <w:t>This time period was n</w:t>
      </w:r>
      <w:r w:rsidR="006967F4" w:rsidRPr="0057700D">
        <w:rPr>
          <w:rFonts w:ascii="Century Schoolbook" w:eastAsia="Calibri" w:hAnsi="Century Schoolbook" w:cs="Times New Roman"/>
          <w:sz w:val="26"/>
          <w:szCs w:val="26"/>
        </w:rPr>
        <w:t xml:space="preserve">ot long enough to </w:t>
      </w:r>
      <w:r w:rsidR="009C7102" w:rsidRPr="0057700D">
        <w:rPr>
          <w:rFonts w:ascii="Century Schoolbook" w:eastAsia="Calibri" w:hAnsi="Century Schoolbook" w:cs="Times New Roman"/>
          <w:sz w:val="26"/>
          <w:szCs w:val="26"/>
        </w:rPr>
        <w:t xml:space="preserve">infer that </w:t>
      </w:r>
      <w:r w:rsidR="006967F4" w:rsidRPr="0057700D">
        <w:rPr>
          <w:rFonts w:ascii="Century Schoolbook" w:eastAsia="Calibri" w:hAnsi="Century Schoolbook" w:cs="Times New Roman"/>
          <w:sz w:val="26"/>
          <w:szCs w:val="26"/>
        </w:rPr>
        <w:t xml:space="preserve">Mr. Johnson was lingering.  </w:t>
      </w:r>
      <w:r w:rsidR="00EB2F6B" w:rsidRPr="0057700D">
        <w:rPr>
          <w:rFonts w:ascii="Century Schoolbook" w:eastAsia="Calibri" w:hAnsi="Century Schoolbook" w:cs="Times New Roman"/>
          <w:sz w:val="26"/>
          <w:szCs w:val="26"/>
        </w:rPr>
        <w:t xml:space="preserve">Mr. Johnson could have been a resident or a guest; nothing indicated otherwise.  </w:t>
      </w:r>
      <w:r w:rsidR="00CF63F0" w:rsidRPr="0057700D">
        <w:rPr>
          <w:rFonts w:ascii="Century Schoolbook" w:eastAsia="Calibri" w:hAnsi="Century Schoolbook" w:cs="Times New Roman"/>
          <w:sz w:val="26"/>
          <w:szCs w:val="26"/>
        </w:rPr>
        <w:t>No evidence showed that Kuchen r</w:t>
      </w:r>
      <w:r w:rsidR="0039625C" w:rsidRPr="0057700D">
        <w:rPr>
          <w:rFonts w:ascii="Century Schoolbook" w:eastAsia="Calibri" w:hAnsi="Century Schoolbook" w:cs="Times New Roman"/>
          <w:sz w:val="26"/>
          <w:szCs w:val="26"/>
        </w:rPr>
        <w:t>ecognize</w:t>
      </w:r>
      <w:r w:rsidR="00CF63F0" w:rsidRPr="0057700D">
        <w:rPr>
          <w:rFonts w:ascii="Century Schoolbook" w:eastAsia="Calibri" w:hAnsi="Century Schoolbook" w:cs="Times New Roman"/>
          <w:sz w:val="26"/>
          <w:szCs w:val="26"/>
        </w:rPr>
        <w:t>d</w:t>
      </w:r>
      <w:r w:rsidR="0039625C" w:rsidRPr="0057700D">
        <w:rPr>
          <w:rFonts w:ascii="Century Schoolbook" w:eastAsia="Calibri" w:hAnsi="Century Schoolbook" w:cs="Times New Roman"/>
          <w:sz w:val="26"/>
          <w:szCs w:val="26"/>
        </w:rPr>
        <w:t xml:space="preserve"> Mr. </w:t>
      </w:r>
      <w:r w:rsidR="00DA42D2" w:rsidRPr="0057700D">
        <w:rPr>
          <w:rFonts w:ascii="Century Schoolbook" w:eastAsia="Calibri" w:hAnsi="Century Schoolbook" w:cs="Times New Roman"/>
          <w:sz w:val="26"/>
          <w:szCs w:val="26"/>
        </w:rPr>
        <w:t>J</w:t>
      </w:r>
      <w:r w:rsidR="0039625C" w:rsidRPr="0057700D">
        <w:rPr>
          <w:rFonts w:ascii="Century Schoolbook" w:eastAsia="Calibri" w:hAnsi="Century Schoolbook" w:cs="Times New Roman"/>
          <w:sz w:val="26"/>
          <w:szCs w:val="26"/>
        </w:rPr>
        <w:t xml:space="preserve">ohnson </w:t>
      </w:r>
      <w:r w:rsidR="00CF63F0" w:rsidRPr="0057700D">
        <w:rPr>
          <w:rFonts w:ascii="Century Schoolbook" w:eastAsia="Calibri" w:hAnsi="Century Schoolbook" w:cs="Times New Roman"/>
          <w:sz w:val="26"/>
          <w:szCs w:val="26"/>
        </w:rPr>
        <w:t xml:space="preserve">as someone on the </w:t>
      </w:r>
      <w:r w:rsidR="0039625C" w:rsidRPr="0057700D">
        <w:rPr>
          <w:rFonts w:ascii="Century Schoolbook" w:eastAsia="Calibri" w:hAnsi="Century Schoolbook" w:cs="Times New Roman"/>
          <w:sz w:val="26"/>
          <w:szCs w:val="26"/>
        </w:rPr>
        <w:t>‘no</w:t>
      </w:r>
      <w:r w:rsidR="00CF63F0" w:rsidRPr="0057700D">
        <w:rPr>
          <w:rFonts w:ascii="Century Schoolbook" w:eastAsia="Calibri" w:hAnsi="Century Schoolbook" w:cs="Times New Roman"/>
          <w:sz w:val="26"/>
          <w:szCs w:val="26"/>
        </w:rPr>
        <w:t>-</w:t>
      </w:r>
      <w:r w:rsidR="0039625C" w:rsidRPr="0057700D">
        <w:rPr>
          <w:rFonts w:ascii="Century Schoolbook" w:eastAsia="Calibri" w:hAnsi="Century Schoolbook" w:cs="Times New Roman"/>
          <w:sz w:val="26"/>
          <w:szCs w:val="26"/>
        </w:rPr>
        <w:t xml:space="preserve">trespass’ list.  </w:t>
      </w:r>
      <w:r w:rsidR="006E118B" w:rsidRPr="0057700D">
        <w:rPr>
          <w:rFonts w:ascii="Century Schoolbook" w:eastAsia="Calibri" w:hAnsi="Century Schoolbook" w:cs="Times New Roman"/>
          <w:sz w:val="26"/>
          <w:szCs w:val="26"/>
        </w:rPr>
        <w:t>The no-trespassing sign was unlit, and again</w:t>
      </w:r>
      <w:r w:rsidR="00122FC6" w:rsidRPr="0057700D">
        <w:rPr>
          <w:rFonts w:ascii="Century Schoolbook" w:eastAsia="Calibri" w:hAnsi="Century Schoolbook" w:cs="Times New Roman"/>
          <w:sz w:val="26"/>
          <w:szCs w:val="26"/>
        </w:rPr>
        <w:t>,</w:t>
      </w:r>
      <w:r w:rsidR="006E118B" w:rsidRPr="0057700D">
        <w:rPr>
          <w:rFonts w:ascii="Century Schoolbook" w:eastAsia="Calibri" w:hAnsi="Century Schoolbook" w:cs="Times New Roman"/>
          <w:sz w:val="26"/>
          <w:szCs w:val="26"/>
        </w:rPr>
        <w:t xml:space="preserve"> nothing indicated Mr. Johnson did not live there.  </w:t>
      </w:r>
      <w:r w:rsidR="00FB3B42" w:rsidRPr="0057700D">
        <w:rPr>
          <w:rFonts w:ascii="Century Schoolbook" w:eastAsia="Calibri" w:hAnsi="Century Schoolbook" w:cs="Times New Roman"/>
          <w:sz w:val="26"/>
          <w:szCs w:val="26"/>
        </w:rPr>
        <w:t xml:space="preserve">Thus, </w:t>
      </w:r>
      <w:r w:rsidR="00EB2F6B" w:rsidRPr="0057700D">
        <w:rPr>
          <w:rFonts w:ascii="Century Schoolbook" w:eastAsia="Calibri" w:hAnsi="Century Schoolbook" w:cs="Times New Roman"/>
          <w:sz w:val="26"/>
          <w:szCs w:val="26"/>
        </w:rPr>
        <w:t>Kuchen had zero evidence that Mr. Johnson was</w:t>
      </w:r>
      <w:r w:rsidR="007B3A6C" w:rsidRPr="0057700D">
        <w:rPr>
          <w:rFonts w:ascii="Century Schoolbook" w:eastAsia="Calibri" w:hAnsi="Century Schoolbook" w:cs="Times New Roman"/>
          <w:sz w:val="26"/>
          <w:szCs w:val="26"/>
        </w:rPr>
        <w:t xml:space="preserve"> trespassing.</w:t>
      </w:r>
      <w:r w:rsidR="00C85C14" w:rsidRPr="0057700D">
        <w:rPr>
          <w:rFonts w:ascii="Century Schoolbook" w:eastAsia="Calibri" w:hAnsi="Century Schoolbook" w:cs="Times New Roman"/>
          <w:sz w:val="26"/>
          <w:szCs w:val="26"/>
          <w:vertAlign w:val="superscript"/>
        </w:rPr>
        <w:footnoteReference w:id="18"/>
      </w:r>
      <w:r w:rsidR="00C85C14" w:rsidRPr="0057700D">
        <w:rPr>
          <w:rFonts w:ascii="Century Schoolbook" w:eastAsia="Calibri" w:hAnsi="Century Schoolbook" w:cs="Times New Roman"/>
          <w:sz w:val="26"/>
          <w:szCs w:val="26"/>
        </w:rPr>
        <w:t xml:space="preserve">  </w:t>
      </w:r>
      <w:r w:rsidR="007B3A6C" w:rsidRPr="0057700D">
        <w:rPr>
          <w:rFonts w:ascii="Century Schoolbook" w:eastAsia="Calibri" w:hAnsi="Century Schoolbook" w:cs="Times New Roman"/>
          <w:sz w:val="26"/>
          <w:szCs w:val="26"/>
        </w:rPr>
        <w:t xml:space="preserve">  </w:t>
      </w:r>
    </w:p>
    <w:p w14:paraId="2AF6FBDC" w14:textId="02B99939" w:rsidR="009D65C7" w:rsidRPr="0057700D" w:rsidRDefault="00EB2F6B" w:rsidP="00DD015D">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Kuchen </w:t>
      </w:r>
      <w:r w:rsidR="007B3A6C" w:rsidRPr="0057700D">
        <w:rPr>
          <w:rFonts w:ascii="Century Schoolbook" w:eastAsia="Calibri" w:hAnsi="Century Schoolbook" w:cs="Times New Roman"/>
          <w:sz w:val="26"/>
          <w:szCs w:val="26"/>
        </w:rPr>
        <w:t xml:space="preserve">testified he was </w:t>
      </w:r>
      <w:r w:rsidR="009C6FAB" w:rsidRPr="0057700D">
        <w:rPr>
          <w:rFonts w:ascii="Century Schoolbook" w:eastAsia="Calibri" w:hAnsi="Century Schoolbook" w:cs="Times New Roman"/>
          <w:sz w:val="26"/>
          <w:szCs w:val="26"/>
        </w:rPr>
        <w:t>also</w:t>
      </w:r>
      <w:r w:rsidR="00405BA8" w:rsidRPr="0057700D">
        <w:rPr>
          <w:rFonts w:ascii="Century Schoolbook" w:eastAsia="Calibri" w:hAnsi="Century Schoolbook" w:cs="Times New Roman"/>
          <w:sz w:val="26"/>
          <w:szCs w:val="26"/>
        </w:rPr>
        <w:t xml:space="preserve"> </w:t>
      </w:r>
      <w:r w:rsidR="007B3A6C" w:rsidRPr="0057700D">
        <w:rPr>
          <w:rFonts w:ascii="Century Schoolbook" w:eastAsia="Calibri" w:hAnsi="Century Schoolbook" w:cs="Times New Roman"/>
          <w:sz w:val="26"/>
          <w:szCs w:val="26"/>
        </w:rPr>
        <w:t>relying</w:t>
      </w:r>
      <w:r w:rsidRPr="0057700D">
        <w:rPr>
          <w:rFonts w:ascii="Century Schoolbook" w:eastAsia="Calibri" w:hAnsi="Century Schoolbook" w:cs="Times New Roman"/>
          <w:sz w:val="26"/>
          <w:szCs w:val="26"/>
        </w:rPr>
        <w:t xml:space="preserve"> on his observation that Mr. Johnson appeared to slide down in his seat.  This is ambiguous, innocuous behavior, to which Kuchen supplied a suspicious motive.  Such ambiguous </w:t>
      </w:r>
      <w:r w:rsidR="00151B67" w:rsidRPr="0057700D">
        <w:rPr>
          <w:rFonts w:ascii="Century Schoolbook" w:eastAsia="Calibri" w:hAnsi="Century Schoolbook" w:cs="Times New Roman"/>
          <w:sz w:val="26"/>
          <w:szCs w:val="26"/>
        </w:rPr>
        <w:t>action,</w:t>
      </w:r>
      <w:r w:rsidRPr="0057700D">
        <w:rPr>
          <w:rFonts w:ascii="Century Schoolbook" w:eastAsia="Calibri" w:hAnsi="Century Schoolbook" w:cs="Times New Roman"/>
          <w:sz w:val="26"/>
          <w:szCs w:val="26"/>
        </w:rPr>
        <w:t xml:space="preserve"> standing alone, should not be held sufficient to create reasonable suspicion.</w:t>
      </w:r>
      <w:r w:rsidR="009C6FAB" w:rsidRPr="0057700D">
        <w:rPr>
          <w:rFonts w:ascii="Century Schoolbook" w:eastAsia="Calibri" w:hAnsi="Century Schoolbook" w:cs="Times New Roman"/>
          <w:sz w:val="26"/>
          <w:szCs w:val="26"/>
        </w:rPr>
        <w:t xml:space="preserve"> </w:t>
      </w:r>
      <w:r w:rsidR="00AB58F3" w:rsidRPr="0057700D">
        <w:rPr>
          <w:rFonts w:ascii="Century Schoolbook" w:eastAsia="Calibri" w:hAnsi="Century Schoolbook" w:cs="Times New Roman"/>
          <w:sz w:val="26"/>
          <w:szCs w:val="26"/>
        </w:rPr>
        <w:t xml:space="preserve"> </w:t>
      </w:r>
      <w:r w:rsidR="00151B67" w:rsidRPr="0057700D">
        <w:rPr>
          <w:rFonts w:ascii="Century Schoolbook" w:eastAsia="Calibri" w:hAnsi="Century Schoolbook" w:cs="Times New Roman"/>
          <w:i/>
          <w:iCs/>
          <w:sz w:val="26"/>
          <w:szCs w:val="26"/>
        </w:rPr>
        <w:t xml:space="preserve">See United States v. Foster, </w:t>
      </w:r>
      <w:r w:rsidR="00151B67" w:rsidRPr="0057700D">
        <w:rPr>
          <w:rFonts w:ascii="Century Schoolbook" w:eastAsia="Calibri" w:hAnsi="Century Schoolbook" w:cs="Times New Roman"/>
          <w:sz w:val="26"/>
          <w:szCs w:val="26"/>
        </w:rPr>
        <w:t xml:space="preserve">634 F.3d 243, </w:t>
      </w:r>
      <w:r w:rsidR="00B6591A" w:rsidRPr="0057700D">
        <w:rPr>
          <w:rFonts w:ascii="Century Schoolbook" w:eastAsia="Calibri" w:hAnsi="Century Schoolbook" w:cs="Times New Roman"/>
          <w:sz w:val="26"/>
          <w:szCs w:val="26"/>
        </w:rPr>
        <w:t xml:space="preserve">245, </w:t>
      </w:r>
      <w:r w:rsidR="00151B67" w:rsidRPr="0057700D">
        <w:rPr>
          <w:rFonts w:ascii="Century Schoolbook" w:eastAsia="Calibri" w:hAnsi="Century Schoolbook" w:cs="Times New Roman"/>
          <w:sz w:val="26"/>
          <w:szCs w:val="26"/>
        </w:rPr>
        <w:t>248 (4th Cir. 2011)</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 xml:space="preserve">United States v. Foster, </w:instrText>
      </w:r>
      <w:r w:rsidR="00825D98" w:rsidRPr="0057700D">
        <w:rPr>
          <w:rFonts w:ascii="Century Schoolbook" w:eastAsia="Calibri" w:hAnsi="Century Schoolbook" w:cs="Times New Roman"/>
          <w:sz w:val="26"/>
          <w:szCs w:val="26"/>
        </w:rPr>
        <w:instrText>634 F.3d 243, 245, 248 (4th Cir. 2011)</w:instrText>
      </w:r>
      <w:r w:rsidR="00825D98" w:rsidRPr="0057700D">
        <w:instrText xml:space="preserve">" \s "United States v. Foster, 634 F.3d 243, 245, 248 (4th Cir. 2011)" \c 1 </w:instrText>
      </w:r>
      <w:r w:rsidR="00825D98" w:rsidRPr="0057700D">
        <w:rPr>
          <w:rFonts w:ascii="Century Schoolbook" w:eastAsia="Calibri" w:hAnsi="Century Schoolbook" w:cs="Times New Roman"/>
          <w:sz w:val="26"/>
          <w:szCs w:val="26"/>
        </w:rPr>
        <w:fldChar w:fldCharType="end"/>
      </w:r>
      <w:r w:rsidR="00E61836" w:rsidRPr="0057700D">
        <w:rPr>
          <w:rFonts w:ascii="Century Schoolbook" w:eastAsia="Calibri" w:hAnsi="Century Schoolbook" w:cs="Times New Roman"/>
          <w:sz w:val="26"/>
          <w:szCs w:val="26"/>
        </w:rPr>
        <w:t xml:space="preserve"> (</w:t>
      </w:r>
      <w:r w:rsidR="00A62FEF" w:rsidRPr="0057700D">
        <w:rPr>
          <w:rFonts w:ascii="Century Schoolbook" w:eastAsia="Calibri" w:hAnsi="Century Schoolbook" w:cs="Times New Roman"/>
          <w:sz w:val="26"/>
          <w:szCs w:val="26"/>
        </w:rPr>
        <w:t xml:space="preserve">finding </w:t>
      </w:r>
      <w:r w:rsidR="00E61836" w:rsidRPr="0057700D">
        <w:rPr>
          <w:rFonts w:ascii="Century Schoolbook" w:eastAsia="Calibri" w:hAnsi="Century Schoolbook" w:cs="Times New Roman"/>
          <w:sz w:val="26"/>
          <w:szCs w:val="26"/>
        </w:rPr>
        <w:t xml:space="preserve">no reasonable suspicion </w:t>
      </w:r>
      <w:r w:rsidR="0046160F" w:rsidRPr="0057700D">
        <w:rPr>
          <w:rFonts w:ascii="Century Schoolbook" w:eastAsia="Calibri" w:hAnsi="Century Schoolbook" w:cs="Times New Roman"/>
          <w:sz w:val="26"/>
          <w:szCs w:val="26"/>
        </w:rPr>
        <w:t xml:space="preserve">when </w:t>
      </w:r>
      <w:r w:rsidR="00C0699E" w:rsidRPr="0057700D">
        <w:rPr>
          <w:rFonts w:ascii="Century Schoolbook" w:eastAsia="Calibri" w:hAnsi="Century Schoolbook" w:cs="Times New Roman"/>
          <w:sz w:val="26"/>
          <w:szCs w:val="26"/>
        </w:rPr>
        <w:t>man</w:t>
      </w:r>
      <w:r w:rsidR="00E61836" w:rsidRPr="0057700D">
        <w:rPr>
          <w:rFonts w:ascii="Century Schoolbook" w:eastAsia="Calibri" w:hAnsi="Century Schoolbook" w:cs="Times New Roman"/>
          <w:sz w:val="26"/>
          <w:szCs w:val="26"/>
        </w:rPr>
        <w:t xml:space="preserve"> in </w:t>
      </w:r>
      <w:r w:rsidR="002764DC" w:rsidRPr="0057700D">
        <w:rPr>
          <w:rFonts w:ascii="Century Schoolbook" w:eastAsia="Calibri" w:hAnsi="Century Schoolbook" w:cs="Times New Roman"/>
          <w:sz w:val="26"/>
          <w:szCs w:val="26"/>
        </w:rPr>
        <w:t xml:space="preserve">a parked </w:t>
      </w:r>
      <w:r w:rsidR="00E61836" w:rsidRPr="0057700D">
        <w:rPr>
          <w:rFonts w:ascii="Century Schoolbook" w:eastAsia="Calibri" w:hAnsi="Century Schoolbook" w:cs="Times New Roman"/>
          <w:sz w:val="26"/>
          <w:szCs w:val="26"/>
        </w:rPr>
        <w:t>car s</w:t>
      </w:r>
      <w:r w:rsidR="00B7238A" w:rsidRPr="0057700D">
        <w:rPr>
          <w:rFonts w:ascii="Century Schoolbook" w:eastAsia="Calibri" w:hAnsi="Century Schoolbook" w:cs="Times New Roman"/>
          <w:sz w:val="26"/>
          <w:szCs w:val="26"/>
        </w:rPr>
        <w:t>at</w:t>
      </w:r>
      <w:r w:rsidR="00E61836" w:rsidRPr="0057700D">
        <w:rPr>
          <w:rFonts w:ascii="Century Schoolbook" w:eastAsia="Calibri" w:hAnsi="Century Schoolbook" w:cs="Times New Roman"/>
          <w:sz w:val="26"/>
          <w:szCs w:val="26"/>
        </w:rPr>
        <w:t xml:space="preserve"> up </w:t>
      </w:r>
      <w:r w:rsidR="00010890" w:rsidRPr="0057700D">
        <w:rPr>
          <w:rFonts w:ascii="Century Schoolbook" w:eastAsia="Calibri" w:hAnsi="Century Schoolbook" w:cs="Times New Roman"/>
          <w:sz w:val="26"/>
          <w:szCs w:val="26"/>
        </w:rPr>
        <w:t xml:space="preserve">from a crouched position and </w:t>
      </w:r>
      <w:r w:rsidR="00B7238A" w:rsidRPr="0057700D">
        <w:rPr>
          <w:rFonts w:ascii="Century Schoolbook" w:eastAsia="Calibri" w:hAnsi="Century Schoolbook" w:cs="Times New Roman"/>
          <w:sz w:val="26"/>
          <w:szCs w:val="26"/>
        </w:rPr>
        <w:t>the man’s arms</w:t>
      </w:r>
      <w:r w:rsidR="00572F14" w:rsidRPr="0057700D">
        <w:rPr>
          <w:rFonts w:ascii="Century Schoolbook" w:eastAsia="Calibri" w:hAnsi="Century Schoolbook" w:cs="Times New Roman"/>
          <w:sz w:val="26"/>
          <w:szCs w:val="26"/>
        </w:rPr>
        <w:t xml:space="preserve"> were “</w:t>
      </w:r>
      <w:r w:rsidR="00A9289E" w:rsidRPr="0057700D">
        <w:rPr>
          <w:rFonts w:ascii="Century Schoolbook" w:eastAsia="Calibri" w:hAnsi="Century Schoolbook" w:cs="Times New Roman"/>
          <w:sz w:val="26"/>
          <w:szCs w:val="26"/>
        </w:rPr>
        <w:t>shifting” and “going haywire”).</w:t>
      </w:r>
      <w:r w:rsidR="00E61836" w:rsidRPr="0057700D">
        <w:rPr>
          <w:rFonts w:ascii="Century Schoolbook" w:eastAsia="Calibri" w:hAnsi="Century Schoolbook" w:cs="Times New Roman"/>
          <w:sz w:val="26"/>
          <w:szCs w:val="26"/>
        </w:rPr>
        <w:t xml:space="preserve">  </w:t>
      </w:r>
      <w:r w:rsidR="00151B67" w:rsidRPr="0057700D">
        <w:rPr>
          <w:rFonts w:ascii="Century Schoolbook" w:eastAsia="Calibri" w:hAnsi="Century Schoolbook" w:cs="Times New Roman"/>
          <w:sz w:val="26"/>
          <w:szCs w:val="26"/>
        </w:rPr>
        <w:fldChar w:fldCharType="begin"/>
      </w:r>
      <w:r w:rsidR="00151B67" w:rsidRPr="0057700D">
        <w:rPr>
          <w:rFonts w:ascii="Calibri" w:eastAsia="Calibri" w:hAnsi="Calibri" w:cs="Times New Roman"/>
        </w:rPr>
        <w:instrText xml:space="preserve"> TA \l "</w:instrText>
      </w:r>
      <w:r w:rsidR="00151B67" w:rsidRPr="0057700D">
        <w:rPr>
          <w:rFonts w:ascii="Century Schoolbook" w:eastAsia="Calibri" w:hAnsi="Century Schoolbook" w:cs="Times New Roman"/>
          <w:i/>
          <w:iCs/>
          <w:sz w:val="26"/>
          <w:szCs w:val="26"/>
        </w:rPr>
        <w:instrText xml:space="preserve">United States v. Foster, </w:instrText>
      </w:r>
      <w:r w:rsidR="00151B67" w:rsidRPr="0057700D">
        <w:rPr>
          <w:rFonts w:ascii="Century Schoolbook" w:eastAsia="Calibri" w:hAnsi="Century Schoolbook" w:cs="Times New Roman"/>
          <w:sz w:val="26"/>
          <w:szCs w:val="26"/>
        </w:rPr>
        <w:instrText>634 F.3d 243, 248 (4th Cir. 2011)</w:instrText>
      </w:r>
      <w:r w:rsidR="00151B67" w:rsidRPr="0057700D">
        <w:rPr>
          <w:rFonts w:ascii="Calibri" w:eastAsia="Calibri" w:hAnsi="Calibri" w:cs="Times New Roman"/>
        </w:rPr>
        <w:instrText xml:space="preserve">" \s "United States v. Foster, 634 F.3d 243, 248 (4th Cir. 2011)" \c 1 </w:instrText>
      </w:r>
      <w:r w:rsidR="00151B67" w:rsidRPr="0057700D">
        <w:rPr>
          <w:rFonts w:ascii="Century Schoolbook" w:eastAsia="Calibri" w:hAnsi="Century Schoolbook" w:cs="Times New Roman"/>
          <w:sz w:val="26"/>
          <w:szCs w:val="26"/>
        </w:rPr>
        <w:fldChar w:fldCharType="end"/>
      </w:r>
      <w:r w:rsidR="009D65C7" w:rsidRPr="0057700D">
        <w:rPr>
          <w:rFonts w:ascii="Century Schoolbook" w:eastAsia="Calibri" w:hAnsi="Century Schoolbook" w:cs="Times New Roman"/>
          <w:i/>
          <w:iCs/>
          <w:sz w:val="26"/>
          <w:szCs w:val="26"/>
        </w:rPr>
        <w:t>Foster</w:t>
      </w:r>
      <w:r w:rsidR="002764DC" w:rsidRPr="0057700D">
        <w:rPr>
          <w:rFonts w:ascii="Century Schoolbook" w:eastAsia="Calibri" w:hAnsi="Century Schoolbook" w:cs="Times New Roman"/>
          <w:sz w:val="26"/>
          <w:szCs w:val="26"/>
        </w:rPr>
        <w:t xml:space="preserve"> </w:t>
      </w:r>
      <w:r w:rsidR="00134E4C" w:rsidRPr="0057700D">
        <w:rPr>
          <w:rFonts w:ascii="Century Schoolbook" w:eastAsia="Calibri" w:hAnsi="Century Schoolbook" w:cs="Times New Roman"/>
          <w:sz w:val="26"/>
          <w:szCs w:val="26"/>
        </w:rPr>
        <w:t>said:</w:t>
      </w:r>
    </w:p>
    <w:p w14:paraId="677A4BA1" w14:textId="3C96730B" w:rsidR="002764DC" w:rsidRPr="0057700D" w:rsidRDefault="009D65C7" w:rsidP="002764DC">
      <w:pPr>
        <w:spacing w:after="0" w:line="240" w:lineRule="auto"/>
        <w:ind w:left="1008" w:right="1008"/>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there are an infinite number of reasonable explanations, unrelated to any criminal behavior, to explain why a passenger would not immediately be visible in a car. </w:t>
      </w:r>
      <w:r w:rsidR="00520443"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sz w:val="26"/>
          <w:szCs w:val="26"/>
        </w:rPr>
        <w:t>For example, he may have simply been bending over to retrieve a dropped item from the floor of the car.</w:t>
      </w:r>
      <w:r w:rsidR="00625BEC"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sz w:val="26"/>
          <w:szCs w:val="26"/>
        </w:rPr>
        <w:t xml:space="preserve"> We therefore are extremely wary of accepting the Government</w:t>
      </w:r>
      <w:r w:rsidR="00572F14" w:rsidRPr="0057700D">
        <w:rPr>
          <w:rFonts w:ascii="Century Schoolbook" w:eastAsia="Calibri" w:hAnsi="Century Schoolbook" w:cs="Times New Roman"/>
          <w:sz w:val="26"/>
          <w:szCs w:val="26"/>
        </w:rPr>
        <w:t>’</w:t>
      </w:r>
      <w:r w:rsidRPr="0057700D">
        <w:rPr>
          <w:rFonts w:ascii="Century Schoolbook" w:eastAsia="Calibri" w:hAnsi="Century Schoolbook" w:cs="Times New Roman"/>
          <w:sz w:val="26"/>
          <w:szCs w:val="26"/>
        </w:rPr>
        <w:t xml:space="preserve">s argument that an officer may acquire a reasonable suspicion of </w:t>
      </w:r>
      <w:r w:rsidRPr="0057700D">
        <w:rPr>
          <w:rFonts w:ascii="Century Schoolbook" w:eastAsia="Calibri" w:hAnsi="Century Schoolbook" w:cs="Times New Roman"/>
          <w:sz w:val="26"/>
          <w:szCs w:val="26"/>
        </w:rPr>
        <w:lastRenderedPageBreak/>
        <w:t>criminal wrongdoing simply because a person suddenly becomes observable.</w:t>
      </w:r>
    </w:p>
    <w:p w14:paraId="36AA81A1" w14:textId="5830E97D" w:rsidR="002764DC" w:rsidRPr="0057700D" w:rsidRDefault="009D65C7" w:rsidP="002764DC">
      <w:pPr>
        <w:spacing w:after="0" w:line="240" w:lineRule="auto"/>
        <w:ind w:left="1008" w:right="1008"/>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   </w:t>
      </w:r>
    </w:p>
    <w:p w14:paraId="6028E4D0" w14:textId="5484FE3A" w:rsidR="009D65C7" w:rsidRPr="0057700D" w:rsidRDefault="00625BEC" w:rsidP="009D65C7">
      <w:pPr>
        <w:spacing w:after="0" w:line="480" w:lineRule="auto"/>
        <w:rPr>
          <w:rFonts w:ascii="Century Schoolbook" w:eastAsia="Calibri" w:hAnsi="Century Schoolbook" w:cs="Times New Roman"/>
          <w:sz w:val="26"/>
          <w:szCs w:val="26"/>
        </w:rPr>
      </w:pPr>
      <w:r w:rsidRPr="0057700D">
        <w:rPr>
          <w:rFonts w:ascii="Century Schoolbook" w:eastAsia="Calibri" w:hAnsi="Century Schoolbook" w:cs="Times New Roman"/>
          <w:i/>
          <w:iCs/>
          <w:sz w:val="26"/>
          <w:szCs w:val="26"/>
        </w:rPr>
        <w:t xml:space="preserve">Id. </w:t>
      </w:r>
      <w:r w:rsidRPr="0057700D">
        <w:rPr>
          <w:rFonts w:ascii="Century Schoolbook" w:eastAsia="Calibri" w:hAnsi="Century Schoolbook" w:cs="Times New Roman"/>
          <w:sz w:val="26"/>
          <w:szCs w:val="26"/>
        </w:rPr>
        <w:t>a</w:t>
      </w:r>
      <w:r w:rsidR="009D65C7" w:rsidRPr="0057700D">
        <w:rPr>
          <w:rFonts w:ascii="Century Schoolbook" w:eastAsia="Calibri" w:hAnsi="Century Schoolbook" w:cs="Times New Roman"/>
          <w:sz w:val="26"/>
          <w:szCs w:val="26"/>
        </w:rPr>
        <w:t>t 247</w:t>
      </w:r>
      <w:r w:rsidR="00825D98" w:rsidRPr="0057700D">
        <w:rPr>
          <w:rFonts w:ascii="Century Schoolbook" w:eastAsia="Calibri" w:hAnsi="Century Schoolbook" w:cs="Times New Roman"/>
          <w:sz w:val="26"/>
          <w:szCs w:val="26"/>
        </w:rPr>
        <w:fldChar w:fldCharType="begin"/>
      </w:r>
      <w:r w:rsidR="00825D98" w:rsidRPr="0057700D">
        <w:instrText xml:space="preserve"> TA \s "United States v. Foster, 634 F.3d 243, 245, 248 (4th Cir. 2011)" </w:instrText>
      </w:r>
      <w:r w:rsidR="00825D98" w:rsidRPr="0057700D">
        <w:rPr>
          <w:rFonts w:ascii="Century Schoolbook" w:eastAsia="Calibri" w:hAnsi="Century Schoolbook" w:cs="Times New Roman"/>
          <w:sz w:val="26"/>
          <w:szCs w:val="26"/>
        </w:rPr>
        <w:fldChar w:fldCharType="end"/>
      </w:r>
      <w:r w:rsidRPr="0057700D">
        <w:rPr>
          <w:rFonts w:ascii="Century Schoolbook" w:eastAsia="Calibri" w:hAnsi="Century Schoolbook" w:cs="Times New Roman"/>
          <w:sz w:val="26"/>
          <w:szCs w:val="26"/>
        </w:rPr>
        <w:t>.</w:t>
      </w:r>
      <w:r w:rsidR="00134E4C" w:rsidRPr="0057700D">
        <w:rPr>
          <w:rFonts w:ascii="Century Schoolbook" w:eastAsia="Calibri" w:hAnsi="Century Schoolbook" w:cs="Times New Roman"/>
          <w:sz w:val="26"/>
          <w:szCs w:val="26"/>
        </w:rPr>
        <w:t xml:space="preserve">  Mr. Johnson likewise merely moved in his seat, and likewise might have leaned down for multiple, innocuous reasons.</w:t>
      </w:r>
    </w:p>
    <w:p w14:paraId="6DC67111" w14:textId="7353EEB5" w:rsidR="00806F4B" w:rsidRPr="0057700D" w:rsidRDefault="00EB2F6B" w:rsidP="006253D2">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It is easy for officers to articulate reasonable suspicion no matter what action a citizen is taking</w:t>
      </w:r>
      <w:r w:rsidR="00A57795" w:rsidRPr="0057700D">
        <w:rPr>
          <w:rFonts w:ascii="Century Schoolbook" w:eastAsia="Calibri" w:hAnsi="Century Schoolbook" w:cs="Times New Roman"/>
          <w:sz w:val="26"/>
          <w:szCs w:val="26"/>
        </w:rPr>
        <w:t>.</w:t>
      </w:r>
      <w:r w:rsidR="00325DB8" w:rsidRPr="0057700D">
        <w:rPr>
          <w:rFonts w:ascii="Century Schoolbook" w:eastAsia="Calibri" w:hAnsi="Century Schoolbook" w:cs="Times New Roman"/>
          <w:sz w:val="26"/>
          <w:szCs w:val="26"/>
        </w:rPr>
        <w:t xml:space="preserve"> </w:t>
      </w:r>
      <w:r w:rsidR="00A57795" w:rsidRPr="0057700D">
        <w:rPr>
          <w:rFonts w:ascii="Century Schoolbook" w:eastAsia="Calibri" w:hAnsi="Century Schoolbook" w:cs="Times New Roman"/>
          <w:sz w:val="26"/>
          <w:szCs w:val="26"/>
        </w:rPr>
        <w:t xml:space="preserve"> </w:t>
      </w:r>
      <w:r w:rsidR="00806F4B" w:rsidRPr="0057700D">
        <w:rPr>
          <w:rFonts w:ascii="Century Schoolbook" w:eastAsia="Calibri" w:hAnsi="Century Schoolbook" w:cs="Times New Roman"/>
          <w:sz w:val="26"/>
          <w:szCs w:val="26"/>
        </w:rPr>
        <w:t>Describing the multitude of actions that might justify reasonable suspicion of illegal conduct, Justice Gorsuch wrote:</w:t>
      </w:r>
    </w:p>
    <w:p w14:paraId="70EC7CE7" w14:textId="77777777" w:rsidR="00806F4B" w:rsidRPr="0057700D" w:rsidRDefault="00806F4B" w:rsidP="00806F4B">
      <w:pPr>
        <w:spacing w:after="0" w:line="240" w:lineRule="auto"/>
        <w:ind w:left="1008" w:right="1008"/>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History shows that governments sometimes seek to regulate our lives finely, acutely, thoroughly, and exhaustively.  In our own time and place, criminal laws have grown so exuberantly and come to cover so much previously innocent conduct that almost anyone can be arrested for something.  If the state could use these laws not for their intended purposes but to silence those who voice unpopular ideas, little would be left of our First Amendment liberties, and little would separate us from the tyrannies of the past or the malignant fiefdoms of our own age.</w:t>
      </w:r>
    </w:p>
    <w:p w14:paraId="3B80A121" w14:textId="77777777" w:rsidR="00806F4B" w:rsidRPr="0057700D" w:rsidRDefault="00806F4B" w:rsidP="00806F4B">
      <w:pPr>
        <w:spacing w:after="0" w:line="240" w:lineRule="auto"/>
        <w:ind w:left="1008" w:right="1008"/>
        <w:rPr>
          <w:rFonts w:ascii="Century Schoolbook" w:eastAsia="Calibri" w:hAnsi="Century Schoolbook" w:cs="Times New Roman"/>
          <w:sz w:val="26"/>
          <w:szCs w:val="26"/>
        </w:rPr>
      </w:pPr>
    </w:p>
    <w:p w14:paraId="6A23CE06" w14:textId="3F4FFBB9" w:rsidR="00CC4DA6" w:rsidRPr="0057700D" w:rsidRDefault="00806F4B" w:rsidP="006253D2">
      <w:pPr>
        <w:spacing w:after="0" w:line="480" w:lineRule="auto"/>
        <w:rPr>
          <w:rFonts w:ascii="Century Schoolbook" w:eastAsia="Calibri" w:hAnsi="Century Schoolbook" w:cs="Times New Roman"/>
          <w:sz w:val="26"/>
          <w:szCs w:val="26"/>
        </w:rPr>
      </w:pPr>
      <w:r w:rsidRPr="0057700D">
        <w:rPr>
          <w:rFonts w:ascii="Century Schoolbook" w:eastAsia="Calibri" w:hAnsi="Century Schoolbook" w:cs="Times New Roman"/>
          <w:i/>
          <w:iCs/>
          <w:sz w:val="26"/>
          <w:szCs w:val="26"/>
        </w:rPr>
        <w:t>Nieves v. Bartlett</w:t>
      </w:r>
      <w:r w:rsidRPr="0057700D">
        <w:rPr>
          <w:rFonts w:ascii="Century Schoolbook" w:eastAsia="Calibri" w:hAnsi="Century Schoolbook" w:cs="Times New Roman"/>
          <w:sz w:val="26"/>
          <w:szCs w:val="26"/>
        </w:rPr>
        <w:t>, 204 L. Ed. 2d 1, 19, 139 S. Ct. 1715, 1730 (2019)</w:t>
      </w:r>
      <w:r w:rsidRPr="0057700D">
        <w:rPr>
          <w:rFonts w:ascii="Century Schoolbook" w:eastAsia="Calibri" w:hAnsi="Century Schoolbook" w:cs="Times New Roman"/>
          <w:sz w:val="26"/>
          <w:szCs w:val="26"/>
        </w:rPr>
        <w:fldChar w:fldCharType="begin"/>
      </w:r>
      <w:r w:rsidRPr="0057700D">
        <w:rPr>
          <w:rFonts w:ascii="Calibri" w:eastAsia="Calibri" w:hAnsi="Calibri" w:cs="Times New Roman"/>
        </w:rPr>
        <w:instrText xml:space="preserve"> TA \l "</w:instrText>
      </w:r>
      <w:r w:rsidRPr="0057700D">
        <w:rPr>
          <w:rFonts w:ascii="Century Schoolbook" w:eastAsia="Calibri" w:hAnsi="Century Schoolbook" w:cs="Times New Roman"/>
          <w:i/>
          <w:iCs/>
          <w:sz w:val="26"/>
          <w:szCs w:val="26"/>
        </w:rPr>
        <w:instrText>Nieves v. Bartlett</w:instrText>
      </w:r>
      <w:r w:rsidRPr="0057700D">
        <w:rPr>
          <w:rFonts w:ascii="Century Schoolbook" w:eastAsia="Calibri" w:hAnsi="Century Schoolbook" w:cs="Times New Roman"/>
          <w:sz w:val="26"/>
          <w:szCs w:val="26"/>
        </w:rPr>
        <w:instrText>, 204 L.Ed.2d 1, 19, 139 S.Ct. 1715, 1730 (2019)</w:instrText>
      </w:r>
      <w:r w:rsidRPr="0057700D">
        <w:rPr>
          <w:rFonts w:ascii="Calibri" w:eastAsia="Calibri" w:hAnsi="Calibri" w:cs="Times New Roman"/>
        </w:rPr>
        <w:instrText xml:space="preserve">" \s "Nieves v. Bartlett, 204 L.Ed.2d 1, 19, 139 S.Ct. 1715, 1730 (2019)" \c 1 </w:instrText>
      </w:r>
      <w:r w:rsidRPr="0057700D">
        <w:rPr>
          <w:rFonts w:ascii="Century Schoolbook" w:eastAsia="Calibri" w:hAnsi="Century Schoolbook" w:cs="Times New Roman"/>
          <w:sz w:val="26"/>
          <w:szCs w:val="26"/>
        </w:rPr>
        <w:fldChar w:fldCharType="end"/>
      </w:r>
      <w:r w:rsidRPr="0057700D">
        <w:rPr>
          <w:rFonts w:ascii="Century Schoolbook" w:eastAsia="Calibri" w:hAnsi="Century Schoolbook" w:cs="Times New Roman"/>
          <w:sz w:val="26"/>
          <w:szCs w:val="26"/>
        </w:rPr>
        <w:t xml:space="preserve"> (Gorsuch, J., dissenting)</w:t>
      </w:r>
      <w:r w:rsidR="006253D2" w:rsidRPr="0057700D">
        <w:rPr>
          <w:rFonts w:ascii="Century Schoolbook" w:eastAsia="Calibri" w:hAnsi="Century Schoolbook" w:cs="Times New Roman"/>
          <w:sz w:val="26"/>
          <w:szCs w:val="26"/>
        </w:rPr>
        <w:t>;</w:t>
      </w:r>
      <w:r w:rsidRPr="0057700D">
        <w:rPr>
          <w:rFonts w:ascii="Century Schoolbook" w:eastAsia="Calibri" w:hAnsi="Century Schoolbook" w:cs="Times New Roman"/>
          <w:sz w:val="26"/>
          <w:szCs w:val="26"/>
        </w:rPr>
        <w:t xml:space="preserve"> </w:t>
      </w:r>
      <w:r w:rsidR="006253D2" w:rsidRPr="0057700D">
        <w:rPr>
          <w:rFonts w:ascii="Century Schoolbook" w:eastAsia="Calibri" w:hAnsi="Century Schoolbook" w:cs="Times New Roman"/>
          <w:sz w:val="26"/>
          <w:szCs w:val="26"/>
        </w:rPr>
        <w:t>s</w:t>
      </w:r>
      <w:r w:rsidR="00EB2F6B" w:rsidRPr="0057700D">
        <w:rPr>
          <w:rFonts w:ascii="Century Schoolbook" w:eastAsia="Calibri" w:hAnsi="Century Schoolbook" w:cs="Times New Roman"/>
          <w:i/>
          <w:iCs/>
          <w:sz w:val="26"/>
          <w:szCs w:val="26"/>
        </w:rPr>
        <w:t xml:space="preserve">ee </w:t>
      </w:r>
      <w:r w:rsidR="00A57795" w:rsidRPr="0057700D">
        <w:rPr>
          <w:rFonts w:ascii="Century Schoolbook" w:eastAsia="Calibri" w:hAnsi="Century Schoolbook" w:cs="Times New Roman"/>
          <w:i/>
          <w:iCs/>
          <w:sz w:val="26"/>
          <w:szCs w:val="26"/>
        </w:rPr>
        <w:t xml:space="preserve">also </w:t>
      </w:r>
      <w:r w:rsidR="00EB2F6B" w:rsidRPr="0057700D">
        <w:rPr>
          <w:rFonts w:ascii="Century Schoolbook" w:eastAsia="Calibri" w:hAnsi="Century Schoolbook" w:cs="Times New Roman"/>
          <w:i/>
          <w:iCs/>
          <w:sz w:val="26"/>
          <w:szCs w:val="26"/>
        </w:rPr>
        <w:t xml:space="preserve">Foster, </w:t>
      </w:r>
      <w:r w:rsidR="00EB2F6B" w:rsidRPr="0057700D">
        <w:rPr>
          <w:rFonts w:ascii="Century Schoolbook" w:eastAsia="Calibri" w:hAnsi="Century Schoolbook" w:cs="Times New Roman"/>
          <w:sz w:val="26"/>
          <w:szCs w:val="26"/>
        </w:rPr>
        <w:t xml:space="preserve">634 F.3d </w:t>
      </w:r>
      <w:r w:rsidR="00A57795" w:rsidRPr="0057700D">
        <w:rPr>
          <w:rFonts w:ascii="Century Schoolbook" w:eastAsia="Calibri" w:hAnsi="Century Schoolbook" w:cs="Times New Roman"/>
          <w:sz w:val="26"/>
          <w:szCs w:val="26"/>
        </w:rPr>
        <w:t>at</w:t>
      </w:r>
      <w:r w:rsidR="00EB2F6B" w:rsidRPr="0057700D">
        <w:rPr>
          <w:rFonts w:ascii="Century Schoolbook" w:eastAsia="Calibri" w:hAnsi="Century Schoolbook" w:cs="Times New Roman"/>
          <w:sz w:val="26"/>
          <w:szCs w:val="26"/>
        </w:rPr>
        <w:t xml:space="preserve"> 248 </w:t>
      </w:r>
      <w:r w:rsidR="00EB2F6B" w:rsidRPr="0057700D">
        <w:rPr>
          <w:rFonts w:ascii="Century Schoolbook" w:eastAsia="Calibri" w:hAnsi="Century Schoolbook" w:cs="Times New Roman"/>
          <w:sz w:val="26"/>
          <w:szCs w:val="26"/>
        </w:rPr>
        <w:fldChar w:fldCharType="begin"/>
      </w:r>
      <w:r w:rsidR="00EB2F6B" w:rsidRPr="0057700D">
        <w:rPr>
          <w:rFonts w:ascii="Calibri" w:eastAsia="Calibri" w:hAnsi="Calibri" w:cs="Times New Roman"/>
        </w:rPr>
        <w:instrText xml:space="preserve"> TA \l "</w:instrText>
      </w:r>
      <w:r w:rsidR="00EB2F6B" w:rsidRPr="0057700D">
        <w:rPr>
          <w:rFonts w:ascii="Century Schoolbook" w:eastAsia="Calibri" w:hAnsi="Century Schoolbook" w:cs="Times New Roman"/>
          <w:i/>
          <w:iCs/>
          <w:sz w:val="26"/>
          <w:szCs w:val="26"/>
        </w:rPr>
        <w:instrText xml:space="preserve">United States v. Foster, </w:instrText>
      </w:r>
      <w:r w:rsidR="00EB2F6B" w:rsidRPr="0057700D">
        <w:rPr>
          <w:rFonts w:ascii="Century Schoolbook" w:eastAsia="Calibri" w:hAnsi="Century Schoolbook" w:cs="Times New Roman"/>
          <w:sz w:val="26"/>
          <w:szCs w:val="26"/>
        </w:rPr>
        <w:instrText>634 F.3d 243, 248 (4th Cir. 2011)</w:instrText>
      </w:r>
      <w:r w:rsidR="00EB2F6B" w:rsidRPr="0057700D">
        <w:rPr>
          <w:rFonts w:ascii="Calibri" w:eastAsia="Calibri" w:hAnsi="Calibri" w:cs="Times New Roman"/>
        </w:rPr>
        <w:instrText xml:space="preserve">" \s "United States v. Foster, 634 F.3d 243, 248 (4th Cir. 2011)" \c 1 </w:instrText>
      </w:r>
      <w:r w:rsidR="00EB2F6B" w:rsidRPr="0057700D">
        <w:rPr>
          <w:rFonts w:ascii="Century Schoolbook" w:eastAsia="Calibri" w:hAnsi="Century Schoolbook" w:cs="Times New Roman"/>
          <w:sz w:val="26"/>
          <w:szCs w:val="26"/>
        </w:rPr>
        <w:fldChar w:fldCharType="end"/>
      </w:r>
      <w:r w:rsidR="00EB2F6B" w:rsidRPr="0057700D">
        <w:rPr>
          <w:rFonts w:ascii="Century Schoolbook" w:eastAsia="Calibri" w:hAnsi="Century Schoolbook" w:cs="Times New Roman"/>
          <w:sz w:val="26"/>
          <w:szCs w:val="26"/>
        </w:rPr>
        <w:t xml:space="preserve">(“We also note our concern about the inclination of the Government toward using whatever facts are present, no matter how innocent, as indicia of suspicious activity. . . . [A]n officer and the Government must do more than simply label a behavior as </w:t>
      </w:r>
      <w:r w:rsidR="009D71C1" w:rsidRPr="0057700D">
        <w:rPr>
          <w:rFonts w:ascii="Century Schoolbook" w:eastAsia="Calibri" w:hAnsi="Century Schoolbook" w:cs="Times New Roman"/>
          <w:sz w:val="26"/>
          <w:szCs w:val="26"/>
        </w:rPr>
        <w:t>‘</w:t>
      </w:r>
      <w:r w:rsidR="00EB2F6B" w:rsidRPr="0057700D">
        <w:rPr>
          <w:rFonts w:ascii="Century Schoolbook" w:eastAsia="Calibri" w:hAnsi="Century Schoolbook" w:cs="Times New Roman"/>
          <w:sz w:val="26"/>
          <w:szCs w:val="26"/>
        </w:rPr>
        <w:t>suspicious</w:t>
      </w:r>
      <w:r w:rsidR="009D71C1" w:rsidRPr="0057700D">
        <w:rPr>
          <w:rFonts w:ascii="Century Schoolbook" w:eastAsia="Calibri" w:hAnsi="Century Schoolbook" w:cs="Times New Roman"/>
          <w:sz w:val="26"/>
          <w:szCs w:val="26"/>
        </w:rPr>
        <w:t>’</w:t>
      </w:r>
      <w:r w:rsidR="00EB2F6B" w:rsidRPr="0057700D">
        <w:rPr>
          <w:rFonts w:ascii="Century Schoolbook" w:eastAsia="Calibri" w:hAnsi="Century Schoolbook" w:cs="Times New Roman"/>
          <w:sz w:val="26"/>
          <w:szCs w:val="26"/>
        </w:rPr>
        <w:t xml:space="preserve"> to make it so.</w:t>
      </w:r>
      <w:r w:rsidR="009D71C1" w:rsidRPr="0057700D">
        <w:rPr>
          <w:rFonts w:ascii="Century Schoolbook" w:eastAsia="Calibri" w:hAnsi="Century Schoolbook" w:cs="Times New Roman"/>
          <w:sz w:val="26"/>
          <w:szCs w:val="26"/>
        </w:rPr>
        <w:t>”</w:t>
      </w:r>
      <w:r w:rsidR="00EB2F6B" w:rsidRPr="0057700D">
        <w:rPr>
          <w:rFonts w:ascii="Century Schoolbook" w:eastAsia="Calibri" w:hAnsi="Century Schoolbook" w:cs="Times New Roman"/>
          <w:sz w:val="26"/>
          <w:szCs w:val="26"/>
        </w:rPr>
        <w:t>)</w:t>
      </w:r>
      <w:r w:rsidR="00CC4DA6" w:rsidRPr="0057700D">
        <w:rPr>
          <w:rFonts w:ascii="Century Schoolbook" w:eastAsia="Calibri" w:hAnsi="Century Schoolbook" w:cs="Times New Roman"/>
          <w:sz w:val="26"/>
          <w:szCs w:val="26"/>
        </w:rPr>
        <w:t xml:space="preserve">  </w:t>
      </w:r>
      <w:r w:rsidR="00847428" w:rsidRPr="0057700D">
        <w:rPr>
          <w:rFonts w:ascii="Century Schoolbook" w:eastAsia="Calibri" w:hAnsi="Century Schoolbook" w:cs="Times New Roman"/>
          <w:sz w:val="26"/>
          <w:szCs w:val="26"/>
        </w:rPr>
        <w:t>Mr. Johnson’s actions</w:t>
      </w:r>
      <w:r w:rsidR="001D6796" w:rsidRPr="0057700D">
        <w:rPr>
          <w:rFonts w:ascii="Century Schoolbook" w:eastAsia="Calibri" w:hAnsi="Century Schoolbook" w:cs="Times New Roman"/>
          <w:sz w:val="26"/>
          <w:szCs w:val="26"/>
        </w:rPr>
        <w:t xml:space="preserve"> (sitting in a parked car alone, and leaning down)</w:t>
      </w:r>
      <w:r w:rsidR="00847428" w:rsidRPr="0057700D">
        <w:rPr>
          <w:rFonts w:ascii="Century Schoolbook" w:eastAsia="Calibri" w:hAnsi="Century Schoolbook" w:cs="Times New Roman"/>
          <w:sz w:val="26"/>
          <w:szCs w:val="26"/>
        </w:rPr>
        <w:t>, if done by a white driver in a suburban setting, would never be considered suspicio</w:t>
      </w:r>
      <w:r w:rsidR="00F91ABC" w:rsidRPr="0057700D">
        <w:rPr>
          <w:rFonts w:ascii="Century Schoolbook" w:eastAsia="Calibri" w:hAnsi="Century Schoolbook" w:cs="Times New Roman"/>
          <w:sz w:val="26"/>
          <w:szCs w:val="26"/>
        </w:rPr>
        <w:t>u</w:t>
      </w:r>
      <w:r w:rsidR="00847428" w:rsidRPr="0057700D">
        <w:rPr>
          <w:rFonts w:ascii="Century Schoolbook" w:eastAsia="Calibri" w:hAnsi="Century Schoolbook" w:cs="Times New Roman"/>
          <w:sz w:val="26"/>
          <w:szCs w:val="26"/>
        </w:rPr>
        <w:t xml:space="preserve">s.  </w:t>
      </w:r>
      <w:r w:rsidR="00CC4DA6" w:rsidRPr="0057700D">
        <w:rPr>
          <w:rFonts w:ascii="Century Schoolbook" w:eastAsia="Calibri" w:hAnsi="Century Schoolbook" w:cs="Times New Roman"/>
          <w:sz w:val="26"/>
          <w:szCs w:val="26"/>
        </w:rPr>
        <w:t xml:space="preserve">Approving reasonable suspicion for </w:t>
      </w:r>
      <w:r w:rsidR="00CC4DA6" w:rsidRPr="0057700D">
        <w:rPr>
          <w:rFonts w:ascii="Century Schoolbook" w:eastAsia="Calibri" w:hAnsi="Century Schoolbook" w:cs="Times New Roman"/>
          <w:sz w:val="26"/>
          <w:szCs w:val="26"/>
        </w:rPr>
        <w:lastRenderedPageBreak/>
        <w:t xml:space="preserve">ambiguous behavior, especially as innocuous as leaning down in a parked car, allows both conscious and unconscious racism to flourish in policing.  </w:t>
      </w:r>
    </w:p>
    <w:p w14:paraId="0E31F782" w14:textId="4D25998C" w:rsidR="00EB2F6B" w:rsidRPr="0057700D" w:rsidRDefault="00EB2F6B" w:rsidP="006253D2">
      <w:pPr>
        <w:spacing w:after="0" w:line="480" w:lineRule="auto"/>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 </w:t>
      </w:r>
      <w:r w:rsidR="00CC4DA6" w:rsidRPr="0057700D">
        <w:rPr>
          <w:rFonts w:ascii="Century Schoolbook" w:eastAsia="Calibri" w:hAnsi="Century Schoolbook" w:cs="Times New Roman"/>
          <w:sz w:val="26"/>
          <w:szCs w:val="26"/>
        </w:rPr>
        <w:tab/>
        <w:t>F</w:t>
      </w:r>
      <w:r w:rsidR="003246D4" w:rsidRPr="0057700D">
        <w:rPr>
          <w:rFonts w:ascii="Century Schoolbook" w:eastAsia="Calibri" w:hAnsi="Century Schoolbook" w:cs="Times New Roman"/>
          <w:sz w:val="26"/>
          <w:szCs w:val="26"/>
        </w:rPr>
        <w:t>inally</w:t>
      </w:r>
      <w:r w:rsidR="00CC4DA6" w:rsidRPr="0057700D">
        <w:rPr>
          <w:rFonts w:ascii="Century Schoolbook" w:eastAsia="Calibri" w:hAnsi="Century Schoolbook" w:cs="Times New Roman"/>
          <w:sz w:val="26"/>
          <w:szCs w:val="26"/>
        </w:rPr>
        <w:t>, even</w:t>
      </w:r>
      <w:r w:rsidRPr="0057700D">
        <w:rPr>
          <w:rFonts w:ascii="Century Schoolbook" w:eastAsia="Calibri" w:hAnsi="Century Schoolbook" w:cs="Times New Roman"/>
          <w:sz w:val="26"/>
          <w:szCs w:val="26"/>
        </w:rPr>
        <w:t xml:space="preserve"> if Mr. Johnson was trying to avoid contact with Officer Kuchen, there are many reasons to </w:t>
      </w:r>
      <w:r w:rsidR="00D43078" w:rsidRPr="0057700D">
        <w:rPr>
          <w:rFonts w:ascii="Century Schoolbook" w:eastAsia="Calibri" w:hAnsi="Century Schoolbook" w:cs="Times New Roman"/>
          <w:sz w:val="26"/>
          <w:szCs w:val="26"/>
        </w:rPr>
        <w:t xml:space="preserve">avoid police other than </w:t>
      </w:r>
      <w:r w:rsidRPr="0057700D">
        <w:rPr>
          <w:rFonts w:ascii="Century Schoolbook" w:eastAsia="Calibri" w:hAnsi="Century Schoolbook" w:cs="Times New Roman"/>
          <w:sz w:val="26"/>
          <w:szCs w:val="26"/>
        </w:rPr>
        <w:t>hiding a crime – inconvenience, nervousness, outright fear – especially for Black men.</w:t>
      </w:r>
      <w:r w:rsidR="00926DE2" w:rsidRPr="0057700D">
        <w:rPr>
          <w:rFonts w:ascii="Century Schoolbook" w:eastAsia="Calibri" w:hAnsi="Century Schoolbook" w:cs="Times New Roman"/>
          <w:sz w:val="26"/>
          <w:szCs w:val="26"/>
        </w:rPr>
        <w:t xml:space="preserve">  A Black </w:t>
      </w:r>
      <w:r w:rsidR="00C651F2" w:rsidRPr="0057700D">
        <w:rPr>
          <w:rFonts w:ascii="Century Schoolbook" w:eastAsia="Calibri" w:hAnsi="Century Schoolbook" w:cs="Times New Roman"/>
          <w:sz w:val="26"/>
          <w:szCs w:val="26"/>
        </w:rPr>
        <w:t xml:space="preserve">person’s </w:t>
      </w:r>
      <w:r w:rsidR="00C40CE7" w:rsidRPr="0057700D">
        <w:rPr>
          <w:rFonts w:ascii="Century Schoolbook" w:eastAsia="Calibri" w:hAnsi="Century Schoolbook" w:cs="Times New Roman"/>
          <w:sz w:val="26"/>
          <w:szCs w:val="26"/>
        </w:rPr>
        <w:t xml:space="preserve">attempt to evade police </w:t>
      </w:r>
      <w:r w:rsidR="00C651F2" w:rsidRPr="0057700D">
        <w:rPr>
          <w:rFonts w:ascii="Century Schoolbook" w:eastAsia="Calibri" w:hAnsi="Century Schoolbook" w:cs="Times New Roman"/>
          <w:sz w:val="26"/>
          <w:szCs w:val="26"/>
        </w:rPr>
        <w:t xml:space="preserve">is </w:t>
      </w:r>
      <w:r w:rsidR="0015688F" w:rsidRPr="0057700D">
        <w:rPr>
          <w:rFonts w:ascii="Century Schoolbook" w:eastAsia="Calibri" w:hAnsi="Century Schoolbook" w:cs="Times New Roman"/>
          <w:sz w:val="26"/>
          <w:szCs w:val="26"/>
        </w:rPr>
        <w:t xml:space="preserve">“not necessarily probative of [his] state of mind or consciousness of guilt” </w:t>
      </w:r>
      <w:r w:rsidR="003A0EDC" w:rsidRPr="0057700D">
        <w:rPr>
          <w:rFonts w:ascii="Century Schoolbook" w:eastAsia="Calibri" w:hAnsi="Century Schoolbook" w:cs="Times New Roman"/>
          <w:sz w:val="26"/>
          <w:szCs w:val="26"/>
        </w:rPr>
        <w:t>and finding reasonable suspicio</w:t>
      </w:r>
      <w:r w:rsidR="00D76F4A" w:rsidRPr="0057700D">
        <w:rPr>
          <w:rFonts w:ascii="Century Schoolbook" w:eastAsia="Calibri" w:hAnsi="Century Schoolbook" w:cs="Times New Roman"/>
          <w:sz w:val="26"/>
          <w:szCs w:val="26"/>
        </w:rPr>
        <w:t>n</w:t>
      </w:r>
      <w:r w:rsidR="00654996" w:rsidRPr="0057700D">
        <w:rPr>
          <w:rFonts w:ascii="Century Schoolbook" w:eastAsia="Calibri" w:hAnsi="Century Schoolbook" w:cs="Times New Roman"/>
          <w:sz w:val="26"/>
          <w:szCs w:val="26"/>
        </w:rPr>
        <w:t xml:space="preserve"> without additional evidence undermines the “boundary between consensual and obligatory police encounters.” </w:t>
      </w:r>
      <w:r w:rsidR="00B82140" w:rsidRPr="0057700D">
        <w:rPr>
          <w:rFonts w:ascii="Century Schoolbook" w:eastAsia="Calibri" w:hAnsi="Century Schoolbook" w:cs="Times New Roman"/>
          <w:sz w:val="26"/>
          <w:szCs w:val="26"/>
        </w:rPr>
        <w:t xml:space="preserve"> </w:t>
      </w:r>
      <w:r w:rsidR="006E10EF" w:rsidRPr="0057700D">
        <w:rPr>
          <w:rFonts w:ascii="Century Schoolbook" w:eastAsia="Calibri" w:hAnsi="Century Schoolbook" w:cs="Times New Roman"/>
          <w:i/>
          <w:iCs/>
          <w:sz w:val="26"/>
          <w:szCs w:val="26"/>
        </w:rPr>
        <w:t>Com</w:t>
      </w:r>
      <w:r w:rsidR="00C111C4">
        <w:rPr>
          <w:rFonts w:ascii="Century Schoolbook" w:eastAsia="Calibri" w:hAnsi="Century Schoolbook" w:cs="Times New Roman"/>
          <w:i/>
          <w:iCs/>
          <w:sz w:val="26"/>
          <w:szCs w:val="26"/>
        </w:rPr>
        <w:t>monwealth</w:t>
      </w:r>
      <w:r w:rsidR="006E10EF" w:rsidRPr="0057700D">
        <w:rPr>
          <w:rFonts w:ascii="Century Schoolbook" w:eastAsia="Calibri" w:hAnsi="Century Schoolbook" w:cs="Times New Roman"/>
          <w:i/>
          <w:iCs/>
          <w:sz w:val="26"/>
          <w:szCs w:val="26"/>
        </w:rPr>
        <w:t xml:space="preserve"> v. Warren</w:t>
      </w:r>
      <w:r w:rsidR="006E10EF" w:rsidRPr="0057700D">
        <w:rPr>
          <w:rFonts w:ascii="Century Schoolbook" w:eastAsia="Calibri" w:hAnsi="Century Schoolbook" w:cs="Times New Roman"/>
          <w:sz w:val="26"/>
          <w:szCs w:val="26"/>
        </w:rPr>
        <w:t xml:space="preserve">, </w:t>
      </w:r>
      <w:r w:rsidR="00F73A22">
        <w:rPr>
          <w:rFonts w:ascii="Century Schoolbook" w:eastAsia="Calibri" w:hAnsi="Century Schoolbook" w:cs="Times New Roman"/>
          <w:sz w:val="26"/>
          <w:szCs w:val="26"/>
        </w:rPr>
        <w:t xml:space="preserve">475 Mass. 530, </w:t>
      </w:r>
      <w:r w:rsidR="00A135B8">
        <w:rPr>
          <w:rFonts w:ascii="Century Schoolbook" w:eastAsia="Calibri" w:hAnsi="Century Schoolbook" w:cs="Times New Roman"/>
          <w:sz w:val="26"/>
          <w:szCs w:val="26"/>
        </w:rPr>
        <w:t>538</w:t>
      </w:r>
      <w:r w:rsidR="006E10EF" w:rsidRPr="0057700D">
        <w:rPr>
          <w:rFonts w:ascii="Century Schoolbook" w:eastAsia="Calibri" w:hAnsi="Century Schoolbook" w:cs="Times New Roman"/>
          <w:sz w:val="26"/>
          <w:szCs w:val="26"/>
        </w:rPr>
        <w:t xml:space="preserve"> (2016)</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Com. v. Warren</w:instrText>
      </w:r>
      <w:r w:rsidR="00825D98" w:rsidRPr="0057700D">
        <w:rPr>
          <w:rFonts w:ascii="Century Schoolbook" w:eastAsia="Calibri" w:hAnsi="Century Schoolbook" w:cs="Times New Roman"/>
          <w:sz w:val="26"/>
          <w:szCs w:val="26"/>
        </w:rPr>
        <w:instrText>, 58 N.E.3d 333, 341-42 (Mass. 2016)</w:instrText>
      </w:r>
      <w:r w:rsidR="00825D98" w:rsidRPr="0057700D">
        <w:instrText xml:space="preserve">" \s "Com. v. Warren, 58 N.E.3d 333, 341-42 (Mass. 2016)" \c 1 </w:instrText>
      </w:r>
      <w:r w:rsidR="00825D98" w:rsidRPr="0057700D">
        <w:rPr>
          <w:rFonts w:ascii="Century Schoolbook" w:eastAsia="Calibri" w:hAnsi="Century Schoolbook" w:cs="Times New Roman"/>
          <w:sz w:val="26"/>
          <w:szCs w:val="26"/>
        </w:rPr>
        <w:fldChar w:fldCharType="end"/>
      </w:r>
      <w:r w:rsidR="006E10EF" w:rsidRPr="0057700D">
        <w:rPr>
          <w:rFonts w:ascii="Century Schoolbook" w:eastAsia="Calibri" w:hAnsi="Century Schoolbook" w:cs="Times New Roman"/>
          <w:sz w:val="26"/>
          <w:szCs w:val="26"/>
        </w:rPr>
        <w:t xml:space="preserve"> (</w:t>
      </w:r>
      <w:r w:rsidR="00B82140" w:rsidRPr="0057700D">
        <w:rPr>
          <w:rFonts w:ascii="Century Schoolbook" w:eastAsia="Calibri" w:hAnsi="Century Schoolbook" w:cs="Times New Roman"/>
          <w:sz w:val="26"/>
          <w:szCs w:val="26"/>
        </w:rPr>
        <w:t xml:space="preserve">finding </w:t>
      </w:r>
      <w:r w:rsidR="00FB0AE0" w:rsidRPr="0057700D">
        <w:rPr>
          <w:rFonts w:ascii="Century Schoolbook" w:eastAsia="Calibri" w:hAnsi="Century Schoolbook" w:cs="Times New Roman"/>
          <w:sz w:val="26"/>
          <w:szCs w:val="26"/>
        </w:rPr>
        <w:t>insufficient</w:t>
      </w:r>
      <w:r w:rsidR="00B82140" w:rsidRPr="0057700D">
        <w:rPr>
          <w:rFonts w:ascii="Century Schoolbook" w:eastAsia="Calibri" w:hAnsi="Century Schoolbook" w:cs="Times New Roman"/>
          <w:sz w:val="26"/>
          <w:szCs w:val="26"/>
        </w:rPr>
        <w:t xml:space="preserve"> reasonable suspicion</w:t>
      </w:r>
      <w:r w:rsidR="00FB0AE0" w:rsidRPr="0057700D">
        <w:rPr>
          <w:rFonts w:ascii="Century Schoolbook" w:eastAsia="Calibri" w:hAnsi="Century Schoolbook" w:cs="Times New Roman"/>
          <w:sz w:val="26"/>
          <w:szCs w:val="26"/>
        </w:rPr>
        <w:t xml:space="preserve"> to make an investigatory stop</w:t>
      </w:r>
      <w:r w:rsidR="00B82140" w:rsidRPr="0057700D">
        <w:rPr>
          <w:rFonts w:ascii="Century Schoolbook" w:eastAsia="Calibri" w:hAnsi="Century Schoolbook" w:cs="Times New Roman"/>
          <w:sz w:val="26"/>
          <w:szCs w:val="26"/>
        </w:rPr>
        <w:t xml:space="preserve">, especially given data showing Black men </w:t>
      </w:r>
      <w:r w:rsidR="00C76E75" w:rsidRPr="0057700D">
        <w:rPr>
          <w:rFonts w:ascii="Century Schoolbook" w:eastAsia="Calibri" w:hAnsi="Century Schoolbook" w:cs="Times New Roman"/>
          <w:sz w:val="26"/>
          <w:szCs w:val="26"/>
        </w:rPr>
        <w:t>were disproportionally targeted for police encounters</w:t>
      </w:r>
      <w:r w:rsidR="009C63EB" w:rsidRPr="0057700D">
        <w:rPr>
          <w:rFonts w:ascii="Century Schoolbook" w:eastAsia="Calibri" w:hAnsi="Century Schoolbook" w:cs="Times New Roman"/>
          <w:sz w:val="26"/>
          <w:szCs w:val="26"/>
        </w:rPr>
        <w:t xml:space="preserve"> in the district</w:t>
      </w:r>
      <w:r w:rsidR="00C76E75" w:rsidRPr="0057700D">
        <w:rPr>
          <w:rFonts w:ascii="Century Schoolbook" w:eastAsia="Calibri" w:hAnsi="Century Schoolbook" w:cs="Times New Roman"/>
          <w:sz w:val="26"/>
          <w:szCs w:val="26"/>
        </w:rPr>
        <w:t xml:space="preserve">.)  </w:t>
      </w:r>
      <w:r w:rsidR="00016B96" w:rsidRPr="0057700D">
        <w:rPr>
          <w:rFonts w:ascii="Century Schoolbook" w:eastAsia="Calibri" w:hAnsi="Century Schoolbook" w:cs="Times New Roman"/>
          <w:sz w:val="26"/>
          <w:szCs w:val="26"/>
        </w:rPr>
        <w:t>Avoiding police</w:t>
      </w:r>
      <w:r w:rsidR="00C05EB2" w:rsidRPr="0057700D">
        <w:rPr>
          <w:rFonts w:ascii="Century Schoolbook" w:eastAsia="Calibri" w:hAnsi="Century Schoolbook" w:cs="Times New Roman"/>
          <w:sz w:val="26"/>
          <w:szCs w:val="26"/>
        </w:rPr>
        <w:t xml:space="preserve">, as a lone factor, should not constitute grounds for reasonable suspicion.  </w:t>
      </w:r>
    </w:p>
    <w:p w14:paraId="6057EC7C" w14:textId="25418C7E" w:rsidR="00EB2F6B" w:rsidRPr="0057700D" w:rsidRDefault="0068097B" w:rsidP="00CA0CAD">
      <w:pPr>
        <w:spacing w:after="0" w:line="480" w:lineRule="auto"/>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ab/>
      </w:r>
      <w:r w:rsidR="00CA0CAD" w:rsidRPr="0057700D">
        <w:rPr>
          <w:rFonts w:ascii="Century Schoolbook" w:eastAsia="Calibri" w:hAnsi="Century Schoolbook" w:cs="Times New Roman"/>
          <w:sz w:val="26"/>
          <w:szCs w:val="26"/>
        </w:rPr>
        <w:t>In sum, t</w:t>
      </w:r>
      <w:r w:rsidR="00615651" w:rsidRPr="0057700D">
        <w:rPr>
          <w:rFonts w:ascii="Century Schoolbook" w:eastAsia="Calibri" w:hAnsi="Century Schoolbook" w:cs="Times New Roman"/>
          <w:sz w:val="26"/>
          <w:szCs w:val="26"/>
        </w:rPr>
        <w:t>he circumstances of Mr. Johnson’s arrest support the inference that he was investigated because he was Black</w:t>
      </w:r>
      <w:r w:rsidR="008F6F91" w:rsidRPr="0057700D">
        <w:rPr>
          <w:rFonts w:ascii="Century Schoolbook" w:eastAsia="Calibri" w:hAnsi="Century Schoolbook" w:cs="Times New Roman"/>
          <w:sz w:val="26"/>
          <w:szCs w:val="26"/>
        </w:rPr>
        <w:t xml:space="preserve"> and that both “trespassing” and “sliding down in his seat” were pretexts for the stop</w:t>
      </w:r>
      <w:r w:rsidR="00615651" w:rsidRPr="0057700D">
        <w:rPr>
          <w:rFonts w:ascii="Century Schoolbook" w:eastAsia="Calibri" w:hAnsi="Century Schoolbook" w:cs="Times New Roman"/>
          <w:sz w:val="26"/>
          <w:szCs w:val="26"/>
        </w:rPr>
        <w:t xml:space="preserve">.  </w:t>
      </w:r>
      <w:r w:rsidR="00FB0EFC" w:rsidRPr="0057700D">
        <w:rPr>
          <w:rFonts w:ascii="Century Schoolbook" w:eastAsia="Calibri" w:hAnsi="Century Schoolbook" w:cs="Times New Roman"/>
          <w:sz w:val="26"/>
          <w:szCs w:val="26"/>
        </w:rPr>
        <w:t>In making the prima facie determination, t</w:t>
      </w:r>
      <w:r w:rsidR="006A1ABE" w:rsidRPr="0057700D">
        <w:rPr>
          <w:rFonts w:ascii="Century Schoolbook" w:eastAsia="Calibri" w:hAnsi="Century Schoolbook" w:cs="Times New Roman"/>
          <w:sz w:val="26"/>
          <w:szCs w:val="26"/>
        </w:rPr>
        <w:t>h</w:t>
      </w:r>
      <w:r w:rsidR="008F6F91" w:rsidRPr="0057700D">
        <w:rPr>
          <w:rFonts w:ascii="Century Schoolbook" w:eastAsia="Calibri" w:hAnsi="Century Schoolbook" w:cs="Times New Roman"/>
          <w:sz w:val="26"/>
          <w:szCs w:val="26"/>
        </w:rPr>
        <w:t>ese</w:t>
      </w:r>
      <w:r w:rsidR="006A1ABE" w:rsidRPr="0057700D">
        <w:rPr>
          <w:rFonts w:ascii="Century Schoolbook" w:eastAsia="Calibri" w:hAnsi="Century Schoolbook" w:cs="Times New Roman"/>
          <w:sz w:val="26"/>
          <w:szCs w:val="26"/>
        </w:rPr>
        <w:t xml:space="preserve"> inference</w:t>
      </w:r>
      <w:r w:rsidR="008F6F91" w:rsidRPr="0057700D">
        <w:rPr>
          <w:rFonts w:ascii="Century Schoolbook" w:eastAsia="Calibri" w:hAnsi="Century Schoolbook" w:cs="Times New Roman"/>
          <w:sz w:val="26"/>
          <w:szCs w:val="26"/>
        </w:rPr>
        <w:t>s</w:t>
      </w:r>
      <w:r w:rsidR="006A1ABE" w:rsidRPr="0057700D">
        <w:rPr>
          <w:rFonts w:ascii="Century Schoolbook" w:eastAsia="Calibri" w:hAnsi="Century Schoolbook" w:cs="Times New Roman"/>
          <w:sz w:val="26"/>
          <w:szCs w:val="26"/>
        </w:rPr>
        <w:t xml:space="preserve"> should be considered along with the statistical evidence.</w:t>
      </w:r>
      <w:r w:rsidR="00AB2D19" w:rsidRPr="0057700D">
        <w:rPr>
          <w:rFonts w:ascii="Century Schoolbook" w:eastAsia="Calibri" w:hAnsi="Century Schoolbook" w:cs="Times New Roman"/>
          <w:sz w:val="26"/>
          <w:szCs w:val="26"/>
        </w:rPr>
        <w:t xml:space="preserve">  As shown above, t</w:t>
      </w:r>
      <w:r w:rsidR="00EB2F6B" w:rsidRPr="0057700D">
        <w:rPr>
          <w:rFonts w:ascii="Century Schoolbook" w:eastAsia="Calibri" w:hAnsi="Century Schoolbook" w:cs="Times New Roman"/>
          <w:sz w:val="26"/>
          <w:szCs w:val="26"/>
        </w:rPr>
        <w:t>he</w:t>
      </w:r>
      <w:r w:rsidR="00B35E23" w:rsidRPr="0057700D">
        <w:rPr>
          <w:rFonts w:ascii="Century Schoolbook" w:eastAsia="Calibri" w:hAnsi="Century Schoolbook" w:cs="Times New Roman"/>
          <w:sz w:val="26"/>
          <w:szCs w:val="26"/>
        </w:rPr>
        <w:t xml:space="preserve"> statistical evidence </w:t>
      </w:r>
      <w:r w:rsidR="00A879F0" w:rsidRPr="0057700D">
        <w:rPr>
          <w:rFonts w:ascii="Century Schoolbook" w:eastAsia="Calibri" w:hAnsi="Century Schoolbook" w:cs="Times New Roman"/>
          <w:sz w:val="26"/>
          <w:szCs w:val="26"/>
        </w:rPr>
        <w:t xml:space="preserve">was thorough, uncontested, relevant, and sufficient to show discriminatory purpose and effect.  It </w:t>
      </w:r>
      <w:r w:rsidR="00B35E23" w:rsidRPr="0057700D">
        <w:rPr>
          <w:rFonts w:ascii="Century Schoolbook" w:eastAsia="Calibri" w:hAnsi="Century Schoolbook" w:cs="Times New Roman"/>
          <w:sz w:val="26"/>
          <w:szCs w:val="26"/>
        </w:rPr>
        <w:t xml:space="preserve">raised a presumption that </w:t>
      </w:r>
      <w:r w:rsidR="00EB2F6B" w:rsidRPr="0057700D">
        <w:rPr>
          <w:rFonts w:ascii="Century Schoolbook" w:eastAsia="Calibri" w:hAnsi="Century Schoolbook" w:cs="Times New Roman"/>
          <w:sz w:val="26"/>
          <w:szCs w:val="26"/>
        </w:rPr>
        <w:t xml:space="preserve">Kuchen enforced </w:t>
      </w:r>
      <w:r w:rsidR="0025555E" w:rsidRPr="0057700D">
        <w:rPr>
          <w:rFonts w:ascii="Century Schoolbook" w:eastAsia="Calibri" w:hAnsi="Century Schoolbook" w:cs="Times New Roman"/>
          <w:sz w:val="26"/>
          <w:szCs w:val="26"/>
        </w:rPr>
        <w:t xml:space="preserve">the law </w:t>
      </w:r>
      <w:r w:rsidR="00EB2F6B" w:rsidRPr="0057700D">
        <w:rPr>
          <w:rFonts w:ascii="Century Schoolbook" w:eastAsia="Calibri" w:hAnsi="Century Schoolbook" w:cs="Times New Roman"/>
          <w:sz w:val="26"/>
          <w:szCs w:val="26"/>
        </w:rPr>
        <w:t xml:space="preserve">in </w:t>
      </w:r>
      <w:r w:rsidR="00EB2F6B" w:rsidRPr="0057700D">
        <w:rPr>
          <w:rFonts w:ascii="Century Schoolbook" w:eastAsia="Calibri" w:hAnsi="Century Schoolbook" w:cs="Times New Roman"/>
          <w:sz w:val="26"/>
          <w:szCs w:val="26"/>
        </w:rPr>
        <w:lastRenderedPageBreak/>
        <w:t xml:space="preserve">a </w:t>
      </w:r>
      <w:proofErr w:type="gramStart"/>
      <w:r w:rsidR="00EB2F6B" w:rsidRPr="0057700D">
        <w:rPr>
          <w:rFonts w:ascii="Century Schoolbook" w:eastAsia="Calibri" w:hAnsi="Century Schoolbook" w:cs="Times New Roman"/>
          <w:sz w:val="26"/>
          <w:szCs w:val="26"/>
        </w:rPr>
        <w:t>racially-disparate</w:t>
      </w:r>
      <w:proofErr w:type="gramEnd"/>
      <w:r w:rsidR="00EB2F6B" w:rsidRPr="0057700D">
        <w:rPr>
          <w:rFonts w:ascii="Century Schoolbook" w:eastAsia="Calibri" w:hAnsi="Century Schoolbook" w:cs="Times New Roman"/>
          <w:sz w:val="26"/>
          <w:szCs w:val="26"/>
        </w:rPr>
        <w:t xml:space="preserve"> way.</w:t>
      </w:r>
      <w:r w:rsidR="004A6ED9" w:rsidRPr="0057700D">
        <w:rPr>
          <w:rFonts w:ascii="Century Schoolbook" w:eastAsia="Calibri" w:hAnsi="Century Schoolbook" w:cs="Times New Roman"/>
          <w:sz w:val="26"/>
          <w:szCs w:val="26"/>
        </w:rPr>
        <w:t xml:space="preserve">  I</w:t>
      </w:r>
      <w:r w:rsidR="00EB2F6B" w:rsidRPr="0057700D">
        <w:rPr>
          <w:rFonts w:ascii="Century Schoolbook" w:eastAsia="Calibri" w:hAnsi="Century Schoolbook" w:cs="Times New Roman"/>
          <w:sz w:val="26"/>
          <w:szCs w:val="26"/>
        </w:rPr>
        <w:t xml:space="preserve">f </w:t>
      </w:r>
      <w:r w:rsidR="004A6ED9" w:rsidRPr="0057700D">
        <w:rPr>
          <w:rFonts w:ascii="Century Schoolbook" w:eastAsia="Calibri" w:hAnsi="Century Schoolbook" w:cs="Times New Roman"/>
          <w:sz w:val="26"/>
          <w:szCs w:val="26"/>
        </w:rPr>
        <w:t>police</w:t>
      </w:r>
      <w:r w:rsidR="00EB2F6B" w:rsidRPr="0057700D">
        <w:rPr>
          <w:rFonts w:ascii="Century Schoolbook" w:eastAsia="Calibri" w:hAnsi="Century Schoolbook" w:cs="Times New Roman"/>
          <w:sz w:val="26"/>
          <w:szCs w:val="26"/>
        </w:rPr>
        <w:t xml:space="preserve"> only look for trespassers in poor neighborhoods </w:t>
      </w:r>
      <w:r w:rsidR="00D43078" w:rsidRPr="0057700D">
        <w:rPr>
          <w:rFonts w:ascii="Century Schoolbook" w:eastAsia="Calibri" w:hAnsi="Century Schoolbook" w:cs="Times New Roman"/>
          <w:sz w:val="26"/>
          <w:szCs w:val="26"/>
        </w:rPr>
        <w:t xml:space="preserve">mostly occupied by </w:t>
      </w:r>
      <w:r w:rsidR="00EB2F6B" w:rsidRPr="0057700D">
        <w:rPr>
          <w:rFonts w:ascii="Century Schoolbook" w:eastAsia="Calibri" w:hAnsi="Century Schoolbook" w:cs="Times New Roman"/>
          <w:sz w:val="26"/>
          <w:szCs w:val="26"/>
        </w:rPr>
        <w:t xml:space="preserve">people of color, that is where </w:t>
      </w:r>
      <w:r w:rsidR="00615651" w:rsidRPr="0057700D">
        <w:rPr>
          <w:rFonts w:ascii="Century Schoolbook" w:eastAsia="Calibri" w:hAnsi="Century Schoolbook" w:cs="Times New Roman"/>
          <w:sz w:val="26"/>
          <w:szCs w:val="26"/>
        </w:rPr>
        <w:t>they</w:t>
      </w:r>
      <w:r w:rsidR="00EB2F6B" w:rsidRPr="0057700D">
        <w:rPr>
          <w:rFonts w:ascii="Century Schoolbook" w:eastAsia="Calibri" w:hAnsi="Century Schoolbook" w:cs="Times New Roman"/>
          <w:sz w:val="26"/>
          <w:szCs w:val="26"/>
        </w:rPr>
        <w:t xml:space="preserve"> will arrest trespassers. </w:t>
      </w:r>
      <w:r w:rsidR="008F6F91" w:rsidRPr="0057700D">
        <w:rPr>
          <w:rFonts w:ascii="Century Schoolbook" w:eastAsia="Calibri" w:hAnsi="Century Schoolbook" w:cs="Times New Roman"/>
          <w:sz w:val="26"/>
          <w:szCs w:val="26"/>
        </w:rPr>
        <w:t xml:space="preserve"> If police only investigate Black citizens</w:t>
      </w:r>
      <w:r w:rsidR="0075788E" w:rsidRPr="0057700D">
        <w:rPr>
          <w:rFonts w:ascii="Century Schoolbook" w:eastAsia="Calibri" w:hAnsi="Century Schoolbook" w:cs="Times New Roman"/>
          <w:sz w:val="26"/>
          <w:szCs w:val="26"/>
        </w:rPr>
        <w:t xml:space="preserve"> in poor neighborhoods</w:t>
      </w:r>
      <w:r w:rsidR="008F6F91" w:rsidRPr="0057700D">
        <w:rPr>
          <w:rFonts w:ascii="Century Schoolbook" w:eastAsia="Calibri" w:hAnsi="Century Schoolbook" w:cs="Times New Roman"/>
          <w:sz w:val="26"/>
          <w:szCs w:val="26"/>
        </w:rPr>
        <w:t xml:space="preserve"> for sliding down in their seats, then Black citizens are </w:t>
      </w:r>
      <w:r w:rsidR="00067156" w:rsidRPr="0057700D">
        <w:rPr>
          <w:rFonts w:ascii="Century Schoolbook" w:eastAsia="Calibri" w:hAnsi="Century Schoolbook" w:cs="Times New Roman"/>
          <w:sz w:val="26"/>
          <w:szCs w:val="26"/>
        </w:rPr>
        <w:t xml:space="preserve">the ones who will be </w:t>
      </w:r>
      <w:r w:rsidR="009F53E0" w:rsidRPr="0057700D">
        <w:rPr>
          <w:rFonts w:ascii="Century Schoolbook" w:eastAsia="Calibri" w:hAnsi="Century Schoolbook" w:cs="Times New Roman"/>
          <w:sz w:val="26"/>
          <w:szCs w:val="26"/>
        </w:rPr>
        <w:t>investigated</w:t>
      </w:r>
      <w:r w:rsidR="0025555E" w:rsidRPr="0057700D">
        <w:rPr>
          <w:rFonts w:ascii="Century Schoolbook" w:eastAsia="Calibri" w:hAnsi="Century Schoolbook" w:cs="Times New Roman"/>
          <w:sz w:val="26"/>
          <w:szCs w:val="26"/>
        </w:rPr>
        <w:t xml:space="preserve"> and searched</w:t>
      </w:r>
      <w:r w:rsidR="009F53E0" w:rsidRPr="0057700D">
        <w:rPr>
          <w:rFonts w:ascii="Century Schoolbook" w:eastAsia="Calibri" w:hAnsi="Century Schoolbook" w:cs="Times New Roman"/>
          <w:sz w:val="26"/>
          <w:szCs w:val="26"/>
        </w:rPr>
        <w:t>.</w:t>
      </w:r>
      <w:r w:rsidR="008F6F91" w:rsidRPr="0057700D">
        <w:rPr>
          <w:rFonts w:ascii="Century Schoolbook" w:eastAsia="Calibri" w:hAnsi="Century Schoolbook" w:cs="Times New Roman"/>
          <w:sz w:val="26"/>
          <w:szCs w:val="26"/>
        </w:rPr>
        <w:t xml:space="preserve"> </w:t>
      </w:r>
      <w:r w:rsidR="00EB2F6B" w:rsidRPr="0057700D">
        <w:rPr>
          <w:rFonts w:ascii="Century Schoolbook" w:eastAsia="Calibri" w:hAnsi="Century Schoolbook" w:cs="Times New Roman"/>
          <w:sz w:val="26"/>
          <w:szCs w:val="26"/>
        </w:rPr>
        <w:t xml:space="preserve"> </w:t>
      </w:r>
      <w:r w:rsidR="00FB613F" w:rsidRPr="0057700D">
        <w:rPr>
          <w:rFonts w:ascii="Century Schoolbook" w:eastAsia="Calibri" w:hAnsi="Century Schoolbook" w:cs="Times New Roman"/>
          <w:sz w:val="26"/>
          <w:szCs w:val="26"/>
        </w:rPr>
        <w:t xml:space="preserve">Mr. Johnson met his </w:t>
      </w:r>
      <w:r w:rsidR="00D43078" w:rsidRPr="0057700D">
        <w:rPr>
          <w:rFonts w:ascii="Century Schoolbook" w:eastAsia="Calibri" w:hAnsi="Century Schoolbook" w:cs="Times New Roman"/>
          <w:sz w:val="26"/>
          <w:szCs w:val="26"/>
        </w:rPr>
        <w:t xml:space="preserve">prima facie burden.  </w:t>
      </w:r>
      <w:r w:rsidR="0057718C" w:rsidRPr="0057700D">
        <w:rPr>
          <w:rFonts w:ascii="Century Schoolbook" w:eastAsia="Calibri" w:hAnsi="Century Schoolbook" w:cs="Times New Roman"/>
          <w:sz w:val="26"/>
          <w:szCs w:val="26"/>
        </w:rPr>
        <w:t>The stark statistics</w:t>
      </w:r>
      <w:r w:rsidR="007A6095" w:rsidRPr="0057700D">
        <w:rPr>
          <w:rFonts w:ascii="Century Schoolbook" w:eastAsia="Calibri" w:hAnsi="Century Schoolbook" w:cs="Times New Roman"/>
          <w:sz w:val="26"/>
          <w:szCs w:val="26"/>
        </w:rPr>
        <w:t>, along with the paucity of reasonable suspicion,</w:t>
      </w:r>
      <w:r w:rsidR="0057718C" w:rsidRPr="0057700D">
        <w:rPr>
          <w:rFonts w:ascii="Century Schoolbook" w:eastAsia="Calibri" w:hAnsi="Century Schoolbook" w:cs="Times New Roman"/>
          <w:sz w:val="26"/>
          <w:szCs w:val="26"/>
        </w:rPr>
        <w:t xml:space="preserve"> raised an inference</w:t>
      </w:r>
      <w:r w:rsidR="00FB613F" w:rsidRPr="0057700D">
        <w:rPr>
          <w:rFonts w:ascii="Century Schoolbook" w:eastAsia="Calibri" w:hAnsi="Century Schoolbook" w:cs="Times New Roman"/>
          <w:sz w:val="26"/>
          <w:szCs w:val="26"/>
        </w:rPr>
        <w:t xml:space="preserve"> of </w:t>
      </w:r>
      <w:r w:rsidR="00CF7F5C" w:rsidRPr="0057700D">
        <w:rPr>
          <w:rFonts w:ascii="Century Schoolbook" w:eastAsia="Calibri" w:hAnsi="Century Schoolbook" w:cs="Times New Roman"/>
          <w:sz w:val="26"/>
          <w:szCs w:val="26"/>
        </w:rPr>
        <w:t xml:space="preserve">both </w:t>
      </w:r>
      <w:r w:rsidR="00FB613F" w:rsidRPr="0057700D">
        <w:rPr>
          <w:rFonts w:ascii="Century Schoolbook" w:eastAsia="Calibri" w:hAnsi="Century Schoolbook" w:cs="Times New Roman"/>
          <w:sz w:val="26"/>
          <w:szCs w:val="26"/>
        </w:rPr>
        <w:t>discriminat</w:t>
      </w:r>
      <w:r w:rsidR="00EB5A64" w:rsidRPr="0057700D">
        <w:rPr>
          <w:rFonts w:ascii="Century Schoolbook" w:eastAsia="Calibri" w:hAnsi="Century Schoolbook" w:cs="Times New Roman"/>
          <w:sz w:val="26"/>
          <w:szCs w:val="26"/>
        </w:rPr>
        <w:t>ory</w:t>
      </w:r>
      <w:r w:rsidR="00FB613F" w:rsidRPr="0057700D">
        <w:rPr>
          <w:rFonts w:ascii="Century Schoolbook" w:eastAsia="Calibri" w:hAnsi="Century Schoolbook" w:cs="Times New Roman"/>
          <w:sz w:val="26"/>
          <w:szCs w:val="26"/>
        </w:rPr>
        <w:t xml:space="preserve"> </w:t>
      </w:r>
      <w:r w:rsidR="00CF7F5C" w:rsidRPr="0057700D">
        <w:rPr>
          <w:rFonts w:ascii="Century Schoolbook" w:eastAsia="Calibri" w:hAnsi="Century Schoolbook" w:cs="Times New Roman"/>
          <w:sz w:val="26"/>
          <w:szCs w:val="26"/>
        </w:rPr>
        <w:t>purpose and effect, in violation of the Equal Protection Clause.</w:t>
      </w:r>
      <w:r w:rsidR="0057718C" w:rsidRPr="0057700D">
        <w:rPr>
          <w:rFonts w:ascii="Century Schoolbook" w:eastAsia="Calibri" w:hAnsi="Century Schoolbook" w:cs="Times New Roman"/>
          <w:sz w:val="26"/>
          <w:szCs w:val="26"/>
        </w:rPr>
        <w:t xml:space="preserve">  </w:t>
      </w:r>
      <w:r w:rsidR="00F14BC2" w:rsidRPr="0057700D">
        <w:rPr>
          <w:rFonts w:ascii="Century Schoolbook" w:eastAsia="Calibri" w:hAnsi="Century Schoolbook" w:cs="Times New Roman"/>
          <w:i/>
          <w:iCs/>
          <w:sz w:val="26"/>
          <w:szCs w:val="26"/>
        </w:rPr>
        <w:t>McCleskey</w:t>
      </w:r>
      <w:r w:rsidR="00825D98" w:rsidRPr="0057700D">
        <w:rPr>
          <w:rFonts w:ascii="Century Schoolbook" w:eastAsia="Calibri" w:hAnsi="Century Schoolbook" w:cs="Times New Roman"/>
          <w:i/>
          <w:iCs/>
          <w:sz w:val="26"/>
          <w:szCs w:val="26"/>
        </w:rPr>
        <w:fldChar w:fldCharType="begin"/>
      </w:r>
      <w:r w:rsidR="00825D98" w:rsidRPr="0057700D">
        <w:instrText xml:space="preserve"> TA \s "McKleskey v. Kemp, 481 U.S. 279, 294 (1987)" </w:instrText>
      </w:r>
      <w:r w:rsidR="00825D98" w:rsidRPr="0057700D">
        <w:rPr>
          <w:rFonts w:ascii="Century Schoolbook" w:eastAsia="Calibri" w:hAnsi="Century Schoolbook" w:cs="Times New Roman"/>
          <w:i/>
          <w:iCs/>
          <w:sz w:val="26"/>
          <w:szCs w:val="26"/>
        </w:rPr>
        <w:fldChar w:fldCharType="end"/>
      </w:r>
      <w:r w:rsidR="00F14BC2" w:rsidRPr="0057700D">
        <w:rPr>
          <w:rFonts w:ascii="Century Schoolbook" w:eastAsia="Calibri" w:hAnsi="Century Schoolbook" w:cs="Times New Roman"/>
          <w:i/>
          <w:iCs/>
          <w:sz w:val="26"/>
          <w:szCs w:val="26"/>
        </w:rPr>
        <w:t>; Batson</w:t>
      </w:r>
      <w:r w:rsidR="00825D98" w:rsidRPr="0057700D">
        <w:rPr>
          <w:rFonts w:ascii="Century Schoolbook" w:eastAsia="Calibri" w:hAnsi="Century Schoolbook" w:cs="Times New Roman"/>
          <w:i/>
          <w:iCs/>
          <w:sz w:val="26"/>
          <w:szCs w:val="26"/>
        </w:rPr>
        <w:fldChar w:fldCharType="begin"/>
      </w:r>
      <w:r w:rsidR="00825D98" w:rsidRPr="0057700D">
        <w:instrText xml:space="preserve"> TA \s "Batson v. Kentucky, 476 U.S. 79 (1986)" </w:instrText>
      </w:r>
      <w:r w:rsidR="00825D98" w:rsidRPr="0057700D">
        <w:rPr>
          <w:rFonts w:ascii="Century Schoolbook" w:eastAsia="Calibri" w:hAnsi="Century Schoolbook" w:cs="Times New Roman"/>
          <w:i/>
          <w:iCs/>
          <w:sz w:val="26"/>
          <w:szCs w:val="26"/>
        </w:rPr>
        <w:fldChar w:fldCharType="end"/>
      </w:r>
      <w:r w:rsidR="00F14BC2" w:rsidRPr="0057700D">
        <w:rPr>
          <w:rFonts w:ascii="Century Schoolbook" w:eastAsia="Calibri" w:hAnsi="Century Schoolbook" w:cs="Times New Roman"/>
          <w:sz w:val="26"/>
          <w:szCs w:val="26"/>
        </w:rPr>
        <w:t>.</w:t>
      </w:r>
    </w:p>
    <w:p w14:paraId="06E2D0B9" w14:textId="564DED5F" w:rsidR="00B05DEE" w:rsidRPr="0057700D" w:rsidRDefault="00B05DEE" w:rsidP="00B05DEE">
      <w:pPr>
        <w:spacing w:after="0" w:line="480" w:lineRule="auto"/>
        <w:ind w:firstLine="720"/>
        <w:rPr>
          <w:rFonts w:ascii="Century Schoolbook" w:eastAsia="Calibri" w:hAnsi="Century Schoolbook" w:cs="Times New Roman"/>
          <w:b/>
          <w:bCs/>
          <w:sz w:val="26"/>
          <w:szCs w:val="26"/>
        </w:rPr>
      </w:pPr>
      <w:r w:rsidRPr="0057700D">
        <w:rPr>
          <w:rFonts w:ascii="Century Schoolbook" w:eastAsia="Calibri" w:hAnsi="Century Schoolbook" w:cs="Times New Roman"/>
          <w:b/>
          <w:bCs/>
          <w:sz w:val="26"/>
          <w:szCs w:val="26"/>
        </w:rPr>
        <w:t xml:space="preserve">C.  The State failed to rebut the presumption of discrimination.  </w:t>
      </w:r>
    </w:p>
    <w:p w14:paraId="581C5D44" w14:textId="78892B72" w:rsidR="00365B67" w:rsidRPr="0057700D" w:rsidRDefault="00365B67" w:rsidP="00365B67">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Once a prima facie case is made, the State must rebut the presumption of discrimination, and if it does not, the equal protection violation is established.  </w:t>
      </w:r>
      <w:r w:rsidRPr="0057700D">
        <w:rPr>
          <w:rFonts w:ascii="Century Schoolbook" w:eastAsia="Calibri" w:hAnsi="Century Schoolbook" w:cs="Times New Roman"/>
          <w:i/>
          <w:iCs/>
          <w:sz w:val="26"/>
          <w:szCs w:val="26"/>
        </w:rPr>
        <w:t>Batson</w:t>
      </w:r>
      <w:r w:rsidRPr="0057700D">
        <w:rPr>
          <w:rFonts w:ascii="Century Schoolbook" w:eastAsia="Calibri" w:hAnsi="Century Schoolbook" w:cs="Times New Roman"/>
          <w:sz w:val="26"/>
          <w:szCs w:val="26"/>
        </w:rPr>
        <w:t xml:space="preserve">, </w:t>
      </w:r>
      <w:r w:rsidR="00D128B1" w:rsidRPr="0057700D">
        <w:rPr>
          <w:rFonts w:ascii="Century Schoolbook" w:eastAsia="Calibri" w:hAnsi="Century Schoolbook" w:cs="Times New Roman"/>
          <w:sz w:val="26"/>
          <w:szCs w:val="26"/>
        </w:rPr>
        <w:t>476 U.S.</w:t>
      </w:r>
      <w:r w:rsidRPr="0057700D">
        <w:rPr>
          <w:rFonts w:ascii="Century Schoolbook" w:eastAsia="Calibri" w:hAnsi="Century Schoolbook" w:cs="Times New Roman"/>
          <w:sz w:val="26"/>
          <w:szCs w:val="26"/>
        </w:rPr>
        <w:t xml:space="preserve"> at 94</w:t>
      </w:r>
      <w:r w:rsidR="00825D98" w:rsidRPr="0057700D">
        <w:rPr>
          <w:rFonts w:ascii="Century Schoolbook" w:eastAsia="Calibri" w:hAnsi="Century Schoolbook" w:cs="Times New Roman"/>
          <w:sz w:val="26"/>
          <w:szCs w:val="26"/>
        </w:rPr>
        <w:fldChar w:fldCharType="begin"/>
      </w:r>
      <w:r w:rsidR="00825D98" w:rsidRPr="0057700D">
        <w:instrText xml:space="preserve"> TA \s "Batson v. Kentucky, 476 U.S. 79 (1986)" </w:instrText>
      </w:r>
      <w:r w:rsidR="00825D98" w:rsidRPr="0057700D">
        <w:rPr>
          <w:rFonts w:ascii="Century Schoolbook" w:eastAsia="Calibri" w:hAnsi="Century Schoolbook" w:cs="Times New Roman"/>
          <w:sz w:val="26"/>
          <w:szCs w:val="26"/>
        </w:rPr>
        <w:fldChar w:fldCharType="end"/>
      </w:r>
      <w:r w:rsidRPr="0057700D">
        <w:rPr>
          <w:rFonts w:ascii="Century Schoolbook" w:eastAsia="Calibri" w:hAnsi="Century Schoolbook" w:cs="Times New Roman"/>
          <w:sz w:val="26"/>
          <w:szCs w:val="26"/>
        </w:rPr>
        <w:t xml:space="preserve">. </w:t>
      </w:r>
      <w:r w:rsidRPr="0057700D">
        <w:rPr>
          <w:rFonts w:ascii="Century Schoolbook" w:eastAsia="Calibri" w:hAnsi="Century Schoolbook" w:cs="Times New Roman"/>
          <w:i/>
          <w:iCs/>
          <w:sz w:val="26"/>
          <w:szCs w:val="26"/>
        </w:rPr>
        <w:t xml:space="preserve"> </w:t>
      </w:r>
      <w:r w:rsidR="00D128B1" w:rsidRPr="0057700D">
        <w:rPr>
          <w:rFonts w:ascii="Century Schoolbook" w:eastAsia="Calibri" w:hAnsi="Century Schoolbook" w:cs="Times New Roman"/>
          <w:sz w:val="26"/>
          <w:szCs w:val="26"/>
        </w:rPr>
        <w:t xml:space="preserve">Further, </w:t>
      </w:r>
    </w:p>
    <w:p w14:paraId="5332D8C9" w14:textId="1D4A7425" w:rsidR="00365B67" w:rsidRPr="0057700D" w:rsidRDefault="00365B67" w:rsidP="00365B67">
      <w:pPr>
        <w:spacing w:after="0" w:line="240" w:lineRule="auto"/>
        <w:ind w:left="1008" w:right="1008"/>
        <w:rPr>
          <w:rFonts w:ascii="Century Schoolbook" w:eastAsia="Calibri" w:hAnsi="Century Schoolbook" w:cs="Times New Roman"/>
          <w:strike/>
          <w:sz w:val="26"/>
          <w:szCs w:val="26"/>
        </w:rPr>
      </w:pPr>
      <w:r w:rsidRPr="0057700D">
        <w:rPr>
          <w:rFonts w:ascii="Century Schoolbook" w:eastAsia="Calibri" w:hAnsi="Century Schoolbook" w:cs="Times New Roman"/>
          <w:sz w:val="26"/>
          <w:szCs w:val="26"/>
        </w:rPr>
        <w:t xml:space="preserve">The State cannot meet this burden on mere general assertions that its officials did not discriminate or that they properly performed their official duties.  Rather, the State must demonstrate that ‘permissible racially neutral selection criteria and procedures have produced the monochromatic result.’ </w:t>
      </w:r>
    </w:p>
    <w:p w14:paraId="60B3841D" w14:textId="77777777" w:rsidR="00365B67" w:rsidRPr="0057700D" w:rsidRDefault="00365B67" w:rsidP="00365B67">
      <w:pPr>
        <w:spacing w:after="0" w:line="240" w:lineRule="auto"/>
        <w:ind w:left="1008" w:right="1008"/>
        <w:rPr>
          <w:rFonts w:ascii="Century Schoolbook" w:eastAsia="Calibri" w:hAnsi="Century Schoolbook" w:cs="Times New Roman"/>
          <w:sz w:val="26"/>
          <w:szCs w:val="26"/>
        </w:rPr>
      </w:pPr>
    </w:p>
    <w:p w14:paraId="61E0385B" w14:textId="7D98D9FE" w:rsidR="00365B67" w:rsidRPr="0057700D" w:rsidRDefault="00365B67" w:rsidP="00365B67">
      <w:pPr>
        <w:spacing w:after="0" w:line="480" w:lineRule="auto"/>
        <w:rPr>
          <w:rFonts w:ascii="Century Schoolbook" w:eastAsia="Calibri" w:hAnsi="Century Schoolbook" w:cs="Times New Roman"/>
          <w:sz w:val="26"/>
          <w:szCs w:val="26"/>
        </w:rPr>
      </w:pPr>
      <w:r w:rsidRPr="0057700D">
        <w:rPr>
          <w:rFonts w:ascii="Century Schoolbook" w:eastAsia="Calibri" w:hAnsi="Century Schoolbook" w:cs="Times New Roman"/>
          <w:i/>
          <w:iCs/>
          <w:sz w:val="26"/>
          <w:szCs w:val="26"/>
        </w:rPr>
        <w:t>Id.</w:t>
      </w:r>
      <w:r w:rsidR="00825D98" w:rsidRPr="0057700D">
        <w:rPr>
          <w:rFonts w:ascii="Century Schoolbook" w:eastAsia="Calibri" w:hAnsi="Century Schoolbook" w:cs="Times New Roman"/>
          <w:i/>
          <w:iCs/>
          <w:sz w:val="26"/>
          <w:szCs w:val="26"/>
        </w:rPr>
        <w:fldChar w:fldCharType="begin"/>
      </w:r>
      <w:r w:rsidR="00825D98" w:rsidRPr="0057700D">
        <w:instrText xml:space="preserve"> TA \s "Batson v. Kentucky, 476 U.S. 79 (1986)" </w:instrText>
      </w:r>
      <w:r w:rsidR="00825D98" w:rsidRPr="0057700D">
        <w:rPr>
          <w:rFonts w:ascii="Century Schoolbook" w:eastAsia="Calibri" w:hAnsi="Century Schoolbook" w:cs="Times New Roman"/>
          <w:i/>
          <w:iCs/>
          <w:sz w:val="26"/>
          <w:szCs w:val="26"/>
        </w:rPr>
        <w:fldChar w:fldCharType="end"/>
      </w:r>
      <w:r w:rsidRPr="0057700D">
        <w:rPr>
          <w:rFonts w:ascii="Century Schoolbook" w:eastAsia="Calibri" w:hAnsi="Century Schoolbook" w:cs="Times New Roman"/>
          <w:i/>
          <w:iCs/>
          <w:sz w:val="26"/>
          <w:szCs w:val="26"/>
        </w:rPr>
        <w:t xml:space="preserve"> </w:t>
      </w:r>
      <w:r w:rsidRPr="0057700D">
        <w:rPr>
          <w:rFonts w:ascii="Century Schoolbook" w:eastAsia="Calibri" w:hAnsi="Century Schoolbook" w:cs="Times New Roman"/>
          <w:sz w:val="26"/>
          <w:szCs w:val="26"/>
        </w:rPr>
        <w:t>(internal citations omitted).</w:t>
      </w:r>
    </w:p>
    <w:p w14:paraId="643E8B0F" w14:textId="06BB9248" w:rsidR="000A0A6A" w:rsidRPr="0057700D" w:rsidRDefault="00C0670A" w:rsidP="000A0A6A">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Given </w:t>
      </w:r>
      <w:r w:rsidR="00365B67" w:rsidRPr="0057700D">
        <w:rPr>
          <w:rFonts w:ascii="Century Schoolbook" w:eastAsia="Calibri" w:hAnsi="Century Schoolbook" w:cs="Times New Roman"/>
          <w:sz w:val="26"/>
          <w:szCs w:val="26"/>
        </w:rPr>
        <w:t xml:space="preserve">the opportunity, </w:t>
      </w:r>
      <w:r w:rsidRPr="0057700D">
        <w:rPr>
          <w:rFonts w:ascii="Century Schoolbook" w:eastAsia="Calibri" w:hAnsi="Century Schoolbook" w:cs="Times New Roman"/>
          <w:sz w:val="26"/>
          <w:szCs w:val="26"/>
        </w:rPr>
        <w:t xml:space="preserve">the State </w:t>
      </w:r>
      <w:r w:rsidR="00365B67" w:rsidRPr="0057700D">
        <w:rPr>
          <w:rFonts w:ascii="Century Schoolbook" w:eastAsia="Calibri" w:hAnsi="Century Schoolbook" w:cs="Times New Roman"/>
          <w:sz w:val="26"/>
          <w:szCs w:val="26"/>
        </w:rPr>
        <w:t xml:space="preserve">did not present its own evidence </w:t>
      </w:r>
      <w:r w:rsidR="001062FE" w:rsidRPr="0057700D">
        <w:rPr>
          <w:rFonts w:ascii="Century Schoolbook" w:eastAsia="Calibri" w:hAnsi="Century Schoolbook" w:cs="Times New Roman"/>
          <w:sz w:val="26"/>
          <w:szCs w:val="26"/>
        </w:rPr>
        <w:t xml:space="preserve">or </w:t>
      </w:r>
      <w:r w:rsidR="00365B67" w:rsidRPr="0057700D">
        <w:rPr>
          <w:rFonts w:ascii="Century Schoolbook" w:eastAsia="Calibri" w:hAnsi="Century Schoolbook" w:cs="Times New Roman"/>
          <w:sz w:val="26"/>
          <w:szCs w:val="26"/>
        </w:rPr>
        <w:t>statistics</w:t>
      </w:r>
      <w:r w:rsidR="000A0A6A" w:rsidRPr="0057700D">
        <w:rPr>
          <w:rFonts w:ascii="Century Schoolbook" w:eastAsia="Calibri" w:hAnsi="Century Schoolbook" w:cs="Times New Roman"/>
          <w:sz w:val="26"/>
          <w:szCs w:val="26"/>
        </w:rPr>
        <w:t xml:space="preserve"> in defense of the equal protection claim</w:t>
      </w:r>
      <w:r w:rsidR="00365B67" w:rsidRPr="0057700D">
        <w:rPr>
          <w:rFonts w:ascii="Century Schoolbook" w:eastAsia="Calibri" w:hAnsi="Century Schoolbook" w:cs="Times New Roman"/>
          <w:sz w:val="26"/>
          <w:szCs w:val="26"/>
        </w:rPr>
        <w:t>.</w:t>
      </w:r>
      <w:r w:rsidR="000A0A6A" w:rsidRPr="0057700D">
        <w:rPr>
          <w:rFonts w:ascii="Century Schoolbook" w:eastAsia="Calibri" w:hAnsi="Century Schoolbook" w:cs="Times New Roman"/>
          <w:sz w:val="26"/>
          <w:szCs w:val="26"/>
        </w:rPr>
        <w:t xml:space="preserve">  </w:t>
      </w:r>
      <w:r w:rsidR="00DF4DF1" w:rsidRPr="0057700D">
        <w:rPr>
          <w:rFonts w:ascii="Century Schoolbook" w:eastAsia="Calibri" w:hAnsi="Century Schoolbook" w:cs="Times New Roman"/>
          <w:sz w:val="26"/>
          <w:szCs w:val="26"/>
        </w:rPr>
        <w:t xml:space="preserve">Mr. </w:t>
      </w:r>
      <w:r w:rsidR="002D0B93" w:rsidRPr="0057700D">
        <w:rPr>
          <w:rFonts w:ascii="Century Schoolbook" w:eastAsia="Calibri" w:hAnsi="Century Schoolbook" w:cs="Times New Roman"/>
          <w:sz w:val="26"/>
          <w:szCs w:val="26"/>
        </w:rPr>
        <w:t>J</w:t>
      </w:r>
      <w:r w:rsidR="00DF4DF1" w:rsidRPr="0057700D">
        <w:rPr>
          <w:rFonts w:ascii="Century Schoolbook" w:eastAsia="Calibri" w:hAnsi="Century Schoolbook" w:cs="Times New Roman"/>
          <w:sz w:val="26"/>
          <w:szCs w:val="26"/>
        </w:rPr>
        <w:t xml:space="preserve">ohnson filed his initial equal protection motion on May </w:t>
      </w:r>
      <w:r w:rsidR="004D579E" w:rsidRPr="0057700D">
        <w:rPr>
          <w:rFonts w:ascii="Century Schoolbook" w:eastAsia="Calibri" w:hAnsi="Century Schoolbook" w:cs="Times New Roman"/>
          <w:sz w:val="26"/>
          <w:szCs w:val="26"/>
        </w:rPr>
        <w:t>21, 2018.  (</w:t>
      </w:r>
      <w:proofErr w:type="spellStart"/>
      <w:r w:rsidR="004D579E" w:rsidRPr="0057700D">
        <w:rPr>
          <w:rFonts w:ascii="Century Schoolbook" w:eastAsia="Calibri" w:hAnsi="Century Schoolbook" w:cs="Times New Roman"/>
          <w:sz w:val="26"/>
          <w:szCs w:val="26"/>
        </w:rPr>
        <w:t>Rpp</w:t>
      </w:r>
      <w:proofErr w:type="spellEnd"/>
      <w:r w:rsidR="004D579E" w:rsidRPr="0057700D">
        <w:rPr>
          <w:rFonts w:ascii="Century Schoolbook" w:eastAsia="Calibri" w:hAnsi="Century Schoolbook" w:cs="Times New Roman"/>
          <w:sz w:val="26"/>
          <w:szCs w:val="26"/>
        </w:rPr>
        <w:t xml:space="preserve"> 6-</w:t>
      </w:r>
      <w:r w:rsidR="00530110" w:rsidRPr="0057700D">
        <w:rPr>
          <w:rFonts w:ascii="Century Schoolbook" w:eastAsia="Calibri" w:hAnsi="Century Schoolbook" w:cs="Times New Roman"/>
          <w:sz w:val="26"/>
          <w:szCs w:val="26"/>
        </w:rPr>
        <w:t>15</w:t>
      </w:r>
      <w:r w:rsidR="004D579E" w:rsidRPr="0057700D">
        <w:rPr>
          <w:rFonts w:ascii="Century Schoolbook" w:eastAsia="Calibri" w:hAnsi="Century Schoolbook" w:cs="Times New Roman"/>
          <w:sz w:val="26"/>
          <w:szCs w:val="26"/>
        </w:rPr>
        <w:t xml:space="preserve">)  He </w:t>
      </w:r>
      <w:r w:rsidR="00673A04" w:rsidRPr="0057700D">
        <w:rPr>
          <w:rFonts w:ascii="Century Schoolbook" w:eastAsia="Calibri" w:hAnsi="Century Schoolbook" w:cs="Times New Roman"/>
          <w:sz w:val="26"/>
          <w:szCs w:val="26"/>
        </w:rPr>
        <w:t xml:space="preserve">filed </w:t>
      </w:r>
      <w:r w:rsidR="002D0B93" w:rsidRPr="0057700D">
        <w:rPr>
          <w:rFonts w:ascii="Century Schoolbook" w:eastAsia="Calibri" w:hAnsi="Century Schoolbook" w:cs="Times New Roman"/>
          <w:sz w:val="26"/>
          <w:szCs w:val="26"/>
        </w:rPr>
        <w:t xml:space="preserve">an </w:t>
      </w:r>
      <w:r w:rsidR="00673A04" w:rsidRPr="0057700D">
        <w:rPr>
          <w:rFonts w:ascii="Century Schoolbook" w:eastAsia="Calibri" w:hAnsi="Century Schoolbook" w:cs="Times New Roman"/>
          <w:sz w:val="26"/>
          <w:szCs w:val="26"/>
        </w:rPr>
        <w:t xml:space="preserve">amended motion </w:t>
      </w:r>
      <w:r w:rsidR="000C52AB" w:rsidRPr="0057700D">
        <w:rPr>
          <w:rFonts w:ascii="Century Schoolbook" w:eastAsia="Calibri" w:hAnsi="Century Schoolbook" w:cs="Times New Roman"/>
          <w:sz w:val="26"/>
          <w:szCs w:val="26"/>
        </w:rPr>
        <w:t xml:space="preserve">on August 24, 2018.  </w:t>
      </w:r>
      <w:r w:rsidR="00126173" w:rsidRPr="0057700D">
        <w:rPr>
          <w:rFonts w:ascii="Century Schoolbook" w:eastAsia="Calibri" w:hAnsi="Century Schoolbook" w:cs="Times New Roman"/>
          <w:sz w:val="26"/>
          <w:szCs w:val="26"/>
        </w:rPr>
        <w:t>(</w:t>
      </w:r>
      <w:proofErr w:type="spellStart"/>
      <w:r w:rsidR="00126173" w:rsidRPr="0057700D">
        <w:rPr>
          <w:rFonts w:ascii="Century Schoolbook" w:eastAsia="Calibri" w:hAnsi="Century Schoolbook" w:cs="Times New Roman"/>
          <w:sz w:val="26"/>
          <w:szCs w:val="26"/>
        </w:rPr>
        <w:t>R</w:t>
      </w:r>
      <w:r w:rsidR="00673A04" w:rsidRPr="0057700D">
        <w:rPr>
          <w:rFonts w:ascii="Century Schoolbook" w:eastAsia="Calibri" w:hAnsi="Century Schoolbook" w:cs="Times New Roman"/>
          <w:sz w:val="26"/>
          <w:szCs w:val="26"/>
        </w:rPr>
        <w:t>pp</w:t>
      </w:r>
      <w:proofErr w:type="spellEnd"/>
      <w:r w:rsidR="00673A04" w:rsidRPr="0057700D">
        <w:rPr>
          <w:rFonts w:ascii="Century Schoolbook" w:eastAsia="Calibri" w:hAnsi="Century Schoolbook" w:cs="Times New Roman"/>
          <w:sz w:val="26"/>
          <w:szCs w:val="26"/>
        </w:rPr>
        <w:t xml:space="preserve"> 16-</w:t>
      </w:r>
      <w:r w:rsidR="00404226" w:rsidRPr="0057700D">
        <w:rPr>
          <w:rFonts w:ascii="Century Schoolbook" w:eastAsia="Calibri" w:hAnsi="Century Schoolbook" w:cs="Times New Roman"/>
          <w:sz w:val="26"/>
          <w:szCs w:val="26"/>
        </w:rPr>
        <w:t>30</w:t>
      </w:r>
      <w:r w:rsidR="00673A04" w:rsidRPr="0057700D">
        <w:rPr>
          <w:rFonts w:ascii="Century Schoolbook" w:eastAsia="Calibri" w:hAnsi="Century Schoolbook" w:cs="Times New Roman"/>
          <w:sz w:val="26"/>
          <w:szCs w:val="26"/>
        </w:rPr>
        <w:t xml:space="preserve">)  </w:t>
      </w:r>
      <w:r w:rsidR="00365B67" w:rsidRPr="0057700D">
        <w:rPr>
          <w:rFonts w:ascii="Century Schoolbook" w:eastAsia="Calibri" w:hAnsi="Century Schoolbook" w:cs="Times New Roman"/>
          <w:sz w:val="26"/>
          <w:szCs w:val="26"/>
        </w:rPr>
        <w:t xml:space="preserve">The State made no </w:t>
      </w:r>
      <w:r w:rsidR="002D0B93" w:rsidRPr="0057700D">
        <w:rPr>
          <w:rFonts w:ascii="Century Schoolbook" w:eastAsia="Calibri" w:hAnsi="Century Schoolbook" w:cs="Times New Roman"/>
          <w:sz w:val="26"/>
          <w:szCs w:val="26"/>
        </w:rPr>
        <w:lastRenderedPageBreak/>
        <w:t xml:space="preserve">apparent </w:t>
      </w:r>
      <w:r w:rsidR="00365B67" w:rsidRPr="0057700D">
        <w:rPr>
          <w:rFonts w:ascii="Century Schoolbook" w:eastAsia="Calibri" w:hAnsi="Century Schoolbook" w:cs="Times New Roman"/>
          <w:sz w:val="26"/>
          <w:szCs w:val="26"/>
        </w:rPr>
        <w:t>request for additional time.</w:t>
      </w:r>
      <w:r w:rsidR="00A806EC" w:rsidRPr="0057700D">
        <w:rPr>
          <w:rFonts w:ascii="Century Schoolbook" w:eastAsia="Calibri" w:hAnsi="Century Schoolbook" w:cs="Times New Roman"/>
          <w:sz w:val="26"/>
          <w:szCs w:val="26"/>
        </w:rPr>
        <w:t xml:space="preserve"> </w:t>
      </w:r>
      <w:r w:rsidR="006E63EF" w:rsidRPr="0057700D">
        <w:rPr>
          <w:rFonts w:ascii="Century Schoolbook" w:eastAsia="Calibri" w:hAnsi="Century Schoolbook" w:cs="Times New Roman"/>
          <w:sz w:val="26"/>
          <w:szCs w:val="26"/>
        </w:rPr>
        <w:t xml:space="preserve"> </w:t>
      </w:r>
      <w:r w:rsidR="00F739E6" w:rsidRPr="0057700D">
        <w:rPr>
          <w:rFonts w:ascii="Century Schoolbook" w:eastAsia="Calibri" w:hAnsi="Century Schoolbook" w:cs="Times New Roman"/>
          <w:sz w:val="26"/>
          <w:szCs w:val="26"/>
        </w:rPr>
        <w:t xml:space="preserve">The hearing </w:t>
      </w:r>
      <w:r w:rsidR="002D0B93" w:rsidRPr="0057700D">
        <w:rPr>
          <w:rFonts w:ascii="Century Schoolbook" w:eastAsia="Calibri" w:hAnsi="Century Schoolbook" w:cs="Times New Roman"/>
          <w:sz w:val="26"/>
          <w:szCs w:val="26"/>
        </w:rPr>
        <w:t>occurred on September 5, 2018.  (</w:t>
      </w:r>
      <w:proofErr w:type="spellStart"/>
      <w:r w:rsidR="002D0B93" w:rsidRPr="0057700D">
        <w:rPr>
          <w:rFonts w:ascii="Century Schoolbook" w:eastAsia="Calibri" w:hAnsi="Century Schoolbook" w:cs="Times New Roman"/>
          <w:sz w:val="26"/>
          <w:szCs w:val="26"/>
        </w:rPr>
        <w:t>Rpp</w:t>
      </w:r>
      <w:proofErr w:type="spellEnd"/>
      <w:r w:rsidR="002D0B93" w:rsidRPr="0057700D">
        <w:rPr>
          <w:rFonts w:ascii="Century Schoolbook" w:eastAsia="Calibri" w:hAnsi="Century Schoolbook" w:cs="Times New Roman"/>
          <w:sz w:val="26"/>
          <w:szCs w:val="26"/>
        </w:rPr>
        <w:t xml:space="preserve"> 31</w:t>
      </w:r>
      <w:r w:rsidR="00846DDF" w:rsidRPr="0057700D">
        <w:rPr>
          <w:rFonts w:ascii="Century Schoolbook" w:eastAsia="Calibri" w:hAnsi="Century Schoolbook" w:cs="Times New Roman"/>
          <w:sz w:val="26"/>
          <w:szCs w:val="26"/>
        </w:rPr>
        <w:t>, 38</w:t>
      </w:r>
      <w:r w:rsidR="002D0B93" w:rsidRPr="0057700D">
        <w:rPr>
          <w:rFonts w:ascii="Century Schoolbook" w:eastAsia="Calibri" w:hAnsi="Century Schoolbook" w:cs="Times New Roman"/>
          <w:sz w:val="26"/>
          <w:szCs w:val="26"/>
        </w:rPr>
        <w:t>)</w:t>
      </w:r>
      <w:r w:rsidR="000A0A6A" w:rsidRPr="0057700D">
        <w:rPr>
          <w:rFonts w:ascii="Century Schoolbook" w:eastAsia="Calibri" w:hAnsi="Century Schoolbook" w:cs="Times New Roman"/>
          <w:sz w:val="26"/>
          <w:szCs w:val="26"/>
        </w:rPr>
        <w:t xml:space="preserve">  At the hearing, </w:t>
      </w:r>
      <w:r w:rsidR="0036311D" w:rsidRPr="0057700D">
        <w:rPr>
          <w:rFonts w:ascii="Century Schoolbook" w:eastAsia="Calibri" w:hAnsi="Century Schoolbook" w:cs="Times New Roman"/>
          <w:sz w:val="26"/>
          <w:szCs w:val="26"/>
        </w:rPr>
        <w:t xml:space="preserve">Officer Kuchen did not deny he participated in the traffic stops.  He did not contend they were initiated by a partner or his supervisor.  He offered no explanation for the </w:t>
      </w:r>
      <w:proofErr w:type="gramStart"/>
      <w:r w:rsidR="0036311D" w:rsidRPr="0057700D">
        <w:rPr>
          <w:rFonts w:ascii="Century Schoolbook" w:eastAsia="Calibri" w:hAnsi="Century Schoolbook" w:cs="Times New Roman"/>
          <w:sz w:val="26"/>
          <w:szCs w:val="26"/>
        </w:rPr>
        <w:t>racially-disparate</w:t>
      </w:r>
      <w:proofErr w:type="gramEnd"/>
      <w:r w:rsidR="0036311D" w:rsidRPr="0057700D">
        <w:rPr>
          <w:rFonts w:ascii="Century Schoolbook" w:eastAsia="Calibri" w:hAnsi="Century Schoolbook" w:cs="Times New Roman"/>
          <w:sz w:val="26"/>
          <w:szCs w:val="26"/>
        </w:rPr>
        <w:t xml:space="preserve"> traffic stops, nor the racially-disparate arrests</w:t>
      </w:r>
      <w:r w:rsidR="00260108" w:rsidRPr="0057700D">
        <w:rPr>
          <w:rFonts w:ascii="Century Schoolbook" w:eastAsia="Calibri" w:hAnsi="Century Schoolbook" w:cs="Times New Roman"/>
          <w:sz w:val="26"/>
          <w:szCs w:val="26"/>
        </w:rPr>
        <w:t xml:space="preserve">.  The State asked no questions of Kuchen in the equal protection </w:t>
      </w:r>
      <w:proofErr w:type="gramStart"/>
      <w:r w:rsidR="00260108" w:rsidRPr="0057700D">
        <w:rPr>
          <w:rFonts w:ascii="Century Schoolbook" w:eastAsia="Calibri" w:hAnsi="Century Schoolbook" w:cs="Times New Roman"/>
          <w:sz w:val="26"/>
          <w:szCs w:val="26"/>
        </w:rPr>
        <w:t>hearing, and</w:t>
      </w:r>
      <w:proofErr w:type="gramEnd"/>
      <w:r w:rsidR="00260108" w:rsidRPr="0057700D">
        <w:rPr>
          <w:rFonts w:ascii="Century Schoolbook" w:eastAsia="Calibri" w:hAnsi="Century Schoolbook" w:cs="Times New Roman"/>
          <w:sz w:val="26"/>
          <w:szCs w:val="26"/>
        </w:rPr>
        <w:t xml:space="preserve"> offered no other evidence in defense of the equal protection allegations.  (</w:t>
      </w:r>
      <w:proofErr w:type="spellStart"/>
      <w:r w:rsidR="00260108" w:rsidRPr="0057700D">
        <w:rPr>
          <w:rFonts w:ascii="Century Schoolbook" w:eastAsia="Calibri" w:hAnsi="Century Schoolbook" w:cs="Times New Roman"/>
          <w:sz w:val="26"/>
          <w:szCs w:val="26"/>
        </w:rPr>
        <w:t>Tp</w:t>
      </w:r>
      <w:proofErr w:type="spellEnd"/>
      <w:r w:rsidR="00260108" w:rsidRPr="0057700D">
        <w:rPr>
          <w:rFonts w:ascii="Century Schoolbook" w:eastAsia="Calibri" w:hAnsi="Century Schoolbook" w:cs="Times New Roman"/>
          <w:sz w:val="26"/>
          <w:szCs w:val="26"/>
        </w:rPr>
        <w:t xml:space="preserve"> 116)  </w:t>
      </w:r>
      <w:r w:rsidR="000A0A6A" w:rsidRPr="0057700D">
        <w:rPr>
          <w:rFonts w:ascii="Century Schoolbook" w:eastAsia="Calibri" w:hAnsi="Century Schoolbook" w:cs="Times New Roman"/>
          <w:sz w:val="26"/>
          <w:szCs w:val="26"/>
        </w:rPr>
        <w:t>In</w:t>
      </w:r>
      <w:r w:rsidR="00993BE6" w:rsidRPr="0057700D">
        <w:rPr>
          <w:rFonts w:ascii="Century Schoolbook" w:eastAsia="Calibri" w:hAnsi="Century Schoolbook" w:cs="Times New Roman"/>
          <w:sz w:val="26"/>
          <w:szCs w:val="26"/>
        </w:rPr>
        <w:t>deed,</w:t>
      </w:r>
      <w:r w:rsidR="000A0A6A" w:rsidRPr="0057700D">
        <w:rPr>
          <w:rFonts w:ascii="Century Schoolbook" w:eastAsia="Calibri" w:hAnsi="Century Schoolbook" w:cs="Times New Roman"/>
          <w:sz w:val="26"/>
          <w:szCs w:val="26"/>
        </w:rPr>
        <w:t xml:space="preserve"> the State said nothing a</w:t>
      </w:r>
      <w:r w:rsidR="00245E73" w:rsidRPr="0057700D">
        <w:rPr>
          <w:rFonts w:ascii="Century Schoolbook" w:eastAsia="Calibri" w:hAnsi="Century Schoolbook" w:cs="Times New Roman"/>
          <w:sz w:val="26"/>
          <w:szCs w:val="26"/>
        </w:rPr>
        <w:t>fter the evidence had been presented</w:t>
      </w:r>
      <w:r w:rsidR="002301A2" w:rsidRPr="0057700D">
        <w:rPr>
          <w:rFonts w:ascii="Century Schoolbook" w:eastAsia="Calibri" w:hAnsi="Century Schoolbook" w:cs="Times New Roman"/>
          <w:sz w:val="26"/>
          <w:szCs w:val="26"/>
        </w:rPr>
        <w:t xml:space="preserve">.  </w:t>
      </w:r>
      <w:r w:rsidR="000A0A6A" w:rsidRPr="0057700D">
        <w:rPr>
          <w:rFonts w:ascii="Century Schoolbook" w:eastAsia="Calibri" w:hAnsi="Century Schoolbook" w:cs="Times New Roman"/>
          <w:sz w:val="26"/>
          <w:szCs w:val="26"/>
        </w:rPr>
        <w:t>(</w:t>
      </w:r>
      <w:proofErr w:type="spellStart"/>
      <w:r w:rsidR="000A0A6A" w:rsidRPr="0057700D">
        <w:rPr>
          <w:rFonts w:ascii="Century Schoolbook" w:eastAsia="Calibri" w:hAnsi="Century Schoolbook" w:cs="Times New Roman"/>
          <w:sz w:val="26"/>
          <w:szCs w:val="26"/>
        </w:rPr>
        <w:t>T</w:t>
      </w:r>
      <w:r w:rsidR="00E70745" w:rsidRPr="0057700D">
        <w:rPr>
          <w:rFonts w:ascii="Century Schoolbook" w:eastAsia="Calibri" w:hAnsi="Century Schoolbook" w:cs="Times New Roman"/>
          <w:sz w:val="26"/>
          <w:szCs w:val="26"/>
        </w:rPr>
        <w:t>p</w:t>
      </w:r>
      <w:r w:rsidR="000A0A6A" w:rsidRPr="0057700D">
        <w:rPr>
          <w:rFonts w:ascii="Century Schoolbook" w:eastAsia="Calibri" w:hAnsi="Century Schoolbook" w:cs="Times New Roman"/>
          <w:sz w:val="26"/>
          <w:szCs w:val="26"/>
        </w:rPr>
        <w:t>p</w:t>
      </w:r>
      <w:proofErr w:type="spellEnd"/>
      <w:r w:rsidR="000A0A6A" w:rsidRPr="0057700D">
        <w:rPr>
          <w:rFonts w:ascii="Century Schoolbook" w:eastAsia="Calibri" w:hAnsi="Century Schoolbook" w:cs="Times New Roman"/>
          <w:sz w:val="26"/>
          <w:szCs w:val="26"/>
        </w:rPr>
        <w:t xml:space="preserve"> 118</w:t>
      </w:r>
      <w:r w:rsidR="00B60CBD" w:rsidRPr="0057700D">
        <w:rPr>
          <w:rFonts w:ascii="Century Schoolbook" w:eastAsia="Calibri" w:hAnsi="Century Schoolbook" w:cs="Times New Roman"/>
          <w:sz w:val="26"/>
          <w:szCs w:val="26"/>
        </w:rPr>
        <w:t>-22</w:t>
      </w:r>
      <w:r w:rsidR="000A0A6A" w:rsidRPr="0057700D">
        <w:rPr>
          <w:rFonts w:ascii="Century Schoolbook" w:eastAsia="Calibri" w:hAnsi="Century Schoolbook" w:cs="Times New Roman"/>
          <w:sz w:val="26"/>
          <w:szCs w:val="26"/>
        </w:rPr>
        <w:t xml:space="preserve">) </w:t>
      </w:r>
    </w:p>
    <w:p w14:paraId="4D77B26A" w14:textId="13EBF76F" w:rsidR="00F67D02" w:rsidRPr="0057700D" w:rsidRDefault="00810800" w:rsidP="00F67D02">
      <w:pPr>
        <w:spacing w:after="0" w:line="480" w:lineRule="auto"/>
        <w:ind w:firstLine="720"/>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 xml:space="preserve">Thus, </w:t>
      </w:r>
      <w:r w:rsidR="008C2D45" w:rsidRPr="0057700D">
        <w:rPr>
          <w:rFonts w:ascii="Century Schoolbook" w:eastAsia="Calibri" w:hAnsi="Century Schoolbook" w:cs="Times New Roman"/>
          <w:sz w:val="26"/>
          <w:szCs w:val="26"/>
        </w:rPr>
        <w:t xml:space="preserve">Mr. Johnson’s </w:t>
      </w:r>
      <w:r w:rsidRPr="0057700D">
        <w:rPr>
          <w:rFonts w:ascii="Century Schoolbook" w:eastAsia="Calibri" w:hAnsi="Century Schoolbook" w:cs="Times New Roman"/>
          <w:sz w:val="26"/>
          <w:szCs w:val="26"/>
        </w:rPr>
        <w:t xml:space="preserve">is a </w:t>
      </w:r>
      <w:r w:rsidR="00044123" w:rsidRPr="0057700D">
        <w:rPr>
          <w:rFonts w:ascii="Century Schoolbook" w:eastAsia="Calibri" w:hAnsi="Century Schoolbook" w:cs="Times New Roman"/>
          <w:sz w:val="26"/>
          <w:szCs w:val="26"/>
        </w:rPr>
        <w:t>rare</w:t>
      </w:r>
      <w:r w:rsidRPr="0057700D">
        <w:rPr>
          <w:rFonts w:ascii="Century Schoolbook" w:eastAsia="Calibri" w:hAnsi="Century Schoolbook" w:cs="Times New Roman"/>
          <w:sz w:val="26"/>
          <w:szCs w:val="26"/>
        </w:rPr>
        <w:t xml:space="preserve"> case where </w:t>
      </w:r>
      <w:proofErr w:type="gramStart"/>
      <w:r w:rsidRPr="0057700D">
        <w:rPr>
          <w:rFonts w:ascii="Century Schoolbook" w:eastAsia="Calibri" w:hAnsi="Century Schoolbook" w:cs="Times New Roman"/>
          <w:sz w:val="26"/>
          <w:szCs w:val="26"/>
        </w:rPr>
        <w:t>a prima facie</w:t>
      </w:r>
      <w:proofErr w:type="gramEnd"/>
      <w:r w:rsidRPr="0057700D">
        <w:rPr>
          <w:rFonts w:ascii="Century Schoolbook" w:eastAsia="Calibri" w:hAnsi="Century Schoolbook" w:cs="Times New Roman"/>
          <w:sz w:val="26"/>
          <w:szCs w:val="26"/>
        </w:rPr>
        <w:t xml:space="preserve"> </w:t>
      </w:r>
      <w:r w:rsidR="008C2D45" w:rsidRPr="0057700D">
        <w:rPr>
          <w:rFonts w:ascii="Century Schoolbook" w:eastAsia="Calibri" w:hAnsi="Century Schoolbook" w:cs="Times New Roman"/>
          <w:sz w:val="26"/>
          <w:szCs w:val="26"/>
        </w:rPr>
        <w:t xml:space="preserve">showing was </w:t>
      </w:r>
      <w:r w:rsidR="00044123" w:rsidRPr="0057700D">
        <w:rPr>
          <w:rFonts w:ascii="Century Schoolbook" w:eastAsia="Calibri" w:hAnsi="Century Schoolbook" w:cs="Times New Roman"/>
          <w:sz w:val="26"/>
          <w:szCs w:val="26"/>
        </w:rPr>
        <w:t>made</w:t>
      </w:r>
      <w:r w:rsidR="008C2D45" w:rsidRPr="0057700D">
        <w:rPr>
          <w:rFonts w:ascii="Century Schoolbook" w:eastAsia="Calibri" w:hAnsi="Century Schoolbook" w:cs="Times New Roman"/>
          <w:sz w:val="26"/>
          <w:szCs w:val="26"/>
        </w:rPr>
        <w:t xml:space="preserve"> and </w:t>
      </w:r>
      <w:r w:rsidRPr="0057700D">
        <w:rPr>
          <w:rFonts w:ascii="Century Schoolbook" w:eastAsia="Calibri" w:hAnsi="Century Schoolbook" w:cs="Times New Roman"/>
          <w:sz w:val="26"/>
          <w:szCs w:val="26"/>
        </w:rPr>
        <w:t xml:space="preserve">the State failed to offer </w:t>
      </w:r>
      <w:r w:rsidRPr="0057700D">
        <w:rPr>
          <w:rFonts w:ascii="Century Schoolbook" w:eastAsia="Calibri" w:hAnsi="Century Schoolbook" w:cs="Times New Roman"/>
          <w:i/>
          <w:iCs/>
          <w:sz w:val="26"/>
          <w:szCs w:val="26"/>
        </w:rPr>
        <w:t xml:space="preserve">any </w:t>
      </w:r>
      <w:r w:rsidRPr="0057700D">
        <w:rPr>
          <w:rFonts w:ascii="Century Schoolbook" w:eastAsia="Calibri" w:hAnsi="Century Schoolbook" w:cs="Times New Roman"/>
          <w:sz w:val="26"/>
          <w:szCs w:val="26"/>
        </w:rPr>
        <w:t>r</w:t>
      </w:r>
      <w:r w:rsidR="008C2D45" w:rsidRPr="0057700D">
        <w:rPr>
          <w:rFonts w:ascii="Century Schoolbook" w:eastAsia="Calibri" w:hAnsi="Century Schoolbook" w:cs="Times New Roman"/>
          <w:sz w:val="26"/>
          <w:szCs w:val="26"/>
        </w:rPr>
        <w:t>ace-neutral reason</w:t>
      </w:r>
      <w:r w:rsidR="00853F3A" w:rsidRPr="0057700D">
        <w:rPr>
          <w:rFonts w:ascii="Century Schoolbook" w:eastAsia="Calibri" w:hAnsi="Century Schoolbook" w:cs="Times New Roman"/>
          <w:sz w:val="26"/>
          <w:szCs w:val="26"/>
        </w:rPr>
        <w:t xml:space="preserve"> in response.  </w:t>
      </w:r>
      <w:r w:rsidR="00F67D02" w:rsidRPr="0057700D">
        <w:rPr>
          <w:rFonts w:ascii="Century Schoolbook" w:eastAsia="Calibri" w:hAnsi="Century Schoolbook" w:cs="Times New Roman"/>
          <w:sz w:val="26"/>
          <w:szCs w:val="26"/>
        </w:rPr>
        <w:t>In such a case, discrimination is established</w:t>
      </w:r>
      <w:r w:rsidR="00467AB7" w:rsidRPr="0057700D">
        <w:rPr>
          <w:rFonts w:ascii="Century Schoolbook" w:eastAsia="Calibri" w:hAnsi="Century Schoolbook" w:cs="Times New Roman"/>
          <w:sz w:val="26"/>
          <w:szCs w:val="26"/>
        </w:rPr>
        <w:t xml:space="preserve"> because the </w:t>
      </w:r>
      <w:r w:rsidR="00044123" w:rsidRPr="0057700D">
        <w:rPr>
          <w:rFonts w:ascii="Century Schoolbook" w:eastAsia="Calibri" w:hAnsi="Century Schoolbook" w:cs="Times New Roman"/>
          <w:sz w:val="26"/>
          <w:szCs w:val="26"/>
        </w:rPr>
        <w:t>S</w:t>
      </w:r>
      <w:r w:rsidR="00467AB7" w:rsidRPr="0057700D">
        <w:rPr>
          <w:rFonts w:ascii="Century Schoolbook" w:eastAsia="Calibri" w:hAnsi="Century Schoolbook" w:cs="Times New Roman"/>
          <w:sz w:val="26"/>
          <w:szCs w:val="26"/>
        </w:rPr>
        <w:t>tate failed to meet its burden</w:t>
      </w:r>
      <w:r w:rsidR="00F67D02" w:rsidRPr="0057700D">
        <w:rPr>
          <w:rFonts w:ascii="Century Schoolbook" w:eastAsia="Calibri" w:hAnsi="Century Schoolbook" w:cs="Times New Roman"/>
          <w:sz w:val="26"/>
          <w:szCs w:val="26"/>
        </w:rPr>
        <w:t xml:space="preserve">.  </w:t>
      </w:r>
      <w:r w:rsidR="008D6B67" w:rsidRPr="0057700D">
        <w:rPr>
          <w:rFonts w:ascii="Century Schoolbook" w:eastAsia="Calibri" w:hAnsi="Century Schoolbook" w:cs="Times New Roman"/>
          <w:i/>
          <w:iCs/>
          <w:sz w:val="26"/>
          <w:szCs w:val="26"/>
        </w:rPr>
        <w:t>See State v. Wright</w:t>
      </w:r>
      <w:r w:rsidR="008D6B67" w:rsidRPr="0057700D">
        <w:rPr>
          <w:rFonts w:ascii="Century Schoolbook" w:eastAsia="Calibri" w:hAnsi="Century Schoolbook" w:cs="Times New Roman"/>
          <w:sz w:val="26"/>
          <w:szCs w:val="26"/>
        </w:rPr>
        <w:t>, 189 N.C. App. 346</w:t>
      </w:r>
      <w:r w:rsidR="00C6452D" w:rsidRPr="0057700D">
        <w:rPr>
          <w:rFonts w:ascii="Century Schoolbook" w:eastAsia="Calibri" w:hAnsi="Century Schoolbook" w:cs="Times New Roman"/>
          <w:sz w:val="26"/>
          <w:szCs w:val="26"/>
        </w:rPr>
        <w:t>, 354</w:t>
      </w:r>
      <w:r w:rsidR="008D6B67" w:rsidRPr="0057700D">
        <w:rPr>
          <w:rFonts w:ascii="Century Schoolbook" w:eastAsia="Calibri" w:hAnsi="Century Schoolbook" w:cs="Times New Roman"/>
          <w:sz w:val="26"/>
          <w:szCs w:val="26"/>
        </w:rPr>
        <w:t xml:space="preserve"> (2008)</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State v. Wright</w:instrText>
      </w:r>
      <w:r w:rsidR="00825D98" w:rsidRPr="0057700D">
        <w:rPr>
          <w:rFonts w:ascii="Century Schoolbook" w:eastAsia="Calibri" w:hAnsi="Century Schoolbook" w:cs="Times New Roman"/>
          <w:sz w:val="26"/>
          <w:szCs w:val="26"/>
        </w:rPr>
        <w:instrText>, 189 N.C. App. 346, 354 (2008)</w:instrText>
      </w:r>
      <w:r w:rsidR="00825D98" w:rsidRPr="0057700D">
        <w:instrText xml:space="preserve">" \s "State v. Wright, 189 N.C. App. 346, 354 (2008)" \c 1 </w:instrText>
      </w:r>
      <w:r w:rsidR="00825D98" w:rsidRPr="0057700D">
        <w:rPr>
          <w:rFonts w:ascii="Century Schoolbook" w:eastAsia="Calibri" w:hAnsi="Century Schoolbook" w:cs="Times New Roman"/>
          <w:sz w:val="26"/>
          <w:szCs w:val="26"/>
        </w:rPr>
        <w:fldChar w:fldCharType="end"/>
      </w:r>
      <w:r w:rsidR="008D6B67" w:rsidRPr="0057700D">
        <w:rPr>
          <w:rFonts w:ascii="Century Schoolbook" w:eastAsia="Calibri" w:hAnsi="Century Schoolbook" w:cs="Times New Roman"/>
          <w:sz w:val="26"/>
          <w:szCs w:val="26"/>
        </w:rPr>
        <w:t xml:space="preserve"> (</w:t>
      </w:r>
      <w:r w:rsidR="007D66B8" w:rsidRPr="0057700D">
        <w:rPr>
          <w:rFonts w:ascii="Century Schoolbook" w:eastAsia="Calibri" w:hAnsi="Century Schoolbook" w:cs="Times New Roman"/>
          <w:sz w:val="26"/>
          <w:szCs w:val="26"/>
        </w:rPr>
        <w:t xml:space="preserve">granting new trial in </w:t>
      </w:r>
      <w:r w:rsidR="007D66B8" w:rsidRPr="0057700D">
        <w:rPr>
          <w:rFonts w:ascii="Century Schoolbook" w:eastAsia="Calibri" w:hAnsi="Century Schoolbook" w:cs="Times New Roman"/>
          <w:i/>
          <w:iCs/>
          <w:sz w:val="26"/>
          <w:szCs w:val="26"/>
        </w:rPr>
        <w:t xml:space="preserve">Batson </w:t>
      </w:r>
      <w:r w:rsidR="007D66B8" w:rsidRPr="0057700D">
        <w:rPr>
          <w:rFonts w:ascii="Century Schoolbook" w:eastAsia="Calibri" w:hAnsi="Century Schoolbook" w:cs="Times New Roman"/>
          <w:sz w:val="26"/>
          <w:szCs w:val="26"/>
        </w:rPr>
        <w:t xml:space="preserve">case where prosecutor </w:t>
      </w:r>
      <w:r w:rsidR="0084788C" w:rsidRPr="0057700D">
        <w:rPr>
          <w:rFonts w:ascii="Century Schoolbook" w:eastAsia="Calibri" w:hAnsi="Century Schoolbook" w:cs="Times New Roman"/>
          <w:sz w:val="26"/>
          <w:szCs w:val="26"/>
        </w:rPr>
        <w:t xml:space="preserve">gave no race-neutral reason for some </w:t>
      </w:r>
      <w:r w:rsidR="00044123" w:rsidRPr="0057700D">
        <w:rPr>
          <w:rFonts w:ascii="Century Schoolbook" w:eastAsia="Calibri" w:hAnsi="Century Schoolbook" w:cs="Times New Roman"/>
          <w:sz w:val="26"/>
          <w:szCs w:val="26"/>
        </w:rPr>
        <w:t xml:space="preserve">of the </w:t>
      </w:r>
      <w:r w:rsidR="0084788C" w:rsidRPr="0057700D">
        <w:rPr>
          <w:rFonts w:ascii="Century Schoolbook" w:eastAsia="Calibri" w:hAnsi="Century Schoolbook" w:cs="Times New Roman"/>
          <w:sz w:val="26"/>
          <w:szCs w:val="26"/>
        </w:rPr>
        <w:t xml:space="preserve">Black jurors it excused); </w:t>
      </w:r>
      <w:r w:rsidR="00F67D02" w:rsidRPr="0057700D">
        <w:rPr>
          <w:rFonts w:ascii="Century Schoolbook" w:eastAsia="Calibri" w:hAnsi="Century Schoolbook" w:cs="Times New Roman"/>
          <w:i/>
          <w:iCs/>
          <w:sz w:val="26"/>
          <w:szCs w:val="26"/>
        </w:rPr>
        <w:t>State v. Ruth</w:t>
      </w:r>
      <w:r w:rsidR="00F67D02" w:rsidRPr="0057700D">
        <w:rPr>
          <w:rFonts w:ascii="Century Schoolbook" w:eastAsia="Calibri" w:hAnsi="Century Schoolbook" w:cs="Times New Roman"/>
          <w:sz w:val="26"/>
          <w:szCs w:val="26"/>
        </w:rPr>
        <w:t>, 2022-NCCOA-23</w:t>
      </w:r>
      <w:r w:rsidR="00FC48A5" w:rsidRPr="0057700D">
        <w:rPr>
          <w:rFonts w:ascii="Century Schoolbook" w:eastAsia="Calibri" w:hAnsi="Century Schoolbook" w:cs="Times New Roman"/>
          <w:sz w:val="26"/>
          <w:szCs w:val="26"/>
        </w:rPr>
        <w:t>,</w:t>
      </w:r>
      <w:r w:rsidR="00F67D02" w:rsidRPr="0057700D">
        <w:rPr>
          <w:rFonts w:ascii="Century Schoolbook" w:eastAsia="Calibri" w:hAnsi="Century Schoolbook" w:cs="Times New Roman"/>
          <w:sz w:val="26"/>
          <w:szCs w:val="26"/>
        </w:rPr>
        <w:t xml:space="preserve"> </w:t>
      </w:r>
      <w:r w:rsidR="00354713" w:rsidRPr="0057700D">
        <w:rPr>
          <w:rFonts w:ascii="Century Schoolbook" w:eastAsia="Calibri" w:hAnsi="Century Schoolbook" w:cs="Times New Roman"/>
          <w:sz w:val="26"/>
          <w:szCs w:val="26"/>
        </w:rPr>
        <w:t>¶</w:t>
      </w:r>
      <w:r w:rsidR="00D63A38" w:rsidRPr="0057700D">
        <w:rPr>
          <w:rFonts w:ascii="Century Schoolbook" w:eastAsia="Calibri" w:hAnsi="Century Schoolbook" w:cs="Times New Roman"/>
          <w:sz w:val="26"/>
          <w:szCs w:val="26"/>
        </w:rPr>
        <w:t>¶ 20-21</w:t>
      </w:r>
      <w:r w:rsidR="00354713" w:rsidRPr="0057700D">
        <w:rPr>
          <w:rFonts w:ascii="Century Schoolbook" w:eastAsia="Calibri" w:hAnsi="Century Schoolbook" w:cs="Times New Roman"/>
          <w:sz w:val="26"/>
          <w:szCs w:val="26"/>
        </w:rPr>
        <w:t xml:space="preserve">, </w:t>
      </w:r>
      <w:r w:rsidR="00354713" w:rsidRPr="0057700D">
        <w:rPr>
          <w:rFonts w:ascii="Century Schoolbook" w:eastAsia="Calibri" w:hAnsi="Century Schoolbook" w:cs="Times New Roman"/>
          <w:i/>
          <w:iCs/>
          <w:sz w:val="26"/>
          <w:szCs w:val="26"/>
        </w:rPr>
        <w:t>temp</w:t>
      </w:r>
      <w:r w:rsidR="00795F54" w:rsidRPr="0057700D">
        <w:rPr>
          <w:rFonts w:ascii="Century Schoolbook" w:eastAsia="Calibri" w:hAnsi="Century Schoolbook" w:cs="Times New Roman"/>
          <w:i/>
          <w:iCs/>
          <w:sz w:val="26"/>
          <w:szCs w:val="26"/>
        </w:rPr>
        <w:t>.</w:t>
      </w:r>
      <w:r w:rsidR="00354713" w:rsidRPr="0057700D">
        <w:rPr>
          <w:rFonts w:ascii="Century Schoolbook" w:eastAsia="Calibri" w:hAnsi="Century Schoolbook" w:cs="Times New Roman"/>
          <w:i/>
          <w:iCs/>
          <w:sz w:val="26"/>
          <w:szCs w:val="26"/>
        </w:rPr>
        <w:t xml:space="preserve"> stay </w:t>
      </w:r>
      <w:r w:rsidR="00EE5EFE" w:rsidRPr="0057700D">
        <w:rPr>
          <w:rFonts w:ascii="Century Schoolbook" w:eastAsia="Calibri" w:hAnsi="Century Schoolbook" w:cs="Times New Roman"/>
          <w:i/>
          <w:iCs/>
          <w:sz w:val="26"/>
          <w:szCs w:val="26"/>
        </w:rPr>
        <w:t>granted</w:t>
      </w:r>
      <w:r w:rsidR="00EE5EFE" w:rsidRPr="0057700D">
        <w:rPr>
          <w:rFonts w:ascii="Century Schoolbook" w:eastAsia="Calibri" w:hAnsi="Century Schoolbook" w:cs="Times New Roman"/>
          <w:sz w:val="26"/>
          <w:szCs w:val="26"/>
        </w:rPr>
        <w:t>, 2022 N.C. LEXIS 36</w:t>
      </w:r>
      <w:r w:rsidR="000B7D5E" w:rsidRPr="0057700D">
        <w:rPr>
          <w:rFonts w:ascii="Century Schoolbook" w:eastAsia="Calibri" w:hAnsi="Century Schoolbook" w:cs="Times New Roman"/>
          <w:sz w:val="26"/>
          <w:szCs w:val="26"/>
        </w:rPr>
        <w:t xml:space="preserve"> (N.C. Jan. 19, 2022)</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i/>
          <w:iCs/>
          <w:sz w:val="26"/>
          <w:szCs w:val="26"/>
        </w:rPr>
        <w:instrText>State v. Ruth</w:instrText>
      </w:r>
      <w:r w:rsidR="00825D98" w:rsidRPr="0057700D">
        <w:rPr>
          <w:rFonts w:ascii="Century Schoolbook" w:eastAsia="Calibri" w:hAnsi="Century Schoolbook" w:cs="Times New Roman"/>
          <w:sz w:val="26"/>
          <w:szCs w:val="26"/>
        </w:rPr>
        <w:instrText xml:space="preserve">, 2022-NCCOA-23, ¶¶ 20-21, </w:instrText>
      </w:r>
      <w:r w:rsidR="00825D98" w:rsidRPr="0057700D">
        <w:rPr>
          <w:rFonts w:ascii="Century Schoolbook" w:eastAsia="Calibri" w:hAnsi="Century Schoolbook" w:cs="Times New Roman"/>
          <w:i/>
          <w:iCs/>
          <w:sz w:val="26"/>
          <w:szCs w:val="26"/>
        </w:rPr>
        <w:instrText>temp. stay granted</w:instrText>
      </w:r>
      <w:r w:rsidR="00825D98" w:rsidRPr="0057700D">
        <w:rPr>
          <w:rFonts w:ascii="Century Schoolbook" w:eastAsia="Calibri" w:hAnsi="Century Schoolbook" w:cs="Times New Roman"/>
          <w:sz w:val="26"/>
          <w:szCs w:val="26"/>
        </w:rPr>
        <w:instrText>, 2022 N.C. LEXIS 36 (N.C. Jan. 19, 2022)</w:instrText>
      </w:r>
      <w:r w:rsidR="00825D98" w:rsidRPr="0057700D">
        <w:instrText xml:space="preserve">" \s "State v. Ruth, 2022-NCCOA-23,  20-21, temp. stay granted, 2022 N.C. LEXIS 36 (N.C. Jan. 19, 2022)" \c 1 </w:instrText>
      </w:r>
      <w:r w:rsidR="00825D98" w:rsidRPr="0057700D">
        <w:rPr>
          <w:rFonts w:ascii="Century Schoolbook" w:eastAsia="Calibri" w:hAnsi="Century Schoolbook" w:cs="Times New Roman"/>
          <w:sz w:val="26"/>
          <w:szCs w:val="26"/>
        </w:rPr>
        <w:fldChar w:fldCharType="end"/>
      </w:r>
      <w:r w:rsidR="000B7D5E" w:rsidRPr="0057700D">
        <w:rPr>
          <w:rFonts w:ascii="Century Schoolbook" w:eastAsia="Calibri" w:hAnsi="Century Schoolbook" w:cs="Times New Roman"/>
          <w:sz w:val="26"/>
          <w:szCs w:val="26"/>
        </w:rPr>
        <w:t xml:space="preserve"> </w:t>
      </w:r>
      <w:r w:rsidR="0084788C" w:rsidRPr="0057700D">
        <w:rPr>
          <w:rFonts w:ascii="Century Schoolbook" w:eastAsia="Calibri" w:hAnsi="Century Schoolbook" w:cs="Times New Roman"/>
          <w:sz w:val="26"/>
          <w:szCs w:val="26"/>
        </w:rPr>
        <w:t>(same).</w:t>
      </w:r>
      <w:r w:rsidR="007E3966" w:rsidRPr="0057700D">
        <w:rPr>
          <w:rFonts w:ascii="Century Schoolbook" w:eastAsia="Calibri" w:hAnsi="Century Schoolbook" w:cs="Times New Roman"/>
          <w:sz w:val="26"/>
          <w:szCs w:val="26"/>
        </w:rPr>
        <w:t xml:space="preserve">  </w:t>
      </w:r>
      <w:r w:rsidR="00E66FA3" w:rsidRPr="0057700D">
        <w:rPr>
          <w:rFonts w:ascii="Century Schoolbook" w:eastAsia="Calibri" w:hAnsi="Century Schoolbook" w:cs="Times New Roman"/>
          <w:sz w:val="26"/>
          <w:szCs w:val="26"/>
        </w:rPr>
        <w:t xml:space="preserve">The Supreme Court explained </w:t>
      </w:r>
      <w:r w:rsidR="0014280F" w:rsidRPr="0057700D">
        <w:rPr>
          <w:rFonts w:ascii="Century Schoolbook" w:eastAsia="Calibri" w:hAnsi="Century Schoolbook" w:cs="Times New Roman"/>
          <w:sz w:val="26"/>
          <w:szCs w:val="26"/>
        </w:rPr>
        <w:t xml:space="preserve">why </w:t>
      </w:r>
      <w:r w:rsidR="00E66FA3" w:rsidRPr="0057700D">
        <w:rPr>
          <w:rFonts w:ascii="Century Schoolbook" w:eastAsia="Calibri" w:hAnsi="Century Schoolbook" w:cs="Times New Roman"/>
          <w:sz w:val="26"/>
          <w:szCs w:val="26"/>
        </w:rPr>
        <w:t xml:space="preserve">this result </w:t>
      </w:r>
      <w:r w:rsidR="00604BEF" w:rsidRPr="0057700D">
        <w:rPr>
          <w:rFonts w:ascii="Century Schoolbook" w:eastAsia="Calibri" w:hAnsi="Century Schoolbook" w:cs="Times New Roman"/>
          <w:sz w:val="26"/>
          <w:szCs w:val="26"/>
        </w:rPr>
        <w:t>is proper in such rare cases</w:t>
      </w:r>
      <w:r w:rsidR="00E66FA3" w:rsidRPr="0057700D">
        <w:rPr>
          <w:rFonts w:ascii="Century Schoolbook" w:eastAsia="Calibri" w:hAnsi="Century Schoolbook" w:cs="Times New Roman"/>
          <w:sz w:val="26"/>
          <w:szCs w:val="26"/>
        </w:rPr>
        <w:t>:</w:t>
      </w:r>
    </w:p>
    <w:p w14:paraId="5DF6D3D0" w14:textId="36141FBF" w:rsidR="00526903" w:rsidRPr="0057700D" w:rsidRDefault="00C82F15" w:rsidP="002B7A1E">
      <w:pPr>
        <w:spacing w:after="0" w:line="240" w:lineRule="auto"/>
        <w:ind w:left="1008" w:right="1008"/>
        <w:rPr>
          <w:rFonts w:ascii="Century Schoolbook" w:eastAsia="Calibri" w:hAnsi="Century Schoolbook" w:cs="Times New Roman"/>
          <w:sz w:val="26"/>
          <w:szCs w:val="26"/>
        </w:rPr>
      </w:pPr>
      <w:r w:rsidRPr="0057700D">
        <w:rPr>
          <w:rFonts w:ascii="Century Schoolbook" w:eastAsia="Calibri" w:hAnsi="Century Schoolbook" w:cs="Times New Roman"/>
          <w:sz w:val="26"/>
          <w:szCs w:val="26"/>
        </w:rPr>
        <w:t>No reason for [the discrimination] is shown, and the conclusion cannot be resisted, that no reason for it exists except hostility to the race and nationality to which the petitioners belong, and which in the eye of the law is not justified.  The discrimination is, therefore, illegal, and the public administration which enforces it is a denial of the equal protection of the laws….</w:t>
      </w:r>
    </w:p>
    <w:p w14:paraId="3D12ACA4" w14:textId="77777777" w:rsidR="002B7A1E" w:rsidRPr="0057700D" w:rsidRDefault="002B7A1E" w:rsidP="002B7A1E">
      <w:pPr>
        <w:spacing w:after="0" w:line="240" w:lineRule="auto"/>
        <w:ind w:left="1008" w:right="1008"/>
        <w:rPr>
          <w:rFonts w:ascii="Century Schoolbook" w:eastAsia="Calibri" w:hAnsi="Century Schoolbook" w:cs="Times New Roman"/>
          <w:sz w:val="26"/>
          <w:szCs w:val="26"/>
        </w:rPr>
      </w:pPr>
    </w:p>
    <w:p w14:paraId="19A1A40A" w14:textId="790B25D8" w:rsidR="00C82F15" w:rsidRPr="0057700D" w:rsidRDefault="00C82F15" w:rsidP="00526903">
      <w:pPr>
        <w:spacing w:after="0" w:line="480" w:lineRule="auto"/>
        <w:rPr>
          <w:rFonts w:ascii="Century Schoolbook" w:eastAsia="Calibri" w:hAnsi="Century Schoolbook" w:cs="Times New Roman"/>
          <w:sz w:val="26"/>
          <w:szCs w:val="26"/>
        </w:rPr>
      </w:pPr>
      <w:proofErr w:type="spellStart"/>
      <w:r w:rsidRPr="0057700D">
        <w:rPr>
          <w:rFonts w:ascii="Century Schoolbook" w:eastAsia="Calibri" w:hAnsi="Century Schoolbook" w:cs="Times New Roman"/>
          <w:i/>
          <w:iCs/>
          <w:sz w:val="26"/>
          <w:szCs w:val="26"/>
        </w:rPr>
        <w:lastRenderedPageBreak/>
        <w:t>Yick</w:t>
      </w:r>
      <w:proofErr w:type="spellEnd"/>
      <w:r w:rsidRPr="0057700D">
        <w:rPr>
          <w:rFonts w:ascii="Century Schoolbook" w:eastAsia="Calibri" w:hAnsi="Century Schoolbook" w:cs="Times New Roman"/>
          <w:i/>
          <w:iCs/>
          <w:sz w:val="26"/>
          <w:szCs w:val="26"/>
        </w:rPr>
        <w:t xml:space="preserve"> Wo</w:t>
      </w:r>
      <w:r w:rsidR="00526903" w:rsidRPr="0057700D">
        <w:rPr>
          <w:rFonts w:ascii="Century Schoolbook" w:eastAsia="Calibri" w:hAnsi="Century Schoolbook" w:cs="Times New Roman"/>
          <w:sz w:val="26"/>
          <w:szCs w:val="26"/>
        </w:rPr>
        <w:t xml:space="preserve">, </w:t>
      </w:r>
      <w:r w:rsidR="00222A92" w:rsidRPr="0057700D">
        <w:rPr>
          <w:rFonts w:ascii="Century Schoolbook" w:eastAsia="Calibri" w:hAnsi="Century Schoolbook" w:cs="Times New Roman"/>
          <w:sz w:val="26"/>
          <w:szCs w:val="26"/>
        </w:rPr>
        <w:t>118</w:t>
      </w:r>
      <w:r w:rsidR="00526903" w:rsidRPr="0057700D">
        <w:rPr>
          <w:rFonts w:ascii="Century Schoolbook" w:eastAsia="Calibri" w:hAnsi="Century Schoolbook" w:cs="Times New Roman"/>
          <w:sz w:val="26"/>
          <w:szCs w:val="26"/>
        </w:rPr>
        <w:t xml:space="preserve"> U.S. </w:t>
      </w:r>
      <w:r w:rsidRPr="0057700D">
        <w:rPr>
          <w:rFonts w:ascii="Century Schoolbook" w:eastAsia="Calibri" w:hAnsi="Century Schoolbook" w:cs="Times New Roman"/>
          <w:sz w:val="26"/>
          <w:szCs w:val="26"/>
        </w:rPr>
        <w:t>at 374</w:t>
      </w:r>
      <w:r w:rsidR="00825D98" w:rsidRPr="0057700D">
        <w:rPr>
          <w:rFonts w:ascii="Century Schoolbook" w:eastAsia="Calibri" w:hAnsi="Century Schoolbook" w:cs="Times New Roman"/>
          <w:sz w:val="26"/>
          <w:szCs w:val="26"/>
        </w:rPr>
        <w:fldChar w:fldCharType="begin"/>
      </w:r>
      <w:r w:rsidR="00825D98" w:rsidRPr="0057700D">
        <w:instrText xml:space="preserve"> TA \s "Yick Wo v. Hopkins, 118 U.S. 356, 373 (1886)" </w:instrText>
      </w:r>
      <w:r w:rsidR="00825D98" w:rsidRPr="0057700D">
        <w:rPr>
          <w:rFonts w:ascii="Century Schoolbook" w:eastAsia="Calibri" w:hAnsi="Century Schoolbook" w:cs="Times New Roman"/>
          <w:sz w:val="26"/>
          <w:szCs w:val="26"/>
        </w:rPr>
        <w:fldChar w:fldCharType="end"/>
      </w:r>
      <w:r w:rsidR="00526903" w:rsidRPr="0057700D">
        <w:rPr>
          <w:rFonts w:ascii="Century Schoolbook" w:eastAsia="Calibri" w:hAnsi="Century Schoolbook" w:cs="Times New Roman"/>
          <w:sz w:val="26"/>
          <w:szCs w:val="26"/>
        </w:rPr>
        <w:t>.</w:t>
      </w:r>
      <w:r w:rsidR="002B7A1E" w:rsidRPr="0057700D">
        <w:rPr>
          <w:rFonts w:ascii="Century Schoolbook" w:eastAsia="Calibri" w:hAnsi="Century Schoolbook" w:cs="Times New Roman"/>
          <w:sz w:val="26"/>
          <w:szCs w:val="26"/>
        </w:rPr>
        <w:t xml:space="preserve">  </w:t>
      </w:r>
      <w:r w:rsidR="00F64295" w:rsidRPr="0057700D">
        <w:rPr>
          <w:rFonts w:ascii="Century Schoolbook" w:eastAsia="Calibri" w:hAnsi="Century Schoolbook" w:cs="Times New Roman"/>
          <w:sz w:val="26"/>
          <w:szCs w:val="26"/>
        </w:rPr>
        <w:t xml:space="preserve">The </w:t>
      </w:r>
      <w:r w:rsidR="00172BEC" w:rsidRPr="0057700D">
        <w:rPr>
          <w:rFonts w:ascii="Century Schoolbook" w:eastAsia="Calibri" w:hAnsi="Century Schoolbook" w:cs="Times New Roman"/>
          <w:sz w:val="26"/>
          <w:szCs w:val="26"/>
        </w:rPr>
        <w:t xml:space="preserve">findings </w:t>
      </w:r>
      <w:r w:rsidR="00F64295" w:rsidRPr="0057700D">
        <w:rPr>
          <w:rFonts w:ascii="Century Schoolbook" w:eastAsia="Calibri" w:hAnsi="Century Schoolbook" w:cs="Times New Roman"/>
          <w:sz w:val="26"/>
          <w:szCs w:val="26"/>
        </w:rPr>
        <w:t xml:space="preserve">by the </w:t>
      </w:r>
      <w:r w:rsidR="002239C5" w:rsidRPr="0057700D">
        <w:rPr>
          <w:rFonts w:ascii="Century Schoolbook" w:eastAsia="Calibri" w:hAnsi="Century Schoolbook" w:cs="Times New Roman"/>
          <w:sz w:val="26"/>
          <w:szCs w:val="26"/>
        </w:rPr>
        <w:t xml:space="preserve">courts below </w:t>
      </w:r>
      <w:r w:rsidR="00172BEC" w:rsidRPr="0057700D">
        <w:rPr>
          <w:rFonts w:ascii="Century Schoolbook" w:eastAsia="Calibri" w:hAnsi="Century Schoolbook" w:cs="Times New Roman"/>
          <w:sz w:val="26"/>
          <w:szCs w:val="26"/>
        </w:rPr>
        <w:t xml:space="preserve">which suggested </w:t>
      </w:r>
      <w:r w:rsidR="0017088C" w:rsidRPr="0057700D">
        <w:rPr>
          <w:rFonts w:ascii="Century Schoolbook" w:eastAsia="Calibri" w:hAnsi="Century Schoolbook" w:cs="Times New Roman"/>
          <w:sz w:val="26"/>
          <w:szCs w:val="26"/>
        </w:rPr>
        <w:t xml:space="preserve">potential race-neutral explanations </w:t>
      </w:r>
      <w:r w:rsidR="00840299" w:rsidRPr="0057700D">
        <w:rPr>
          <w:rFonts w:ascii="Century Schoolbook" w:eastAsia="Calibri" w:hAnsi="Century Schoolbook" w:cs="Times New Roman"/>
          <w:sz w:val="26"/>
          <w:szCs w:val="26"/>
        </w:rPr>
        <w:t xml:space="preserve">via </w:t>
      </w:r>
      <w:r w:rsidR="0017088C" w:rsidRPr="0057700D">
        <w:rPr>
          <w:rFonts w:ascii="Century Schoolbook" w:eastAsia="Calibri" w:hAnsi="Century Schoolbook" w:cs="Times New Roman"/>
          <w:sz w:val="26"/>
          <w:szCs w:val="26"/>
        </w:rPr>
        <w:t>attack</w:t>
      </w:r>
      <w:r w:rsidR="00840299" w:rsidRPr="0057700D">
        <w:rPr>
          <w:rFonts w:ascii="Century Schoolbook" w:eastAsia="Calibri" w:hAnsi="Century Schoolbook" w:cs="Times New Roman"/>
          <w:sz w:val="26"/>
          <w:szCs w:val="26"/>
        </w:rPr>
        <w:t>s on</w:t>
      </w:r>
      <w:r w:rsidR="0017088C" w:rsidRPr="0057700D">
        <w:rPr>
          <w:rFonts w:ascii="Century Schoolbook" w:eastAsia="Calibri" w:hAnsi="Century Schoolbook" w:cs="Times New Roman"/>
          <w:sz w:val="26"/>
          <w:szCs w:val="26"/>
        </w:rPr>
        <w:t xml:space="preserve"> the statistics </w:t>
      </w:r>
      <w:r w:rsidR="004A51D1" w:rsidRPr="0057700D">
        <w:rPr>
          <w:rFonts w:ascii="Century Schoolbook" w:eastAsia="Calibri" w:hAnsi="Century Schoolbook" w:cs="Times New Roman"/>
          <w:sz w:val="26"/>
          <w:szCs w:val="26"/>
        </w:rPr>
        <w:t xml:space="preserve">were inappropriate under </w:t>
      </w:r>
      <w:r w:rsidR="00F64295" w:rsidRPr="0057700D">
        <w:rPr>
          <w:rFonts w:ascii="Century Schoolbook" w:eastAsia="Calibri" w:hAnsi="Century Schoolbook" w:cs="Times New Roman"/>
          <w:i/>
          <w:iCs/>
          <w:sz w:val="26"/>
          <w:szCs w:val="26"/>
        </w:rPr>
        <w:t>Miller-El.</w:t>
      </w:r>
      <w:r w:rsidR="00846E1F" w:rsidRPr="0057700D">
        <w:rPr>
          <w:rFonts w:ascii="Century Schoolbook" w:eastAsia="Calibri" w:hAnsi="Century Schoolbook" w:cs="Times New Roman"/>
          <w:i/>
          <w:iCs/>
          <w:sz w:val="26"/>
          <w:szCs w:val="26"/>
        </w:rPr>
        <w:t xml:space="preserve"> </w:t>
      </w:r>
      <w:r w:rsidR="00F64295" w:rsidRPr="0057700D">
        <w:rPr>
          <w:rFonts w:ascii="Century Schoolbook" w:eastAsia="Calibri" w:hAnsi="Century Schoolbook" w:cs="Times New Roman"/>
          <w:i/>
          <w:iCs/>
          <w:sz w:val="26"/>
          <w:szCs w:val="26"/>
        </w:rPr>
        <w:t xml:space="preserve"> </w:t>
      </w:r>
      <w:r w:rsidR="00846E1F" w:rsidRPr="0057700D">
        <w:rPr>
          <w:rFonts w:ascii="Century Schoolbook" w:eastAsia="Times New Roman" w:hAnsi="Century Schoolbook" w:cs="Times New Roman"/>
          <w:sz w:val="26"/>
          <w:szCs w:val="26"/>
        </w:rPr>
        <w:t>545 U.S. at 252</w:t>
      </w:r>
      <w:r w:rsidR="00825D98" w:rsidRPr="0057700D">
        <w:rPr>
          <w:rFonts w:ascii="Century Schoolbook" w:eastAsia="Times New Roman" w:hAnsi="Century Schoolbook" w:cs="Times New Roman"/>
          <w:sz w:val="26"/>
          <w:szCs w:val="26"/>
        </w:rPr>
        <w:fldChar w:fldCharType="begin"/>
      </w:r>
      <w:r w:rsidR="00825D98" w:rsidRPr="0057700D">
        <w:instrText xml:space="preserve"> TA \s "Miller-El v. Dretke, 545 U.S. 231, 252 (2005)" </w:instrText>
      </w:r>
      <w:r w:rsidR="00825D98" w:rsidRPr="0057700D">
        <w:rPr>
          <w:rFonts w:ascii="Century Schoolbook" w:eastAsia="Times New Roman" w:hAnsi="Century Schoolbook" w:cs="Times New Roman"/>
          <w:sz w:val="26"/>
          <w:szCs w:val="26"/>
        </w:rPr>
        <w:fldChar w:fldCharType="end"/>
      </w:r>
      <w:r w:rsidR="00846E1F" w:rsidRPr="0057700D">
        <w:rPr>
          <w:rFonts w:ascii="Century Schoolbook" w:eastAsia="Times New Roman" w:hAnsi="Century Schoolbook" w:cs="Times New Roman"/>
          <w:sz w:val="26"/>
          <w:szCs w:val="26"/>
        </w:rPr>
        <w:t xml:space="preserve">. </w:t>
      </w:r>
      <w:r w:rsidR="00F64295" w:rsidRPr="0057700D">
        <w:rPr>
          <w:rFonts w:ascii="Century Schoolbook" w:eastAsia="Calibri" w:hAnsi="Century Schoolbook" w:cs="Times New Roman"/>
          <w:i/>
          <w:iCs/>
          <w:sz w:val="26"/>
          <w:szCs w:val="26"/>
        </w:rPr>
        <w:t xml:space="preserve"> </w:t>
      </w:r>
      <w:r w:rsidR="004A51D1" w:rsidRPr="0057700D">
        <w:rPr>
          <w:rFonts w:ascii="Century Schoolbook" w:eastAsia="Calibri" w:hAnsi="Century Schoolbook" w:cs="Times New Roman"/>
          <w:sz w:val="26"/>
          <w:szCs w:val="26"/>
        </w:rPr>
        <w:t>Because the State did not attempt to rebut the inference of discrimination at the hearing below, an equal protection violation was established.</w:t>
      </w:r>
    </w:p>
    <w:p w14:paraId="7C3D05A1" w14:textId="09C6724B" w:rsidR="001E609B" w:rsidRPr="0057700D" w:rsidRDefault="001E609B" w:rsidP="001E609B">
      <w:pPr>
        <w:spacing w:after="0" w:line="480" w:lineRule="auto"/>
        <w:jc w:val="center"/>
        <w:rPr>
          <w:rFonts w:ascii="Century Schoolbook" w:eastAsia="Calibri" w:hAnsi="Century Schoolbook" w:cs="Times New Roman"/>
          <w:b/>
          <w:bCs/>
          <w:sz w:val="26"/>
          <w:szCs w:val="26"/>
          <w:u w:val="single"/>
        </w:rPr>
      </w:pPr>
      <w:r w:rsidRPr="0057700D">
        <w:rPr>
          <w:rFonts w:ascii="Century Schoolbook" w:eastAsia="Calibri" w:hAnsi="Century Schoolbook" w:cs="Times New Roman"/>
          <w:b/>
          <w:bCs/>
          <w:sz w:val="26"/>
          <w:szCs w:val="26"/>
          <w:u w:val="single"/>
        </w:rPr>
        <w:t>CONCLUSION</w:t>
      </w:r>
    </w:p>
    <w:p w14:paraId="6B05FBDC" w14:textId="1DC0B3B9" w:rsidR="007B0F13" w:rsidRPr="0057700D" w:rsidRDefault="007B0F13" w:rsidP="000D4195">
      <w:pPr>
        <w:spacing w:after="0" w:line="480" w:lineRule="auto"/>
        <w:ind w:firstLine="720"/>
        <w:rPr>
          <w:rFonts w:ascii="Century Schoolbook" w:eastAsia="Times New Roman" w:hAnsi="Century Schoolbook" w:cs="Times New Roman"/>
          <w:b/>
          <w:sz w:val="26"/>
          <w:szCs w:val="26"/>
          <w:u w:val="single"/>
        </w:rPr>
      </w:pPr>
      <w:r w:rsidRPr="0057700D">
        <w:rPr>
          <w:rFonts w:ascii="Century Schoolbook" w:eastAsia="Calibri" w:hAnsi="Century Schoolbook" w:cs="Times New Roman"/>
          <w:sz w:val="26"/>
          <w:szCs w:val="26"/>
        </w:rPr>
        <w:t xml:space="preserve">The </w:t>
      </w:r>
      <w:r w:rsidR="00E83504" w:rsidRPr="0057700D">
        <w:rPr>
          <w:rFonts w:ascii="Century Schoolbook" w:eastAsia="Calibri" w:hAnsi="Century Schoolbook" w:cs="Times New Roman"/>
          <w:sz w:val="26"/>
          <w:szCs w:val="26"/>
        </w:rPr>
        <w:t xml:space="preserve">panel’s </w:t>
      </w:r>
      <w:r w:rsidRPr="0057700D">
        <w:rPr>
          <w:rFonts w:ascii="Century Schoolbook" w:eastAsia="Calibri" w:hAnsi="Century Schoolbook" w:cs="Times New Roman"/>
          <w:sz w:val="26"/>
          <w:szCs w:val="26"/>
        </w:rPr>
        <w:t>ruling creates a prima facie burden so high that most citizens targeted on the basis of race will have no remedy.  And law enforcement agencies or individual officers who target citizens on that basis will have no disincentive to continue discriminatory practices</w:t>
      </w:r>
      <w:r w:rsidR="00141B96" w:rsidRPr="0057700D">
        <w:rPr>
          <w:rFonts w:ascii="Century Schoolbook" w:eastAsia="Calibri" w:hAnsi="Century Schoolbook" w:cs="Times New Roman"/>
          <w:sz w:val="26"/>
          <w:szCs w:val="26"/>
        </w:rPr>
        <w:t>.</w:t>
      </w:r>
      <w:r w:rsidR="00AA606D" w:rsidRPr="0057700D">
        <w:rPr>
          <w:rFonts w:ascii="Century Schoolbook" w:eastAsia="Calibri" w:hAnsi="Century Schoolbook" w:cs="Times New Roman"/>
          <w:sz w:val="26"/>
          <w:szCs w:val="26"/>
        </w:rPr>
        <w:t xml:space="preserve">  </w:t>
      </w:r>
      <w:r w:rsidR="009977EC" w:rsidRPr="0057700D">
        <w:rPr>
          <w:rFonts w:ascii="Century Schoolbook" w:eastAsia="Calibri" w:hAnsi="Century Schoolbook" w:cs="Times New Roman"/>
          <w:sz w:val="26"/>
          <w:szCs w:val="26"/>
        </w:rPr>
        <w:t>Our Court system ought to protect and police all of North Carolina’s citizens equally</w:t>
      </w:r>
      <w:r w:rsidR="00A92B56" w:rsidRPr="0057700D">
        <w:rPr>
          <w:rFonts w:ascii="Century Schoolbook" w:eastAsia="Calibri" w:hAnsi="Century Schoolbook" w:cs="Times New Roman"/>
          <w:sz w:val="26"/>
          <w:szCs w:val="26"/>
        </w:rPr>
        <w:t>.</w:t>
      </w:r>
      <w:r w:rsidR="00E21C6E" w:rsidRPr="0057700D">
        <w:rPr>
          <w:rFonts w:ascii="Century Schoolbook" w:eastAsia="Calibri" w:hAnsi="Century Schoolbook" w:cs="Times New Roman"/>
          <w:sz w:val="26"/>
          <w:szCs w:val="26"/>
        </w:rPr>
        <w:t xml:space="preserve">  </w:t>
      </w:r>
      <w:r w:rsidR="00A92B56" w:rsidRPr="0057700D">
        <w:rPr>
          <w:rFonts w:ascii="Century Schoolbook" w:eastAsia="Calibri" w:hAnsi="Century Schoolbook" w:cs="Times New Roman"/>
          <w:sz w:val="26"/>
          <w:szCs w:val="26"/>
        </w:rPr>
        <w:t>Otherwise,</w:t>
      </w:r>
      <w:r w:rsidR="00E21C6E" w:rsidRPr="0057700D">
        <w:rPr>
          <w:rFonts w:ascii="Century Schoolbook" w:eastAsia="Calibri" w:hAnsi="Century Schoolbook" w:cs="Times New Roman"/>
          <w:sz w:val="26"/>
          <w:szCs w:val="26"/>
        </w:rPr>
        <w:t xml:space="preserve"> equal protection will </w:t>
      </w:r>
      <w:r w:rsidR="000F3192" w:rsidRPr="0057700D">
        <w:rPr>
          <w:rFonts w:ascii="Century Schoolbook" w:eastAsia="Calibri" w:hAnsi="Century Schoolbook" w:cs="Times New Roman"/>
          <w:sz w:val="26"/>
          <w:szCs w:val="26"/>
        </w:rPr>
        <w:t xml:space="preserve">be rendered meaningless.  </w:t>
      </w:r>
      <w:proofErr w:type="spellStart"/>
      <w:r w:rsidR="00FB23DF" w:rsidRPr="0057700D">
        <w:rPr>
          <w:rFonts w:ascii="Century Schoolbook" w:eastAsia="Calibri" w:hAnsi="Century Schoolbook" w:cs="Times New Roman"/>
          <w:i/>
          <w:iCs/>
          <w:sz w:val="26"/>
          <w:szCs w:val="26"/>
        </w:rPr>
        <w:t>Esse</w:t>
      </w:r>
      <w:proofErr w:type="spellEnd"/>
      <w:r w:rsidR="00FB23DF" w:rsidRPr="0057700D">
        <w:rPr>
          <w:rFonts w:ascii="Century Schoolbook" w:eastAsia="Calibri" w:hAnsi="Century Schoolbook" w:cs="Times New Roman"/>
          <w:i/>
          <w:iCs/>
          <w:sz w:val="26"/>
          <w:szCs w:val="26"/>
        </w:rPr>
        <w:t xml:space="preserve"> </w:t>
      </w:r>
      <w:proofErr w:type="spellStart"/>
      <w:r w:rsidR="00FB23DF" w:rsidRPr="0057700D">
        <w:rPr>
          <w:rFonts w:ascii="Century Schoolbook" w:eastAsia="Calibri" w:hAnsi="Century Schoolbook" w:cs="Times New Roman"/>
          <w:i/>
          <w:iCs/>
          <w:sz w:val="26"/>
          <w:szCs w:val="26"/>
        </w:rPr>
        <w:t>quam</w:t>
      </w:r>
      <w:proofErr w:type="spellEnd"/>
      <w:r w:rsidR="00FB23DF" w:rsidRPr="0057700D">
        <w:rPr>
          <w:rFonts w:ascii="Century Schoolbook" w:eastAsia="Calibri" w:hAnsi="Century Schoolbook" w:cs="Times New Roman"/>
          <w:i/>
          <w:iCs/>
          <w:sz w:val="26"/>
          <w:szCs w:val="26"/>
        </w:rPr>
        <w:t xml:space="preserve"> </w:t>
      </w:r>
      <w:proofErr w:type="spellStart"/>
      <w:r w:rsidR="00FB23DF" w:rsidRPr="0057700D">
        <w:rPr>
          <w:rFonts w:ascii="Century Schoolbook" w:eastAsia="Calibri" w:hAnsi="Century Schoolbook" w:cs="Times New Roman"/>
          <w:i/>
          <w:iCs/>
          <w:sz w:val="26"/>
          <w:szCs w:val="26"/>
        </w:rPr>
        <w:t>videri</w:t>
      </w:r>
      <w:proofErr w:type="spellEnd"/>
      <w:r w:rsidR="00FB23DF" w:rsidRPr="0057700D">
        <w:rPr>
          <w:rFonts w:ascii="Century Schoolbook" w:eastAsia="Calibri" w:hAnsi="Century Schoolbook" w:cs="Times New Roman"/>
          <w:sz w:val="26"/>
          <w:szCs w:val="26"/>
        </w:rPr>
        <w:t>.</w:t>
      </w:r>
      <w:r w:rsidR="00E21C6E" w:rsidRPr="0057700D">
        <w:rPr>
          <w:rFonts w:ascii="Century Schoolbook" w:eastAsia="Calibri" w:hAnsi="Century Schoolbook" w:cs="Times New Roman"/>
          <w:sz w:val="26"/>
          <w:szCs w:val="26"/>
        </w:rPr>
        <w:t xml:space="preserve">  </w:t>
      </w:r>
      <w:r w:rsidR="009977EC" w:rsidRPr="0057700D">
        <w:rPr>
          <w:rFonts w:ascii="Century Schoolbook" w:eastAsia="Calibri" w:hAnsi="Century Schoolbook" w:cs="Times New Roman"/>
          <w:sz w:val="26"/>
          <w:szCs w:val="26"/>
        </w:rPr>
        <w:t xml:space="preserve"> </w:t>
      </w:r>
      <w:r w:rsidR="00F80A45" w:rsidRPr="0057700D">
        <w:rPr>
          <w:rFonts w:ascii="Century Schoolbook" w:eastAsia="Calibri" w:hAnsi="Century Schoolbook" w:cs="Times New Roman"/>
          <w:sz w:val="26"/>
          <w:szCs w:val="26"/>
        </w:rPr>
        <w:t>Because Mr. Johnson’s equal protection claim was made as a motion to suppress based on selective enforcement under N.C.G.S. § 15A-974</w:t>
      </w:r>
      <w:r w:rsidR="00825D98" w:rsidRPr="0057700D">
        <w:rPr>
          <w:rFonts w:ascii="Century Schoolbook" w:eastAsia="Calibri" w:hAnsi="Century Schoolbook" w:cs="Times New Roman"/>
          <w:sz w:val="26"/>
          <w:szCs w:val="26"/>
        </w:rPr>
        <w:fldChar w:fldCharType="begin"/>
      </w:r>
      <w:r w:rsidR="00825D98" w:rsidRPr="0057700D">
        <w:instrText xml:space="preserve"> TA \l "</w:instrText>
      </w:r>
      <w:r w:rsidR="00825D98" w:rsidRPr="0057700D">
        <w:rPr>
          <w:rFonts w:ascii="Century Schoolbook" w:eastAsia="Calibri" w:hAnsi="Century Schoolbook" w:cs="Times New Roman"/>
          <w:sz w:val="26"/>
          <w:szCs w:val="26"/>
        </w:rPr>
        <w:instrText>N.C.G.S. § 15A-974</w:instrText>
      </w:r>
      <w:r w:rsidR="00825D98" w:rsidRPr="0057700D">
        <w:instrText xml:space="preserve">" \s "N.C.G.S. § 15A-974" \c 2 </w:instrText>
      </w:r>
      <w:r w:rsidR="00825D98" w:rsidRPr="0057700D">
        <w:rPr>
          <w:rFonts w:ascii="Century Schoolbook" w:eastAsia="Calibri" w:hAnsi="Century Schoolbook" w:cs="Times New Roman"/>
          <w:sz w:val="26"/>
          <w:szCs w:val="26"/>
        </w:rPr>
        <w:fldChar w:fldCharType="end"/>
      </w:r>
      <w:r w:rsidR="00F80A45" w:rsidRPr="0057700D">
        <w:rPr>
          <w:rFonts w:ascii="Century Schoolbook" w:eastAsia="Calibri" w:hAnsi="Century Schoolbook" w:cs="Times New Roman"/>
          <w:sz w:val="26"/>
          <w:szCs w:val="26"/>
        </w:rPr>
        <w:t xml:space="preserve">, the </w:t>
      </w:r>
      <w:r w:rsidR="005F6AFD" w:rsidRPr="0057700D">
        <w:rPr>
          <w:rFonts w:ascii="Century Schoolbook" w:eastAsia="Calibri" w:hAnsi="Century Schoolbook" w:cs="Times New Roman"/>
          <w:sz w:val="26"/>
          <w:szCs w:val="26"/>
        </w:rPr>
        <w:t>appropriate</w:t>
      </w:r>
      <w:r w:rsidR="00F80A45" w:rsidRPr="0057700D">
        <w:rPr>
          <w:rFonts w:ascii="Century Schoolbook" w:eastAsia="Calibri" w:hAnsi="Century Schoolbook" w:cs="Times New Roman"/>
          <w:sz w:val="26"/>
          <w:szCs w:val="26"/>
        </w:rPr>
        <w:t xml:space="preserve"> remedy in this case is to order the results of the illegal investigation suppressed and remand for further proceedings.  </w:t>
      </w:r>
      <w:r w:rsidR="00D132A1" w:rsidRPr="0057700D">
        <w:rPr>
          <w:rFonts w:ascii="Century Schoolbook" w:eastAsia="Calibri" w:hAnsi="Century Schoolbook" w:cs="Times New Roman"/>
          <w:sz w:val="26"/>
          <w:szCs w:val="26"/>
        </w:rPr>
        <w:t>Both the United States and North Carolina Constitutions require th</w:t>
      </w:r>
      <w:r w:rsidR="00F80A45" w:rsidRPr="0057700D">
        <w:rPr>
          <w:rFonts w:ascii="Century Schoolbook" w:eastAsia="Calibri" w:hAnsi="Century Schoolbook" w:cs="Times New Roman"/>
          <w:sz w:val="26"/>
          <w:szCs w:val="26"/>
        </w:rPr>
        <w:t>is remedy</w:t>
      </w:r>
      <w:r w:rsidR="00450453" w:rsidRPr="0057700D">
        <w:rPr>
          <w:rFonts w:ascii="Century Schoolbook" w:eastAsia="Calibri" w:hAnsi="Century Schoolbook" w:cs="Times New Roman"/>
          <w:sz w:val="26"/>
          <w:szCs w:val="26"/>
        </w:rPr>
        <w:t xml:space="preserve">, and Mr. Johnson respectfully </w:t>
      </w:r>
      <w:r w:rsidR="00D04662" w:rsidRPr="0057700D">
        <w:rPr>
          <w:rFonts w:ascii="Century Schoolbook" w:eastAsia="Calibri" w:hAnsi="Century Schoolbook" w:cs="Times New Roman"/>
          <w:sz w:val="26"/>
          <w:szCs w:val="26"/>
        </w:rPr>
        <w:t>asks the Court to grant it</w:t>
      </w:r>
      <w:r w:rsidR="00F80A45" w:rsidRPr="0057700D">
        <w:rPr>
          <w:rFonts w:ascii="Century Schoolbook" w:eastAsia="Calibri" w:hAnsi="Century Schoolbook" w:cs="Times New Roman"/>
          <w:sz w:val="26"/>
          <w:szCs w:val="26"/>
        </w:rPr>
        <w:t xml:space="preserve">. </w:t>
      </w:r>
    </w:p>
    <w:p w14:paraId="72CF3D84" w14:textId="1377E206" w:rsidR="00410CDD" w:rsidRPr="0057700D" w:rsidRDefault="00410CDD" w:rsidP="007B0F13">
      <w:pPr>
        <w:spacing w:after="0" w:line="240" w:lineRule="auto"/>
        <w:rPr>
          <w:rFonts w:ascii="Century Schoolbook" w:eastAsia="Times New Roman" w:hAnsi="Century Schoolbook" w:cs="Times New Roman"/>
          <w:sz w:val="26"/>
          <w:szCs w:val="26"/>
          <w:highlight w:val="yellow"/>
        </w:rPr>
      </w:pPr>
    </w:p>
    <w:p w14:paraId="1DF82AA5" w14:textId="77777777" w:rsidR="0090203B" w:rsidRPr="0057700D" w:rsidRDefault="0090203B" w:rsidP="007B0F13">
      <w:pPr>
        <w:spacing w:after="0" w:line="240" w:lineRule="auto"/>
        <w:ind w:firstLine="720"/>
        <w:rPr>
          <w:rFonts w:ascii="Century Schoolbook" w:eastAsia="Times New Roman" w:hAnsi="Century Schoolbook" w:cs="Times New Roman"/>
          <w:sz w:val="26"/>
          <w:szCs w:val="26"/>
        </w:rPr>
      </w:pPr>
    </w:p>
    <w:p w14:paraId="589B849F" w14:textId="3F78F267" w:rsidR="007B0F13" w:rsidRPr="0057700D" w:rsidRDefault="007B0F13" w:rsidP="007B0F13">
      <w:pPr>
        <w:spacing w:after="0" w:line="240" w:lineRule="auto"/>
        <w:ind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 xml:space="preserve">Respectfully submitted this </w:t>
      </w:r>
      <w:r w:rsidR="00B128F1" w:rsidRPr="0057700D">
        <w:rPr>
          <w:rFonts w:ascii="Century Schoolbook" w:eastAsia="Times New Roman" w:hAnsi="Century Schoolbook" w:cs="Times New Roman"/>
          <w:sz w:val="26"/>
          <w:szCs w:val="26"/>
        </w:rPr>
        <w:t>2n</w:t>
      </w:r>
      <w:r w:rsidR="00C8371A" w:rsidRPr="0057700D">
        <w:rPr>
          <w:rFonts w:ascii="Century Schoolbook" w:eastAsia="Times New Roman" w:hAnsi="Century Schoolbook" w:cs="Times New Roman"/>
          <w:sz w:val="26"/>
          <w:szCs w:val="26"/>
        </w:rPr>
        <w:t>d</w:t>
      </w:r>
      <w:r w:rsidRPr="0057700D">
        <w:rPr>
          <w:rFonts w:ascii="Century Schoolbook" w:eastAsia="Times New Roman" w:hAnsi="Century Schoolbook" w:cs="Times New Roman"/>
          <w:sz w:val="26"/>
          <w:szCs w:val="26"/>
        </w:rPr>
        <w:t xml:space="preserve"> day of </w:t>
      </w:r>
      <w:r w:rsidR="00B128F1" w:rsidRPr="0057700D">
        <w:rPr>
          <w:rFonts w:ascii="Century Schoolbook" w:eastAsia="Times New Roman" w:hAnsi="Century Schoolbook" w:cs="Times New Roman"/>
          <w:sz w:val="26"/>
          <w:szCs w:val="26"/>
        </w:rPr>
        <w:t>Febr</w:t>
      </w:r>
      <w:r w:rsidR="00C8371A" w:rsidRPr="0057700D">
        <w:rPr>
          <w:rFonts w:ascii="Century Schoolbook" w:eastAsia="Times New Roman" w:hAnsi="Century Schoolbook" w:cs="Times New Roman"/>
          <w:sz w:val="26"/>
          <w:szCs w:val="26"/>
        </w:rPr>
        <w:t>ua</w:t>
      </w:r>
      <w:r w:rsidRPr="0057700D">
        <w:rPr>
          <w:rFonts w:ascii="Century Schoolbook" w:eastAsia="Times New Roman" w:hAnsi="Century Schoolbook" w:cs="Times New Roman"/>
          <w:sz w:val="26"/>
          <w:szCs w:val="26"/>
        </w:rPr>
        <w:t>ry, 202</w:t>
      </w:r>
      <w:r w:rsidR="00C8371A" w:rsidRPr="0057700D">
        <w:rPr>
          <w:rFonts w:ascii="Century Schoolbook" w:eastAsia="Times New Roman" w:hAnsi="Century Schoolbook" w:cs="Times New Roman"/>
          <w:sz w:val="26"/>
          <w:szCs w:val="26"/>
        </w:rPr>
        <w:t>2</w:t>
      </w:r>
      <w:r w:rsidRPr="0057700D">
        <w:rPr>
          <w:rFonts w:ascii="Century Schoolbook" w:eastAsia="Times New Roman" w:hAnsi="Century Schoolbook" w:cs="Times New Roman"/>
          <w:sz w:val="26"/>
          <w:szCs w:val="26"/>
        </w:rPr>
        <w:t>.</w:t>
      </w:r>
    </w:p>
    <w:p w14:paraId="613BB4DB" w14:textId="77777777" w:rsidR="007B0F13" w:rsidRPr="0057700D" w:rsidRDefault="007B0F13" w:rsidP="007B0F13">
      <w:pPr>
        <w:spacing w:after="0" w:line="240" w:lineRule="auto"/>
        <w:rPr>
          <w:rFonts w:ascii="Century Schoolbook" w:eastAsia="Calibri" w:hAnsi="Century Schoolbook" w:cs="Times New Roman"/>
          <w:sz w:val="26"/>
          <w:szCs w:val="26"/>
        </w:rPr>
      </w:pPr>
    </w:p>
    <w:p w14:paraId="4A962161" w14:textId="77777777" w:rsidR="007B0F13" w:rsidRPr="0057700D" w:rsidRDefault="007B0F13" w:rsidP="007B0F13">
      <w:pPr>
        <w:spacing w:after="0" w:line="240" w:lineRule="auto"/>
        <w:rPr>
          <w:rFonts w:ascii="Century Schoolbook" w:eastAsia="Calibri" w:hAnsi="Century Schoolbook" w:cs="Times New Roman"/>
          <w:sz w:val="26"/>
          <w:szCs w:val="26"/>
        </w:rPr>
      </w:pPr>
    </w:p>
    <w:p w14:paraId="7C8B6EAF" w14:textId="77777777" w:rsidR="007B0F13" w:rsidRPr="0057700D" w:rsidRDefault="007B0F13" w:rsidP="007B0F13">
      <w:pPr>
        <w:spacing w:after="0" w:line="240" w:lineRule="auto"/>
        <w:ind w:left="3600" w:firstLine="720"/>
        <w:rPr>
          <w:rFonts w:ascii="Century Schoolbook" w:eastAsia="Times New Roman" w:hAnsi="Century Schoolbook" w:cs="Times New Roman"/>
          <w:sz w:val="26"/>
          <w:szCs w:val="26"/>
          <w:u w:val="single"/>
        </w:rPr>
      </w:pPr>
      <w:r w:rsidRPr="0057700D">
        <w:rPr>
          <w:rFonts w:ascii="Century Schoolbook" w:eastAsia="Times New Roman" w:hAnsi="Century Schoolbook" w:cs="Times New Roman"/>
          <w:sz w:val="26"/>
          <w:szCs w:val="26"/>
          <w:u w:val="single"/>
        </w:rPr>
        <w:t xml:space="preserve">Electronically submitted        </w:t>
      </w:r>
    </w:p>
    <w:p w14:paraId="0C2237B9" w14:textId="77777777" w:rsidR="007B0F13" w:rsidRPr="0057700D" w:rsidRDefault="007B0F13" w:rsidP="007B0F13">
      <w:pPr>
        <w:spacing w:after="0" w:line="240" w:lineRule="auto"/>
        <w:ind w:left="3600"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Kathryn L. VandenBerg</w:t>
      </w:r>
      <w:r w:rsidRPr="0057700D">
        <w:rPr>
          <w:rFonts w:ascii="Century Schoolbook" w:eastAsia="Times New Roman" w:hAnsi="Century Schoolbook" w:cs="Times New Roman"/>
          <w:sz w:val="26"/>
          <w:szCs w:val="26"/>
        </w:rPr>
        <w:tab/>
      </w:r>
    </w:p>
    <w:p w14:paraId="17C06955" w14:textId="77777777" w:rsidR="007B0F13" w:rsidRPr="0057700D" w:rsidRDefault="007B0F13" w:rsidP="007B0F13">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Assistant Appellate Defender </w:t>
      </w:r>
    </w:p>
    <w:p w14:paraId="4B95B367" w14:textId="77777777" w:rsidR="007B0F13" w:rsidRPr="0057700D" w:rsidRDefault="007B0F13" w:rsidP="007B0F13">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N.C. State Bar No. 18020</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Kathryn.L.VandenBerg@nccourts.org  </w:t>
      </w:r>
    </w:p>
    <w:p w14:paraId="491041DF" w14:textId="77777777" w:rsidR="007B0F13" w:rsidRPr="0057700D" w:rsidRDefault="007B0F13" w:rsidP="007B0F13">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 xml:space="preserve"> </w:t>
      </w:r>
      <w:r w:rsidRPr="0057700D">
        <w:rPr>
          <w:rFonts w:ascii="Century Schoolbook" w:eastAsia="Times New Roman" w:hAnsi="Century Schoolbook" w:cs="Times New Roman"/>
          <w:sz w:val="26"/>
          <w:szCs w:val="26"/>
        </w:rPr>
        <w:tab/>
        <w:t>(919) 354-7210</w:t>
      </w:r>
    </w:p>
    <w:p w14:paraId="0FBBDE7B" w14:textId="77777777" w:rsidR="007B0F13" w:rsidRPr="0057700D" w:rsidRDefault="007B0F13" w:rsidP="007B0F13">
      <w:pPr>
        <w:spacing w:after="0" w:line="240" w:lineRule="auto"/>
        <w:ind w:left="3600" w:firstLine="720"/>
        <w:rPr>
          <w:rFonts w:ascii="Century Schoolbook" w:eastAsia="Times New Roman" w:hAnsi="Century Schoolbook" w:cs="Times New Roman"/>
          <w:sz w:val="26"/>
          <w:szCs w:val="26"/>
        </w:rPr>
      </w:pPr>
    </w:p>
    <w:p w14:paraId="3552DFB0" w14:textId="77777777" w:rsidR="007B0F13" w:rsidRPr="0057700D" w:rsidRDefault="007B0F13" w:rsidP="007B0F13">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t>Glenn Gerding</w:t>
      </w:r>
    </w:p>
    <w:p w14:paraId="475C35F5" w14:textId="77777777" w:rsidR="007B0F13" w:rsidRPr="0057700D" w:rsidRDefault="007B0F13" w:rsidP="007B0F13">
      <w:pPr>
        <w:spacing w:after="0" w:line="240" w:lineRule="auto"/>
        <w:ind w:left="3600"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Appellate Defender</w:t>
      </w:r>
    </w:p>
    <w:p w14:paraId="378EDBBC" w14:textId="77777777" w:rsidR="007B0F13" w:rsidRPr="0057700D" w:rsidRDefault="007B0F13" w:rsidP="007B0F13">
      <w:pPr>
        <w:spacing w:after="0" w:line="240" w:lineRule="auto"/>
        <w:ind w:left="3600"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N.C. State Bar No. 23124</w:t>
      </w:r>
    </w:p>
    <w:p w14:paraId="7E908C11" w14:textId="77777777" w:rsidR="007B0F13" w:rsidRPr="0057700D" w:rsidRDefault="007B0F13" w:rsidP="007B0F13">
      <w:pPr>
        <w:spacing w:after="0" w:line="240" w:lineRule="auto"/>
        <w:ind w:left="3600"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Office of the Appellate Defender</w:t>
      </w:r>
    </w:p>
    <w:p w14:paraId="0A5A610A" w14:textId="77777777" w:rsidR="007B0F13" w:rsidRPr="0057700D" w:rsidRDefault="007B0F13" w:rsidP="007B0F13">
      <w:pPr>
        <w:spacing w:after="0" w:line="240" w:lineRule="auto"/>
        <w:ind w:left="3600"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123 West Main Street, Suite 500</w:t>
      </w:r>
    </w:p>
    <w:p w14:paraId="48496FA9" w14:textId="77777777" w:rsidR="007B0F13" w:rsidRPr="0057700D" w:rsidRDefault="007B0F13" w:rsidP="007B0F13">
      <w:pPr>
        <w:spacing w:after="0" w:line="240" w:lineRule="auto"/>
        <w:ind w:left="3600"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Durham, North Carolina 27701</w:t>
      </w:r>
    </w:p>
    <w:p w14:paraId="444D749F" w14:textId="77777777" w:rsidR="007B0F13" w:rsidRPr="0057700D" w:rsidRDefault="007B0F13" w:rsidP="007B0F13">
      <w:pPr>
        <w:spacing w:after="0" w:line="240" w:lineRule="auto"/>
        <w:ind w:left="3600"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(919) 354-7210</w:t>
      </w:r>
    </w:p>
    <w:p w14:paraId="6A7FC383" w14:textId="77777777" w:rsidR="007B0F13" w:rsidRPr="0057700D" w:rsidRDefault="007B0F13" w:rsidP="007B0F13">
      <w:pPr>
        <w:spacing w:after="0" w:line="240" w:lineRule="auto"/>
        <w:rPr>
          <w:rFonts w:ascii="Century Schoolbook" w:eastAsia="Times New Roman" w:hAnsi="Century Schoolbook" w:cs="Times New Roman"/>
          <w:sz w:val="26"/>
          <w:szCs w:val="26"/>
        </w:rPr>
      </w:pPr>
    </w:p>
    <w:p w14:paraId="427C6AEE" w14:textId="27F35274" w:rsidR="007B0F13" w:rsidRPr="0057700D" w:rsidRDefault="007B0F13" w:rsidP="00DF5938">
      <w:pPr>
        <w:spacing w:after="0" w:line="240" w:lineRule="auto"/>
        <w:ind w:left="43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 xml:space="preserve">ATTORNEYS FOR </w:t>
      </w:r>
      <w:r w:rsidR="00DF5938" w:rsidRPr="0057700D">
        <w:rPr>
          <w:rFonts w:ascii="Century Schoolbook" w:eastAsia="Times New Roman" w:hAnsi="Century Schoolbook" w:cs="Times New Roman"/>
          <w:sz w:val="26"/>
          <w:szCs w:val="26"/>
        </w:rPr>
        <w:t>DEFENDANT</w:t>
      </w:r>
    </w:p>
    <w:p w14:paraId="3A1F0D58" w14:textId="77777777" w:rsidR="007B0F13" w:rsidRPr="0057700D" w:rsidRDefault="007B0F13" w:rsidP="007B0F13">
      <w:pPr>
        <w:spacing w:after="0" w:line="240" w:lineRule="auto"/>
        <w:ind w:left="3600" w:firstLine="720"/>
        <w:rPr>
          <w:rFonts w:ascii="Century Schoolbook" w:eastAsia="Times New Roman" w:hAnsi="Century Schoolbook" w:cs="Times New Roman"/>
          <w:sz w:val="26"/>
          <w:szCs w:val="26"/>
        </w:rPr>
      </w:pPr>
    </w:p>
    <w:p w14:paraId="62386087" w14:textId="77777777" w:rsidR="007B0F13" w:rsidRPr="0057700D" w:rsidRDefault="007B0F13" w:rsidP="007B0F13">
      <w:pPr>
        <w:spacing w:after="0" w:line="240" w:lineRule="auto"/>
        <w:jc w:val="center"/>
        <w:rPr>
          <w:rFonts w:ascii="Century Schoolbook" w:eastAsia="Calibri" w:hAnsi="Century Schoolbook" w:cs="Times New Roman"/>
          <w:b/>
          <w:bCs/>
          <w:sz w:val="26"/>
          <w:szCs w:val="26"/>
          <w:u w:val="single"/>
        </w:rPr>
      </w:pPr>
    </w:p>
    <w:p w14:paraId="27DC0704" w14:textId="77777777" w:rsidR="007B0F13" w:rsidRPr="0057700D" w:rsidRDefault="007B0F13" w:rsidP="007B0F13">
      <w:pPr>
        <w:spacing w:after="0" w:line="240" w:lineRule="auto"/>
        <w:jc w:val="center"/>
        <w:rPr>
          <w:rFonts w:ascii="Century Schoolbook" w:eastAsia="Calibri" w:hAnsi="Century Schoolbook" w:cs="Times New Roman"/>
          <w:b/>
          <w:bCs/>
          <w:sz w:val="26"/>
          <w:szCs w:val="26"/>
          <w:u w:val="single"/>
        </w:rPr>
      </w:pPr>
      <w:r w:rsidRPr="0057700D">
        <w:rPr>
          <w:rFonts w:ascii="Century Schoolbook" w:eastAsia="Calibri" w:hAnsi="Century Schoolbook" w:cs="Times New Roman"/>
          <w:b/>
          <w:bCs/>
          <w:sz w:val="26"/>
          <w:szCs w:val="26"/>
          <w:u w:val="single"/>
        </w:rPr>
        <w:t>CERTIFICATE OF SERVICE</w:t>
      </w:r>
    </w:p>
    <w:p w14:paraId="3F05F47A" w14:textId="77777777" w:rsidR="007B0F13" w:rsidRPr="0057700D" w:rsidRDefault="007B0F13" w:rsidP="007B0F13">
      <w:pPr>
        <w:spacing w:after="0" w:line="240" w:lineRule="auto"/>
        <w:jc w:val="center"/>
        <w:rPr>
          <w:rFonts w:ascii="Century Schoolbook" w:eastAsia="Calibri" w:hAnsi="Century Schoolbook" w:cs="Times New Roman"/>
          <w:b/>
          <w:bCs/>
          <w:sz w:val="26"/>
          <w:szCs w:val="26"/>
          <w:u w:val="single"/>
        </w:rPr>
      </w:pPr>
    </w:p>
    <w:p w14:paraId="6280C5DC" w14:textId="38E510B6" w:rsidR="007B0F13" w:rsidRPr="0057700D" w:rsidRDefault="007B0F13" w:rsidP="007B0F13">
      <w:pPr>
        <w:spacing w:after="0" w:line="480" w:lineRule="auto"/>
        <w:ind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 xml:space="preserve">I certify this </w:t>
      </w:r>
      <w:r w:rsidR="00C8371A" w:rsidRPr="0057700D">
        <w:rPr>
          <w:rFonts w:ascii="Century Schoolbook" w:eastAsia="Times New Roman" w:hAnsi="Century Schoolbook" w:cs="Times New Roman"/>
          <w:sz w:val="26"/>
          <w:szCs w:val="26"/>
        </w:rPr>
        <w:t>Brief</w:t>
      </w:r>
      <w:r w:rsidRPr="0057700D">
        <w:rPr>
          <w:rFonts w:ascii="Century Schoolbook" w:eastAsia="Times New Roman" w:hAnsi="Century Schoolbook" w:cs="Times New Roman"/>
          <w:sz w:val="26"/>
          <w:szCs w:val="26"/>
        </w:rPr>
        <w:t xml:space="preserve"> has been served by e-mail to the attorney listed below:  </w:t>
      </w:r>
    </w:p>
    <w:p w14:paraId="01336516" w14:textId="77777777" w:rsidR="007B0F13" w:rsidRPr="0057700D" w:rsidRDefault="007B0F13" w:rsidP="007B0F13">
      <w:pPr>
        <w:spacing w:after="0" w:line="240" w:lineRule="auto"/>
        <w:ind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 xml:space="preserve">Matthew Tulchin   </w:t>
      </w:r>
    </w:p>
    <w:p w14:paraId="2BB9C081" w14:textId="77777777" w:rsidR="007B0F13" w:rsidRPr="0057700D" w:rsidRDefault="007B0F13" w:rsidP="007B0F13">
      <w:pPr>
        <w:spacing w:after="0" w:line="240" w:lineRule="auto"/>
        <w:ind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Special Deputy Attorney General</w:t>
      </w:r>
    </w:p>
    <w:p w14:paraId="101AE198" w14:textId="77777777" w:rsidR="007B0F13" w:rsidRPr="0057700D" w:rsidRDefault="007B0F13" w:rsidP="007B0F13">
      <w:pPr>
        <w:spacing w:after="0" w:line="240" w:lineRule="auto"/>
        <w:rPr>
          <w:rFonts w:ascii="Century Schoolbook" w:eastAsia="Times New Roman" w:hAnsi="Century Schoolbook" w:cs="Times New Roman"/>
          <w:sz w:val="26"/>
          <w:szCs w:val="26"/>
        </w:rPr>
      </w:pPr>
    </w:p>
    <w:p w14:paraId="724D4331" w14:textId="77777777" w:rsidR="007B0F13" w:rsidRPr="0057700D" w:rsidRDefault="007B0F13" w:rsidP="007B0F13">
      <w:pPr>
        <w:spacing w:after="0" w:line="240" w:lineRule="auto"/>
        <w:ind w:firstLine="720"/>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mtulchin@ncdoj.gov</w:t>
      </w:r>
    </w:p>
    <w:p w14:paraId="1917B57D" w14:textId="77777777" w:rsidR="007B0F13" w:rsidRPr="0057700D" w:rsidRDefault="007B0F13" w:rsidP="007B0F13">
      <w:pPr>
        <w:tabs>
          <w:tab w:val="right" w:pos="9360"/>
        </w:tabs>
        <w:spacing w:after="0" w:line="240" w:lineRule="auto"/>
        <w:ind w:firstLine="720"/>
        <w:jc w:val="center"/>
        <w:rPr>
          <w:rFonts w:ascii="Century Schoolbook" w:eastAsia="Times New Roman" w:hAnsi="Century Schoolbook" w:cs="Times New Roman"/>
          <w:sz w:val="26"/>
          <w:szCs w:val="26"/>
        </w:rPr>
      </w:pPr>
    </w:p>
    <w:p w14:paraId="3D9A2FE3" w14:textId="77777777" w:rsidR="007B0F13" w:rsidRPr="0057700D" w:rsidRDefault="007B0F13" w:rsidP="007B0F13">
      <w:pPr>
        <w:spacing w:after="0" w:line="240" w:lineRule="auto"/>
        <w:rPr>
          <w:rFonts w:ascii="Century Schoolbook" w:eastAsia="Times New Roman" w:hAnsi="Century Schoolbook" w:cs="Times New Roman"/>
          <w:sz w:val="26"/>
          <w:szCs w:val="26"/>
        </w:rPr>
      </w:pPr>
    </w:p>
    <w:p w14:paraId="5F2BE923" w14:textId="2E6C3818" w:rsidR="007B0F13" w:rsidRPr="0057700D" w:rsidRDefault="007B0F13" w:rsidP="007B0F13">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ab/>
        <w:t xml:space="preserve">This </w:t>
      </w:r>
      <w:r w:rsidR="00B128F1" w:rsidRPr="0057700D">
        <w:rPr>
          <w:rFonts w:ascii="Century Schoolbook" w:eastAsia="Times New Roman" w:hAnsi="Century Schoolbook" w:cs="Times New Roman"/>
          <w:sz w:val="26"/>
          <w:szCs w:val="26"/>
        </w:rPr>
        <w:t>2n</w:t>
      </w:r>
      <w:r w:rsidR="00C8371A" w:rsidRPr="0057700D">
        <w:rPr>
          <w:rFonts w:ascii="Century Schoolbook" w:eastAsia="Times New Roman" w:hAnsi="Century Schoolbook" w:cs="Times New Roman"/>
          <w:sz w:val="26"/>
          <w:szCs w:val="26"/>
        </w:rPr>
        <w:t>d</w:t>
      </w:r>
      <w:r w:rsidRPr="0057700D">
        <w:rPr>
          <w:rFonts w:ascii="Century Schoolbook" w:eastAsia="Times New Roman" w:hAnsi="Century Schoolbook" w:cs="Times New Roman"/>
          <w:sz w:val="26"/>
          <w:szCs w:val="26"/>
        </w:rPr>
        <w:t xml:space="preserve"> day of </w:t>
      </w:r>
      <w:r w:rsidR="00B128F1" w:rsidRPr="0057700D">
        <w:rPr>
          <w:rFonts w:ascii="Century Schoolbook" w:eastAsia="Times New Roman" w:hAnsi="Century Schoolbook" w:cs="Times New Roman"/>
          <w:sz w:val="26"/>
          <w:szCs w:val="26"/>
        </w:rPr>
        <w:t>Febr</w:t>
      </w:r>
      <w:r w:rsidRPr="0057700D">
        <w:rPr>
          <w:rFonts w:ascii="Century Schoolbook" w:eastAsia="Times New Roman" w:hAnsi="Century Schoolbook" w:cs="Times New Roman"/>
          <w:sz w:val="26"/>
          <w:szCs w:val="26"/>
        </w:rPr>
        <w:t>uary, 202</w:t>
      </w:r>
      <w:r w:rsidR="00C8371A" w:rsidRPr="0057700D">
        <w:rPr>
          <w:rFonts w:ascii="Century Schoolbook" w:eastAsia="Times New Roman" w:hAnsi="Century Schoolbook" w:cs="Times New Roman"/>
          <w:sz w:val="26"/>
          <w:szCs w:val="26"/>
        </w:rPr>
        <w:t>2</w:t>
      </w:r>
      <w:r w:rsidRPr="0057700D">
        <w:rPr>
          <w:rFonts w:ascii="Century Schoolbook" w:eastAsia="Times New Roman" w:hAnsi="Century Schoolbook" w:cs="Times New Roman"/>
          <w:sz w:val="26"/>
          <w:szCs w:val="26"/>
        </w:rPr>
        <w:t>.</w:t>
      </w:r>
    </w:p>
    <w:p w14:paraId="329BBD1B" w14:textId="77777777" w:rsidR="007B0F13" w:rsidRPr="0057700D" w:rsidRDefault="007B0F13" w:rsidP="007B0F13">
      <w:pPr>
        <w:spacing w:after="0" w:line="240" w:lineRule="auto"/>
        <w:rPr>
          <w:rFonts w:ascii="Century Schoolbook" w:eastAsia="Times New Roman" w:hAnsi="Century Schoolbook" w:cs="Times New Roman"/>
          <w:sz w:val="26"/>
          <w:szCs w:val="26"/>
        </w:rPr>
      </w:pPr>
    </w:p>
    <w:p w14:paraId="1BB28309" w14:textId="77777777" w:rsidR="007B0F13" w:rsidRPr="0057700D" w:rsidRDefault="007B0F13" w:rsidP="007B0F13">
      <w:pPr>
        <w:spacing w:after="0" w:line="240" w:lineRule="auto"/>
        <w:rPr>
          <w:rFonts w:ascii="Century Schoolbook" w:eastAsia="Times New Roman" w:hAnsi="Century Schoolbook" w:cs="Times New Roman"/>
          <w:sz w:val="26"/>
          <w:szCs w:val="26"/>
        </w:rPr>
      </w:pPr>
    </w:p>
    <w:p w14:paraId="2A59BC06" w14:textId="77777777" w:rsidR="007B0F13" w:rsidRPr="0057700D" w:rsidRDefault="007B0F13" w:rsidP="007B0F13">
      <w:pPr>
        <w:spacing w:after="0" w:line="240" w:lineRule="auto"/>
        <w:rPr>
          <w:rFonts w:ascii="Century Schoolbook" w:eastAsia="Times New Roman" w:hAnsi="Century Schoolbook" w:cs="Times New Roman"/>
          <w:sz w:val="26"/>
          <w:szCs w:val="26"/>
          <w:u w:val="single"/>
        </w:rPr>
      </w:pP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u w:val="single"/>
        </w:rPr>
        <w:t>Electronically submitted</w:t>
      </w:r>
    </w:p>
    <w:p w14:paraId="11D8E0C9" w14:textId="440E75C9" w:rsidR="008A55E3" w:rsidRPr="0057700D" w:rsidRDefault="007B0F13" w:rsidP="005F4696">
      <w:pPr>
        <w:spacing w:after="0" w:line="240" w:lineRule="auto"/>
        <w:rPr>
          <w:rFonts w:ascii="Century Schoolbook" w:eastAsia="Times New Roman" w:hAnsi="Century Schoolbook" w:cs="Times New Roman"/>
          <w:sz w:val="26"/>
          <w:szCs w:val="26"/>
        </w:rPr>
      </w:pP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r>
      <w:r w:rsidRPr="0057700D">
        <w:rPr>
          <w:rFonts w:ascii="Century Schoolbook" w:eastAsia="Times New Roman" w:hAnsi="Century Schoolbook" w:cs="Times New Roman"/>
          <w:sz w:val="26"/>
          <w:szCs w:val="26"/>
        </w:rPr>
        <w:tab/>
        <w:t>Kathryn L. VandenBe</w:t>
      </w:r>
      <w:r w:rsidR="00FA2DAF" w:rsidRPr="0057700D">
        <w:rPr>
          <w:rFonts w:ascii="Century Schoolbook" w:eastAsia="Times New Roman" w:hAnsi="Century Schoolbook" w:cs="Times New Roman"/>
          <w:sz w:val="26"/>
          <w:szCs w:val="26"/>
        </w:rPr>
        <w:t>rg</w:t>
      </w:r>
    </w:p>
    <w:sectPr w:rsidR="008A55E3" w:rsidRPr="0057700D" w:rsidSect="006E2296">
      <w:headerReference w:type="default" r:id="rId17"/>
      <w:head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287D" w14:textId="77777777" w:rsidR="00D42D79" w:rsidRDefault="00D42D79" w:rsidP="007B0F13">
      <w:pPr>
        <w:spacing w:after="0" w:line="240" w:lineRule="auto"/>
      </w:pPr>
      <w:r>
        <w:separator/>
      </w:r>
    </w:p>
  </w:endnote>
  <w:endnote w:type="continuationSeparator" w:id="0">
    <w:p w14:paraId="0092AA5E" w14:textId="77777777" w:rsidR="00D42D79" w:rsidRDefault="00D42D79" w:rsidP="007B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07D1" w14:textId="77777777" w:rsidR="007B0F13" w:rsidRDefault="007B0F13">
    <w:pPr>
      <w:pStyle w:val="Footer"/>
    </w:pPr>
  </w:p>
  <w:p w14:paraId="317197F8" w14:textId="77777777" w:rsidR="007B0F13" w:rsidRDefault="007B0F13">
    <w:pPr>
      <w:pStyle w:val="Footer"/>
    </w:pPr>
  </w:p>
  <w:p w14:paraId="6DDFE407" w14:textId="77777777" w:rsidR="007B0F13" w:rsidRDefault="007B0F13">
    <w:pPr>
      <w:pStyle w:val="Footer"/>
    </w:pPr>
  </w:p>
  <w:p w14:paraId="413BBFB4" w14:textId="77777777" w:rsidR="007B0F13" w:rsidRDefault="007B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9308" w14:textId="77777777" w:rsidR="00D42D79" w:rsidRDefault="00D42D79" w:rsidP="007B0F13">
      <w:pPr>
        <w:spacing w:after="0" w:line="240" w:lineRule="auto"/>
      </w:pPr>
      <w:r>
        <w:separator/>
      </w:r>
    </w:p>
  </w:footnote>
  <w:footnote w:type="continuationSeparator" w:id="0">
    <w:p w14:paraId="73977F80" w14:textId="77777777" w:rsidR="00D42D79" w:rsidRDefault="00D42D79" w:rsidP="007B0F13">
      <w:pPr>
        <w:spacing w:after="0" w:line="240" w:lineRule="auto"/>
      </w:pPr>
      <w:r>
        <w:continuationSeparator/>
      </w:r>
    </w:p>
  </w:footnote>
  <w:footnote w:id="1">
    <w:p w14:paraId="4041B0AE" w14:textId="671DF4C2" w:rsidR="00AB221E" w:rsidRDefault="00AB221E" w:rsidP="00AB221E">
      <w:pPr>
        <w:pStyle w:val="FootnoteText"/>
        <w:rPr>
          <w:rFonts w:ascii="Century Schoolbook" w:hAnsi="Century Schoolbook"/>
          <w:sz w:val="24"/>
          <w:szCs w:val="24"/>
        </w:rPr>
      </w:pPr>
      <w:r w:rsidRPr="00331223">
        <w:rPr>
          <w:rStyle w:val="FootnoteReference"/>
          <w:rFonts w:ascii="Century Schoolbook" w:hAnsi="Century Schoolbook"/>
          <w:sz w:val="24"/>
          <w:szCs w:val="24"/>
        </w:rPr>
        <w:footnoteRef/>
      </w:r>
      <w:r w:rsidRPr="00331223">
        <w:rPr>
          <w:rFonts w:ascii="Century Schoolbook" w:hAnsi="Century Schoolbook"/>
          <w:sz w:val="24"/>
          <w:szCs w:val="24"/>
        </w:rPr>
        <w:t xml:space="preserve">   Mr. Johnson did not challenge the Fourth Amendment ruling on appeal.</w:t>
      </w:r>
    </w:p>
    <w:p w14:paraId="3323D841" w14:textId="77777777" w:rsidR="00AB221E" w:rsidRPr="00331223" w:rsidRDefault="00AB221E" w:rsidP="00AB221E">
      <w:pPr>
        <w:pStyle w:val="FootnoteText"/>
        <w:rPr>
          <w:rFonts w:ascii="Century Schoolbook" w:hAnsi="Century Schoolbook"/>
          <w:sz w:val="24"/>
          <w:szCs w:val="24"/>
        </w:rPr>
      </w:pPr>
    </w:p>
  </w:footnote>
  <w:footnote w:id="2">
    <w:p w14:paraId="432E5C96" w14:textId="77777777" w:rsidR="00E0102D" w:rsidRPr="006C2659" w:rsidRDefault="00E0102D" w:rsidP="00E0102D">
      <w:pPr>
        <w:pStyle w:val="FootnoteText"/>
        <w:rPr>
          <w:rFonts w:ascii="Century Schoolbook" w:hAnsi="Century Schoolbook"/>
          <w:sz w:val="24"/>
          <w:szCs w:val="24"/>
        </w:rPr>
      </w:pPr>
      <w:r w:rsidRPr="006C2659">
        <w:rPr>
          <w:rStyle w:val="FootnoteReference"/>
          <w:rFonts w:ascii="Century Schoolbook" w:hAnsi="Century Schoolbook"/>
          <w:sz w:val="24"/>
          <w:szCs w:val="24"/>
        </w:rPr>
        <w:footnoteRef/>
      </w:r>
      <w:r w:rsidRPr="006C2659">
        <w:rPr>
          <w:rFonts w:ascii="Century Schoolbook" w:hAnsi="Century Schoolbook"/>
          <w:sz w:val="24"/>
          <w:szCs w:val="24"/>
        </w:rPr>
        <w:t xml:space="preserve">   Transcript cites refer to the September 5, 2018 suppression hearing</w:t>
      </w:r>
      <w:r w:rsidRPr="0007043E">
        <w:rPr>
          <w:rFonts w:ascii="Century Schoolbook" w:hAnsi="Century Schoolbook"/>
          <w:sz w:val="24"/>
          <w:szCs w:val="24"/>
        </w:rPr>
        <w:t>,</w:t>
      </w:r>
      <w:r w:rsidRPr="006C2659">
        <w:rPr>
          <w:rFonts w:ascii="Century Schoolbook" w:hAnsi="Century Schoolbook"/>
          <w:sz w:val="24"/>
          <w:szCs w:val="24"/>
        </w:rPr>
        <w:t xml:space="preserve"> unless otherwise noted.</w:t>
      </w:r>
    </w:p>
  </w:footnote>
  <w:footnote w:id="3">
    <w:p w14:paraId="3F2A8F4F" w14:textId="205264FE" w:rsidR="0033793E" w:rsidRPr="00363826" w:rsidRDefault="0033793E" w:rsidP="0033793E">
      <w:pPr>
        <w:pStyle w:val="FootnoteText"/>
        <w:rPr>
          <w:rFonts w:ascii="Century Schoolbook" w:hAnsi="Century Schoolbook"/>
          <w:sz w:val="24"/>
          <w:szCs w:val="24"/>
        </w:rPr>
      </w:pPr>
      <w:r w:rsidRPr="00363826">
        <w:rPr>
          <w:rStyle w:val="FootnoteReference"/>
          <w:rFonts w:ascii="Century Schoolbook" w:hAnsi="Century Schoolbook"/>
          <w:sz w:val="24"/>
          <w:szCs w:val="24"/>
        </w:rPr>
        <w:footnoteRef/>
      </w:r>
      <w:r w:rsidRPr="00363826">
        <w:rPr>
          <w:rFonts w:ascii="Century Schoolbook" w:hAnsi="Century Schoolbook"/>
          <w:sz w:val="24"/>
          <w:szCs w:val="24"/>
        </w:rPr>
        <w:t xml:space="preserve">  </w:t>
      </w:r>
      <w:r w:rsidR="00281CFD">
        <w:rPr>
          <w:rFonts w:ascii="Century Schoolbook" w:hAnsi="Century Schoolbook"/>
          <w:sz w:val="24"/>
          <w:szCs w:val="24"/>
        </w:rPr>
        <w:t xml:space="preserve"> </w:t>
      </w:r>
      <w:r>
        <w:rPr>
          <w:rFonts w:ascii="Century Schoolbook" w:hAnsi="Century Schoolbook"/>
          <w:sz w:val="24"/>
          <w:szCs w:val="24"/>
        </w:rPr>
        <w:t xml:space="preserve">The record does not say exactly where the marijuana was found.  </w:t>
      </w:r>
    </w:p>
    <w:p w14:paraId="5EC8A2F0" w14:textId="77777777" w:rsidR="0033793E" w:rsidRPr="00363826" w:rsidRDefault="0033793E" w:rsidP="0033793E">
      <w:pPr>
        <w:pStyle w:val="FootnoteText"/>
        <w:rPr>
          <w:rFonts w:ascii="Century Schoolbook" w:hAnsi="Century Schoolbook"/>
          <w:sz w:val="24"/>
          <w:szCs w:val="24"/>
        </w:rPr>
      </w:pPr>
    </w:p>
  </w:footnote>
  <w:footnote w:id="4">
    <w:p w14:paraId="168DBE0B" w14:textId="77777777" w:rsidR="007B0F13" w:rsidRPr="007301A9" w:rsidRDefault="007B0F13" w:rsidP="007B0F13">
      <w:pPr>
        <w:pStyle w:val="FootnoteText"/>
        <w:rPr>
          <w:rFonts w:ascii="Century Schoolbook" w:hAnsi="Century Schoolbook"/>
          <w:sz w:val="24"/>
          <w:szCs w:val="24"/>
        </w:rPr>
      </w:pPr>
      <w:r w:rsidRPr="007301A9">
        <w:rPr>
          <w:rStyle w:val="FootnoteReference"/>
          <w:rFonts w:ascii="Century Schoolbook" w:hAnsi="Century Schoolbook"/>
          <w:sz w:val="24"/>
          <w:szCs w:val="24"/>
        </w:rPr>
        <w:footnoteRef/>
      </w:r>
      <w:r w:rsidRPr="007301A9">
        <w:rPr>
          <w:rFonts w:ascii="Century Schoolbook" w:hAnsi="Century Schoolbook"/>
          <w:sz w:val="24"/>
          <w:szCs w:val="24"/>
        </w:rPr>
        <w:t xml:space="preserve">  </w:t>
      </w:r>
      <w:r>
        <w:rPr>
          <w:rFonts w:ascii="Century Schoolbook" w:hAnsi="Century Schoolbook"/>
          <w:sz w:val="24"/>
          <w:szCs w:val="24"/>
        </w:rPr>
        <w:t xml:space="preserve"> A</w:t>
      </w:r>
      <w:r w:rsidRPr="007301A9">
        <w:rPr>
          <w:rFonts w:ascii="Century Schoolbook" w:hAnsi="Century Schoolbook"/>
          <w:sz w:val="24"/>
          <w:szCs w:val="24"/>
        </w:rPr>
        <w:t>n officer is to record the geographic location of each traffic stop only by the “city or county in which the stop was made.”  N.C.G.S. § 143B-903(a)(15)</w:t>
      </w:r>
      <w:r>
        <w:rPr>
          <w:rFonts w:ascii="Century Schoolbook" w:hAnsi="Century Schoolbook"/>
          <w:sz w:val="24"/>
          <w:szCs w:val="24"/>
        </w:rPr>
        <w:fldChar w:fldCharType="begin"/>
      </w:r>
      <w:r>
        <w:instrText xml:space="preserve"> TA \l "</w:instrText>
      </w:r>
      <w:r w:rsidRPr="00A63E48">
        <w:rPr>
          <w:rFonts w:ascii="Century Schoolbook" w:hAnsi="Century Schoolbook"/>
          <w:sz w:val="24"/>
          <w:szCs w:val="24"/>
        </w:rPr>
        <w:instrText>N.C.G.S. § 143B-903(a)(15)</w:instrText>
      </w:r>
      <w:r>
        <w:instrText xml:space="preserve">" \s "N.C.G.S. § 143B-903(a)(15)" \c 2 </w:instrText>
      </w:r>
      <w:r>
        <w:rPr>
          <w:rFonts w:ascii="Century Schoolbook" w:hAnsi="Century Schoolbook"/>
          <w:sz w:val="24"/>
          <w:szCs w:val="24"/>
        </w:rPr>
        <w:fldChar w:fldCharType="end"/>
      </w:r>
      <w:r w:rsidRPr="007301A9">
        <w:rPr>
          <w:rFonts w:ascii="Century Schoolbook" w:hAnsi="Century Schoolbook"/>
          <w:sz w:val="24"/>
          <w:szCs w:val="24"/>
        </w:rPr>
        <w:t xml:space="preserve">.  </w:t>
      </w:r>
    </w:p>
  </w:footnote>
  <w:footnote w:id="5">
    <w:p w14:paraId="1E88A70C" w14:textId="546AF19D" w:rsidR="00C155F6" w:rsidRDefault="00C155F6" w:rsidP="00C155F6">
      <w:pPr>
        <w:pStyle w:val="FootnoteText"/>
        <w:rPr>
          <w:rFonts w:ascii="Century Schoolbook" w:eastAsia="Calibri" w:hAnsi="Century Schoolbook"/>
          <w:sz w:val="24"/>
          <w:szCs w:val="24"/>
        </w:rPr>
      </w:pPr>
      <w:r w:rsidRPr="002E4BCB">
        <w:rPr>
          <w:rStyle w:val="FootnoteReference"/>
          <w:rFonts w:ascii="Century Schoolbook" w:hAnsi="Century Schoolbook"/>
          <w:sz w:val="24"/>
          <w:szCs w:val="24"/>
        </w:rPr>
        <w:footnoteRef/>
      </w:r>
      <w:r w:rsidRPr="002E4BCB">
        <w:rPr>
          <w:rFonts w:ascii="Century Schoolbook" w:hAnsi="Century Schoolbook"/>
          <w:sz w:val="24"/>
          <w:szCs w:val="24"/>
        </w:rPr>
        <w:t xml:space="preserve">   In proceedings below, Mr. Johnson also argued</w:t>
      </w:r>
      <w:r w:rsidR="00142E7D">
        <w:rPr>
          <w:rFonts w:ascii="Century Schoolbook" w:hAnsi="Century Schoolbook"/>
          <w:sz w:val="24"/>
          <w:szCs w:val="24"/>
        </w:rPr>
        <w:t>,</w:t>
      </w:r>
      <w:r w:rsidRPr="002E4BCB">
        <w:rPr>
          <w:rFonts w:ascii="Century Schoolbook" w:hAnsi="Century Schoolbook"/>
          <w:sz w:val="24"/>
          <w:szCs w:val="24"/>
        </w:rPr>
        <w:t xml:space="preserve"> in the alternative</w:t>
      </w:r>
      <w:r w:rsidR="00142E7D">
        <w:rPr>
          <w:rFonts w:ascii="Century Schoolbook" w:hAnsi="Century Schoolbook"/>
          <w:sz w:val="24"/>
          <w:szCs w:val="24"/>
        </w:rPr>
        <w:t>,</w:t>
      </w:r>
      <w:r w:rsidRPr="002E4BCB">
        <w:rPr>
          <w:rFonts w:ascii="Century Schoolbook" w:hAnsi="Century Schoolbook"/>
          <w:sz w:val="24"/>
          <w:szCs w:val="24"/>
        </w:rPr>
        <w:t xml:space="preserve"> that the </w:t>
      </w:r>
      <w:r w:rsidRPr="002E4BCB">
        <w:rPr>
          <w:rFonts w:ascii="Century Schoolbook" w:eastAsia="Calibri" w:hAnsi="Century Schoolbook"/>
          <w:sz w:val="24"/>
          <w:szCs w:val="24"/>
        </w:rPr>
        <w:t xml:space="preserve">trial court erred by placing the initial burden of proof for this violation on him.  He has since abandoned that argument.  </w:t>
      </w:r>
    </w:p>
    <w:p w14:paraId="25C3EB2E" w14:textId="77777777" w:rsidR="00D4113F" w:rsidRPr="002E4BCB" w:rsidRDefault="00D4113F" w:rsidP="00C155F6">
      <w:pPr>
        <w:pStyle w:val="FootnoteText"/>
        <w:rPr>
          <w:rFonts w:ascii="Century Schoolbook" w:hAnsi="Century Schoolbook"/>
          <w:sz w:val="24"/>
          <w:szCs w:val="24"/>
        </w:rPr>
      </w:pPr>
    </w:p>
  </w:footnote>
  <w:footnote w:id="6">
    <w:p w14:paraId="6753841B" w14:textId="5BA9E8BC" w:rsidR="002556D2" w:rsidRPr="002556D2" w:rsidRDefault="002556D2">
      <w:pPr>
        <w:pStyle w:val="FootnoteText"/>
        <w:rPr>
          <w:rFonts w:ascii="Century Schoolbook" w:hAnsi="Century Schoolbook"/>
          <w:sz w:val="24"/>
          <w:szCs w:val="24"/>
        </w:rPr>
      </w:pPr>
      <w:r w:rsidRPr="002556D2">
        <w:rPr>
          <w:rStyle w:val="FootnoteReference"/>
          <w:rFonts w:ascii="Century Schoolbook" w:hAnsi="Century Schoolbook"/>
          <w:sz w:val="24"/>
          <w:szCs w:val="24"/>
        </w:rPr>
        <w:footnoteRef/>
      </w:r>
      <w:r w:rsidRPr="002556D2">
        <w:rPr>
          <w:rFonts w:ascii="Century Schoolbook" w:hAnsi="Century Schoolbook"/>
          <w:sz w:val="24"/>
          <w:szCs w:val="24"/>
        </w:rPr>
        <w:t xml:space="preserve">   </w:t>
      </w:r>
      <w:r w:rsidR="00281CFD">
        <w:rPr>
          <w:rFonts w:ascii="Century Schoolbook" w:hAnsi="Century Schoolbook"/>
          <w:sz w:val="24"/>
          <w:szCs w:val="24"/>
        </w:rPr>
        <w:t>Referring to t</w:t>
      </w:r>
      <w:r w:rsidRPr="002556D2">
        <w:rPr>
          <w:rFonts w:ascii="Century Schoolbook" w:hAnsi="Century Schoolbook"/>
          <w:sz w:val="24"/>
          <w:szCs w:val="24"/>
        </w:rPr>
        <w:t xml:space="preserve">he second panel opinion issued December 31, </w:t>
      </w:r>
      <w:r w:rsidRPr="007A4C25">
        <w:rPr>
          <w:rFonts w:ascii="Century Schoolbook" w:hAnsi="Century Schoolbook"/>
          <w:sz w:val="24"/>
          <w:szCs w:val="24"/>
        </w:rPr>
        <w:t>2020.</w:t>
      </w:r>
    </w:p>
  </w:footnote>
  <w:footnote w:id="7">
    <w:p w14:paraId="0E1C602C" w14:textId="491BAF5D" w:rsidR="009D47C9" w:rsidRPr="00ED6287" w:rsidRDefault="009D47C9">
      <w:pPr>
        <w:pStyle w:val="FootnoteText"/>
        <w:rPr>
          <w:rFonts w:ascii="Century Schoolbook" w:hAnsi="Century Schoolbook"/>
          <w:sz w:val="24"/>
          <w:szCs w:val="24"/>
        </w:rPr>
      </w:pPr>
      <w:r w:rsidRPr="00ED6287">
        <w:rPr>
          <w:rStyle w:val="FootnoteReference"/>
          <w:rFonts w:ascii="Century Schoolbook" w:hAnsi="Century Schoolbook"/>
          <w:sz w:val="24"/>
          <w:szCs w:val="24"/>
        </w:rPr>
        <w:footnoteRef/>
      </w:r>
      <w:r w:rsidRPr="00ED6287">
        <w:rPr>
          <w:rFonts w:ascii="Century Schoolbook" w:hAnsi="Century Schoolbook"/>
          <w:sz w:val="24"/>
          <w:szCs w:val="24"/>
        </w:rPr>
        <w:t xml:space="preserve">   This Court has generally </w:t>
      </w:r>
      <w:r w:rsidR="00A04306" w:rsidRPr="00ED6287">
        <w:rPr>
          <w:rFonts w:ascii="Century Schoolbook" w:hAnsi="Century Schoolbook"/>
          <w:sz w:val="24"/>
          <w:szCs w:val="24"/>
        </w:rPr>
        <w:t xml:space="preserve">analyzed equal protections claims without distinguishing between the federal and State </w:t>
      </w:r>
      <w:r w:rsidR="00ED6287" w:rsidRPr="00ED6287">
        <w:rPr>
          <w:rFonts w:ascii="Century Schoolbook" w:hAnsi="Century Schoolbook"/>
          <w:sz w:val="24"/>
          <w:szCs w:val="24"/>
        </w:rPr>
        <w:t>C</w:t>
      </w:r>
      <w:r w:rsidR="00A04306" w:rsidRPr="00ED6287">
        <w:rPr>
          <w:rFonts w:ascii="Century Schoolbook" w:hAnsi="Century Schoolbook"/>
          <w:sz w:val="24"/>
          <w:szCs w:val="24"/>
        </w:rPr>
        <w:t>onstitutions</w:t>
      </w:r>
      <w:r w:rsidR="00ED6287" w:rsidRPr="00ED6287">
        <w:rPr>
          <w:rFonts w:ascii="Century Schoolbook" w:hAnsi="Century Schoolbook"/>
          <w:sz w:val="24"/>
          <w:szCs w:val="24"/>
        </w:rPr>
        <w:t xml:space="preserve">.  Mr. Johnson contends he is entitled to relief under both.  See Brief of Amicus Curiae </w:t>
      </w:r>
      <w:r w:rsidR="0061299F" w:rsidRPr="0043305C">
        <w:rPr>
          <w:rFonts w:ascii="Century Schoolbook" w:hAnsi="Century Schoolbook"/>
          <w:sz w:val="24"/>
          <w:szCs w:val="24"/>
        </w:rPr>
        <w:t xml:space="preserve">The </w:t>
      </w:r>
      <w:r w:rsidR="006167F7" w:rsidRPr="0043305C">
        <w:rPr>
          <w:rFonts w:ascii="Century Schoolbook" w:hAnsi="Century Schoolbook"/>
          <w:sz w:val="24"/>
          <w:szCs w:val="24"/>
        </w:rPr>
        <w:t>Decarcerat</w:t>
      </w:r>
      <w:r w:rsidR="0061299F" w:rsidRPr="0043305C">
        <w:rPr>
          <w:rFonts w:ascii="Century Schoolbook" w:hAnsi="Century Schoolbook"/>
          <w:sz w:val="24"/>
          <w:szCs w:val="24"/>
        </w:rPr>
        <w:t>ion Project</w:t>
      </w:r>
      <w:r w:rsidR="0061299F">
        <w:rPr>
          <w:rFonts w:ascii="Century Schoolbook" w:hAnsi="Century Schoolbook"/>
          <w:sz w:val="24"/>
          <w:szCs w:val="24"/>
        </w:rPr>
        <w:t xml:space="preserve"> </w:t>
      </w:r>
      <w:r w:rsidR="00ED6287" w:rsidRPr="00ED6287">
        <w:rPr>
          <w:rFonts w:ascii="Century Schoolbook" w:hAnsi="Century Schoolbook"/>
          <w:sz w:val="24"/>
          <w:szCs w:val="24"/>
        </w:rPr>
        <w:t xml:space="preserve">for further discussion of increased protections under the North Carolina Constitution.  </w:t>
      </w:r>
      <w:r w:rsidRPr="00ED6287">
        <w:rPr>
          <w:rFonts w:ascii="Century Schoolbook" w:hAnsi="Century Schoolbook"/>
          <w:sz w:val="24"/>
          <w:szCs w:val="24"/>
        </w:rPr>
        <w:t xml:space="preserve"> </w:t>
      </w:r>
    </w:p>
  </w:footnote>
  <w:footnote w:id="8">
    <w:p w14:paraId="6AC97E22" w14:textId="694BE86E" w:rsidR="00DC46F9" w:rsidRPr="00DC46F9" w:rsidRDefault="00DC46F9">
      <w:pPr>
        <w:pStyle w:val="FootnoteText"/>
        <w:rPr>
          <w:rFonts w:ascii="Century Schoolbook" w:hAnsi="Century Schoolbook"/>
          <w:sz w:val="24"/>
          <w:szCs w:val="24"/>
        </w:rPr>
      </w:pPr>
      <w:r w:rsidRPr="00DC46F9">
        <w:rPr>
          <w:rStyle w:val="FootnoteReference"/>
          <w:rFonts w:ascii="Century Schoolbook" w:hAnsi="Century Schoolbook"/>
          <w:sz w:val="24"/>
          <w:szCs w:val="24"/>
        </w:rPr>
        <w:footnoteRef/>
      </w:r>
      <w:r w:rsidRPr="00DC46F9">
        <w:rPr>
          <w:rFonts w:ascii="Century Schoolbook" w:hAnsi="Century Schoolbook"/>
          <w:sz w:val="24"/>
          <w:szCs w:val="24"/>
        </w:rPr>
        <w:t xml:space="preserve">   </w:t>
      </w:r>
      <w:r w:rsidRPr="00DC46F9">
        <w:rPr>
          <w:rFonts w:ascii="Century Schoolbook" w:hAnsi="Century Schoolbook"/>
          <w:i/>
          <w:iCs/>
          <w:sz w:val="24"/>
          <w:szCs w:val="24"/>
        </w:rPr>
        <w:t xml:space="preserve">See, e.g., </w:t>
      </w:r>
      <w:r w:rsidRPr="00DC46F9">
        <w:rPr>
          <w:rFonts w:ascii="Century Schoolbook" w:eastAsia="Calibri" w:hAnsi="Century Schoolbook"/>
          <w:i/>
          <w:iCs/>
          <w:sz w:val="24"/>
          <w:szCs w:val="24"/>
        </w:rPr>
        <w:t>State v. Thorpe</w:t>
      </w:r>
      <w:r w:rsidRPr="00DC46F9">
        <w:rPr>
          <w:rFonts w:ascii="Century Schoolbook" w:eastAsia="Calibri" w:hAnsi="Century Schoolbook"/>
          <w:sz w:val="24"/>
          <w:szCs w:val="24"/>
        </w:rPr>
        <w:t>, 326 N.C. 451, 455 (1990)</w:t>
      </w:r>
      <w:r w:rsidR="00825D98">
        <w:rPr>
          <w:rFonts w:ascii="Century Schoolbook" w:eastAsia="Calibri" w:hAnsi="Century Schoolbook"/>
          <w:sz w:val="24"/>
          <w:szCs w:val="24"/>
        </w:rPr>
        <w:fldChar w:fldCharType="begin"/>
      </w:r>
      <w:r w:rsidR="00825D98">
        <w:instrText xml:space="preserve"> TA \l "</w:instrText>
      </w:r>
      <w:r w:rsidR="00825D98" w:rsidRPr="001B0D25">
        <w:rPr>
          <w:rFonts w:ascii="Century Schoolbook" w:eastAsia="Calibri" w:hAnsi="Century Schoolbook"/>
          <w:i/>
          <w:iCs/>
          <w:sz w:val="24"/>
          <w:szCs w:val="24"/>
        </w:rPr>
        <w:instrText>State v. Thorpe</w:instrText>
      </w:r>
      <w:r w:rsidR="00825D98" w:rsidRPr="001B0D25">
        <w:rPr>
          <w:rFonts w:ascii="Century Schoolbook" w:eastAsia="Calibri" w:hAnsi="Century Schoolbook"/>
          <w:sz w:val="24"/>
          <w:szCs w:val="24"/>
        </w:rPr>
        <w:instrText>, 326 N.C. 451, 455 (1990)</w:instrText>
      </w:r>
      <w:r w:rsidR="00825D98">
        <w:instrText xml:space="preserve">" \s "State v. Thorpe, 326 N.C. 451, 455 (1990)" \c 1 </w:instrText>
      </w:r>
      <w:r w:rsidR="00825D98">
        <w:rPr>
          <w:rFonts w:ascii="Century Schoolbook" w:eastAsia="Calibri" w:hAnsi="Century Schoolbook"/>
          <w:sz w:val="24"/>
          <w:szCs w:val="24"/>
        </w:rPr>
        <w:fldChar w:fldCharType="end"/>
      </w:r>
      <w:r w:rsidR="00D82C51">
        <w:rPr>
          <w:rFonts w:ascii="Century Schoolbook" w:eastAsia="Calibri" w:hAnsi="Century Schoolbook"/>
          <w:sz w:val="24"/>
          <w:szCs w:val="24"/>
        </w:rPr>
        <w:t xml:space="preserve"> (criminal intent may be inferred from circumstances).</w:t>
      </w:r>
    </w:p>
  </w:footnote>
  <w:footnote w:id="9">
    <w:p w14:paraId="40329367" w14:textId="77777777" w:rsidR="00645408" w:rsidRPr="00FA4249" w:rsidRDefault="00645408" w:rsidP="00645408">
      <w:pPr>
        <w:pStyle w:val="FootnoteText"/>
        <w:rPr>
          <w:rFonts w:ascii="Century Schoolbook" w:hAnsi="Century Schoolbook"/>
          <w:sz w:val="24"/>
          <w:szCs w:val="24"/>
        </w:rPr>
      </w:pPr>
      <w:r w:rsidRPr="00FA4249">
        <w:rPr>
          <w:rStyle w:val="FootnoteReference"/>
          <w:rFonts w:ascii="Century Schoolbook" w:hAnsi="Century Schoolbook"/>
          <w:sz w:val="24"/>
          <w:szCs w:val="24"/>
        </w:rPr>
        <w:footnoteRef/>
      </w:r>
      <w:r w:rsidRPr="00FA4249">
        <w:rPr>
          <w:rFonts w:ascii="Century Schoolbook" w:hAnsi="Century Schoolbook"/>
          <w:sz w:val="24"/>
          <w:szCs w:val="24"/>
        </w:rPr>
        <w:t xml:space="preserve">   As noted above, the Court of Appeals used the </w:t>
      </w:r>
      <w:r w:rsidRPr="007770C6">
        <w:rPr>
          <w:rFonts w:ascii="Century Schoolbook" w:hAnsi="Century Schoolbook"/>
          <w:i/>
          <w:iCs/>
          <w:sz w:val="24"/>
          <w:szCs w:val="24"/>
        </w:rPr>
        <w:t>Batson</w:t>
      </w:r>
      <w:r w:rsidRPr="00FA4249">
        <w:rPr>
          <w:rFonts w:ascii="Century Schoolbook" w:hAnsi="Century Schoolbook"/>
          <w:sz w:val="24"/>
          <w:szCs w:val="24"/>
        </w:rPr>
        <w:t xml:space="preserve"> burden-shifting framework in a selective prosecution claim in </w:t>
      </w:r>
      <w:r w:rsidRPr="00FA4249">
        <w:rPr>
          <w:rFonts w:ascii="Century Schoolbook" w:hAnsi="Century Schoolbook"/>
          <w:i/>
          <w:iCs/>
          <w:sz w:val="24"/>
          <w:szCs w:val="24"/>
        </w:rPr>
        <w:t>Ward</w:t>
      </w:r>
      <w:r w:rsidRPr="00FA4249">
        <w:rPr>
          <w:rFonts w:ascii="Century Schoolbook" w:hAnsi="Century Schoolbook"/>
          <w:sz w:val="24"/>
          <w:szCs w:val="24"/>
        </w:rPr>
        <w:t>.</w:t>
      </w:r>
    </w:p>
  </w:footnote>
  <w:footnote w:id="10">
    <w:p w14:paraId="4A467595" w14:textId="77777777" w:rsidR="004279D0" w:rsidRPr="00002C12" w:rsidRDefault="004279D0" w:rsidP="004279D0">
      <w:pPr>
        <w:rPr>
          <w:rFonts w:ascii="Century Schoolbook" w:hAnsi="Century Schoolbook"/>
          <w:color w:val="0000FF"/>
          <w:sz w:val="24"/>
          <w:szCs w:val="24"/>
          <w:u w:val="single"/>
        </w:rPr>
      </w:pPr>
      <w:r w:rsidRPr="003A18B9">
        <w:rPr>
          <w:rStyle w:val="FootnoteReference"/>
          <w:rFonts w:ascii="Century Schoolbook" w:hAnsi="Century Schoolbook"/>
          <w:sz w:val="24"/>
          <w:szCs w:val="24"/>
        </w:rPr>
        <w:footnoteRef/>
      </w:r>
      <w:r w:rsidRPr="003A18B9">
        <w:rPr>
          <w:rFonts w:ascii="Century Schoolbook" w:hAnsi="Century Schoolbook"/>
          <w:sz w:val="24"/>
          <w:szCs w:val="24"/>
        </w:rPr>
        <w:t xml:space="preserve">  A</w:t>
      </w:r>
      <w:r>
        <w:rPr>
          <w:rFonts w:ascii="Century Schoolbook" w:hAnsi="Century Schoolbook"/>
          <w:sz w:val="24"/>
          <w:szCs w:val="24"/>
        </w:rPr>
        <w:t xml:space="preserve">n online </w:t>
      </w:r>
      <w:r w:rsidRPr="003A18B9">
        <w:rPr>
          <w:rFonts w:ascii="Century Schoolbook" w:hAnsi="Century Schoolbook"/>
          <w:sz w:val="24"/>
          <w:szCs w:val="24"/>
        </w:rPr>
        <w:t xml:space="preserve">map of the </w:t>
      </w:r>
      <w:r>
        <w:rPr>
          <w:rFonts w:ascii="Century Schoolbook" w:hAnsi="Century Schoolbook"/>
          <w:sz w:val="24"/>
          <w:szCs w:val="24"/>
        </w:rPr>
        <w:t xml:space="preserve">City of </w:t>
      </w:r>
      <w:r w:rsidRPr="003A18B9">
        <w:rPr>
          <w:rFonts w:ascii="Century Schoolbook" w:hAnsi="Century Schoolbook"/>
          <w:sz w:val="24"/>
          <w:szCs w:val="24"/>
        </w:rPr>
        <w:t>Raleigh P</w:t>
      </w:r>
      <w:r>
        <w:rPr>
          <w:rFonts w:ascii="Century Schoolbook" w:hAnsi="Century Schoolbook"/>
          <w:sz w:val="24"/>
          <w:szCs w:val="24"/>
        </w:rPr>
        <w:t xml:space="preserve">olice Districts is available here:  </w:t>
      </w:r>
      <w:hyperlink r:id="rId1" w:history="1">
        <w:r w:rsidRPr="007C237F">
          <w:rPr>
            <w:rStyle w:val="Hyperlink"/>
            <w:rFonts w:ascii="Century Schoolbook" w:hAnsi="Century Schoolbook"/>
            <w:sz w:val="24"/>
            <w:szCs w:val="24"/>
          </w:rPr>
          <w:t>https://raleighnc.gov/safety/content/Police/Articles/PoliceDistricts.html</w:t>
        </w:r>
      </w:hyperlink>
      <w:r>
        <w:rPr>
          <w:rFonts w:ascii="Century Schoolbook" w:hAnsi="Century Schoolbook"/>
          <w:sz w:val="24"/>
          <w:szCs w:val="24"/>
        </w:rPr>
        <w:fldChar w:fldCharType="begin"/>
      </w:r>
      <w:r>
        <w:instrText xml:space="preserve"> TA \l "</w:instrText>
      </w:r>
      <w:r w:rsidRPr="00A63E48">
        <w:rPr>
          <w:rFonts w:ascii="Century Schoolbook" w:hAnsi="Century Schoolbook"/>
          <w:sz w:val="24"/>
          <w:szCs w:val="24"/>
        </w:rPr>
        <w:instrText>https://raleighnc.gov/safety/content/Police/Articles/PoliceDistricts.html</w:instrText>
      </w:r>
      <w:r>
        <w:instrText xml:space="preserve">" \s "https://raleighnc.gov/safety/content/Police/Articles/PoliceDistricts.html" \c 3 </w:instrText>
      </w:r>
      <w:r>
        <w:rPr>
          <w:rFonts w:ascii="Century Schoolbook" w:hAnsi="Century Schoolbook"/>
          <w:sz w:val="24"/>
          <w:szCs w:val="24"/>
        </w:rPr>
        <w:fldChar w:fldCharType="end"/>
      </w:r>
    </w:p>
  </w:footnote>
  <w:footnote w:id="11">
    <w:p w14:paraId="539846B5" w14:textId="465B0A10" w:rsidR="00164D6A" w:rsidRDefault="00164D6A" w:rsidP="00164D6A">
      <w:pPr>
        <w:pStyle w:val="FootnoteText"/>
        <w:rPr>
          <w:rFonts w:ascii="Century Schoolbook" w:hAnsi="Century Schoolbook"/>
          <w:bCs/>
          <w:iCs/>
          <w:sz w:val="24"/>
          <w:szCs w:val="24"/>
        </w:rPr>
      </w:pPr>
      <w:r w:rsidRPr="00B6468B">
        <w:rPr>
          <w:rStyle w:val="FootnoteReference"/>
          <w:rFonts w:ascii="Century Schoolbook" w:hAnsi="Century Schoolbook"/>
          <w:sz w:val="24"/>
          <w:szCs w:val="24"/>
        </w:rPr>
        <w:footnoteRef/>
      </w:r>
      <w:r w:rsidRPr="00B6468B">
        <w:rPr>
          <w:rFonts w:ascii="Century Schoolbook" w:hAnsi="Century Schoolbook"/>
          <w:sz w:val="24"/>
          <w:szCs w:val="24"/>
        </w:rPr>
        <w:t xml:space="preserve">   </w:t>
      </w:r>
      <w:r>
        <w:rPr>
          <w:rFonts w:ascii="Century Schoolbook" w:hAnsi="Century Schoolbook"/>
          <w:sz w:val="24"/>
          <w:szCs w:val="24"/>
        </w:rPr>
        <w:t xml:space="preserve">One could also consider using all of Wake County, or </w:t>
      </w:r>
      <w:r w:rsidR="0012187C">
        <w:rPr>
          <w:rFonts w:ascii="Century Schoolbook" w:hAnsi="Century Schoolbook"/>
          <w:sz w:val="24"/>
          <w:szCs w:val="24"/>
        </w:rPr>
        <w:t xml:space="preserve">adding </w:t>
      </w:r>
      <w:r>
        <w:rPr>
          <w:rFonts w:ascii="Century Schoolbook" w:hAnsi="Century Schoolbook"/>
          <w:sz w:val="24"/>
          <w:szCs w:val="24"/>
        </w:rPr>
        <w:t>neighboring Johns</w:t>
      </w:r>
      <w:r w:rsidR="00753C4B">
        <w:rPr>
          <w:rFonts w:ascii="Century Schoolbook" w:hAnsi="Century Schoolbook"/>
          <w:sz w:val="24"/>
          <w:szCs w:val="24"/>
        </w:rPr>
        <w:t>t</w:t>
      </w:r>
      <w:r>
        <w:rPr>
          <w:rFonts w:ascii="Century Schoolbook" w:hAnsi="Century Schoolbook"/>
          <w:sz w:val="24"/>
          <w:szCs w:val="24"/>
        </w:rPr>
        <w:t>on County</w:t>
      </w:r>
      <w:r w:rsidR="0012187C">
        <w:rPr>
          <w:rFonts w:ascii="Century Schoolbook" w:hAnsi="Century Schoolbook"/>
          <w:sz w:val="24"/>
          <w:szCs w:val="24"/>
        </w:rPr>
        <w:t xml:space="preserve"> as a benchmark</w:t>
      </w:r>
      <w:r>
        <w:rPr>
          <w:rFonts w:ascii="Century Schoolbook" w:hAnsi="Century Schoolbook"/>
          <w:sz w:val="24"/>
          <w:szCs w:val="24"/>
        </w:rPr>
        <w:t xml:space="preserve">.  </w:t>
      </w:r>
      <w:r w:rsidRPr="00B6468B">
        <w:rPr>
          <w:rFonts w:ascii="Century Schoolbook" w:hAnsi="Century Schoolbook"/>
          <w:sz w:val="24"/>
          <w:szCs w:val="24"/>
        </w:rPr>
        <w:t>Th</w:t>
      </w:r>
      <w:r>
        <w:rPr>
          <w:rFonts w:ascii="Century Schoolbook" w:hAnsi="Century Schoolbook"/>
          <w:sz w:val="24"/>
          <w:szCs w:val="24"/>
        </w:rPr>
        <w:t>is would likely make statistics worse for Officer Kuchen.  Th</w:t>
      </w:r>
      <w:r w:rsidRPr="00B6468B">
        <w:rPr>
          <w:rFonts w:ascii="Century Schoolbook" w:hAnsi="Century Schoolbook"/>
          <w:sz w:val="24"/>
          <w:szCs w:val="24"/>
        </w:rPr>
        <w:t xml:space="preserve">e area beyond the City of Raleigh has fewer Black citizens, </w:t>
      </w:r>
      <w:r>
        <w:rPr>
          <w:rFonts w:ascii="Century Schoolbook" w:hAnsi="Century Schoolbook"/>
          <w:sz w:val="24"/>
          <w:szCs w:val="24"/>
        </w:rPr>
        <w:t xml:space="preserve">so that </w:t>
      </w:r>
      <w:r w:rsidR="000427DA">
        <w:rPr>
          <w:rFonts w:ascii="Century Schoolbook" w:hAnsi="Century Schoolbook"/>
          <w:sz w:val="24"/>
          <w:szCs w:val="24"/>
        </w:rPr>
        <w:t xml:space="preserve">Kuchen’s </w:t>
      </w:r>
      <w:r>
        <w:rPr>
          <w:rFonts w:ascii="Century Schoolbook" w:hAnsi="Century Schoolbook"/>
          <w:sz w:val="24"/>
          <w:szCs w:val="24"/>
        </w:rPr>
        <w:t xml:space="preserve">stops would appear </w:t>
      </w:r>
      <w:r w:rsidRPr="00B6468B">
        <w:rPr>
          <w:rFonts w:ascii="Century Schoolbook" w:hAnsi="Century Schoolbook"/>
          <w:sz w:val="24"/>
          <w:szCs w:val="24"/>
        </w:rPr>
        <w:t xml:space="preserve">even more racially-unequal:  </w:t>
      </w:r>
      <w:r w:rsidR="00200333">
        <w:rPr>
          <w:rFonts w:ascii="Century Schoolbook" w:hAnsi="Century Schoolbook"/>
          <w:sz w:val="24"/>
          <w:szCs w:val="24"/>
        </w:rPr>
        <w:t xml:space="preserve">according to U.S. Census data, </w:t>
      </w:r>
      <w:r w:rsidRPr="00B6468B">
        <w:rPr>
          <w:rFonts w:ascii="Century Schoolbook" w:hAnsi="Century Schoolbook"/>
          <w:sz w:val="24"/>
          <w:szCs w:val="24"/>
        </w:rPr>
        <w:t>in 2019, t</w:t>
      </w:r>
      <w:r w:rsidRPr="00B6468B">
        <w:rPr>
          <w:rFonts w:ascii="Century Schoolbook" w:hAnsi="Century Schoolbook"/>
          <w:bCs/>
          <w:iCs/>
          <w:sz w:val="24"/>
          <w:szCs w:val="24"/>
        </w:rPr>
        <w:t xml:space="preserve">he Black population of Raleigh was 29%; the Black population of Wake County was 21%; the Black population of </w:t>
      </w:r>
      <w:r w:rsidRPr="00B6468B">
        <w:rPr>
          <w:rFonts w:ascii="Century Schoolbook" w:hAnsi="Century Schoolbook"/>
          <w:sz w:val="24"/>
          <w:szCs w:val="24"/>
        </w:rPr>
        <w:t xml:space="preserve">Johnston County, which neighbors the </w:t>
      </w:r>
      <w:r>
        <w:rPr>
          <w:rFonts w:ascii="Century Schoolbook" w:hAnsi="Century Schoolbook"/>
          <w:sz w:val="24"/>
          <w:szCs w:val="24"/>
        </w:rPr>
        <w:t>southeast d</w:t>
      </w:r>
      <w:r w:rsidRPr="00B6468B">
        <w:rPr>
          <w:rFonts w:ascii="Century Schoolbook" w:hAnsi="Century Schoolbook"/>
          <w:sz w:val="24"/>
          <w:szCs w:val="24"/>
        </w:rPr>
        <w:t>istrict, was 17%</w:t>
      </w:r>
      <w:r>
        <w:rPr>
          <w:rFonts w:ascii="Century Schoolbook" w:hAnsi="Century Schoolbook"/>
          <w:sz w:val="24"/>
          <w:szCs w:val="24"/>
        </w:rPr>
        <w:t xml:space="preserve">.  The </w:t>
      </w:r>
      <w:r w:rsidRPr="00B6468B">
        <w:rPr>
          <w:rFonts w:ascii="Century Schoolbook" w:hAnsi="Century Schoolbook"/>
          <w:bCs/>
          <w:iCs/>
          <w:sz w:val="24"/>
          <w:szCs w:val="24"/>
        </w:rPr>
        <w:t>Black population of North Carolina was 22.2%.</w:t>
      </w:r>
    </w:p>
    <w:p w14:paraId="13DD7E39" w14:textId="77777777" w:rsidR="00164D6A" w:rsidRPr="00B6468B" w:rsidRDefault="00164D6A" w:rsidP="00164D6A">
      <w:pPr>
        <w:pStyle w:val="FootnoteText"/>
        <w:rPr>
          <w:sz w:val="24"/>
          <w:szCs w:val="24"/>
        </w:rPr>
      </w:pPr>
    </w:p>
  </w:footnote>
  <w:footnote w:id="12">
    <w:p w14:paraId="031BE9A5" w14:textId="3A8645F8" w:rsidR="00532C97" w:rsidRDefault="00532C97" w:rsidP="00532C97">
      <w:pPr>
        <w:pStyle w:val="FootnoteText"/>
        <w:rPr>
          <w:rFonts w:ascii="Century Schoolbook" w:eastAsia="Calibri" w:hAnsi="Century Schoolbook"/>
          <w:sz w:val="24"/>
          <w:szCs w:val="24"/>
        </w:rPr>
      </w:pPr>
      <w:r w:rsidRPr="00B13FB5">
        <w:rPr>
          <w:rStyle w:val="FootnoteReference"/>
          <w:rFonts w:ascii="Century Schoolbook" w:hAnsi="Century Schoolbook"/>
          <w:sz w:val="24"/>
          <w:szCs w:val="24"/>
        </w:rPr>
        <w:footnoteRef/>
      </w:r>
      <w:r w:rsidRPr="00B13FB5">
        <w:rPr>
          <w:rFonts w:ascii="Century Schoolbook" w:hAnsi="Century Schoolbook"/>
          <w:sz w:val="24"/>
          <w:szCs w:val="24"/>
        </w:rPr>
        <w:t xml:space="preserve">   </w:t>
      </w:r>
      <w:r w:rsidR="00B6239C">
        <w:rPr>
          <w:rFonts w:ascii="Century Schoolbook" w:hAnsi="Century Schoolbook"/>
          <w:sz w:val="24"/>
          <w:szCs w:val="24"/>
        </w:rPr>
        <w:t xml:space="preserve">Collecting such data could be quite </w:t>
      </w:r>
      <w:r w:rsidRPr="00B13FB5">
        <w:rPr>
          <w:rFonts w:ascii="Century Schoolbook" w:eastAsia="Calibri" w:hAnsi="Century Schoolbook"/>
          <w:sz w:val="24"/>
          <w:szCs w:val="24"/>
        </w:rPr>
        <w:t xml:space="preserve">burdensome – possibly a body camera plus a GPS tracker showing </w:t>
      </w:r>
      <w:r w:rsidR="00476D4F">
        <w:rPr>
          <w:rFonts w:ascii="Century Schoolbook" w:eastAsia="Calibri" w:hAnsi="Century Schoolbook"/>
          <w:sz w:val="24"/>
          <w:szCs w:val="24"/>
        </w:rPr>
        <w:t>an</w:t>
      </w:r>
      <w:r w:rsidRPr="00B13FB5">
        <w:rPr>
          <w:rFonts w:ascii="Century Schoolbook" w:eastAsia="Calibri" w:hAnsi="Century Schoolbook"/>
          <w:sz w:val="24"/>
          <w:szCs w:val="24"/>
        </w:rPr>
        <w:t xml:space="preserve"> officer’s every movement and encounter</w:t>
      </w:r>
      <w:r>
        <w:rPr>
          <w:rFonts w:ascii="Century Schoolbook" w:eastAsia="Calibri" w:hAnsi="Century Schoolbook"/>
          <w:sz w:val="24"/>
          <w:szCs w:val="24"/>
        </w:rPr>
        <w:t>; and even that would not capture the officer’s subjective thoughts</w:t>
      </w:r>
      <w:r w:rsidRPr="00B13FB5">
        <w:rPr>
          <w:rFonts w:ascii="Century Schoolbook" w:eastAsia="Calibri" w:hAnsi="Century Schoolbook"/>
          <w:sz w:val="24"/>
          <w:szCs w:val="24"/>
        </w:rPr>
        <w:t>.</w:t>
      </w:r>
      <w:r w:rsidR="00B6239C">
        <w:rPr>
          <w:rFonts w:ascii="Century Schoolbook" w:eastAsia="Calibri" w:hAnsi="Century Schoolbook"/>
          <w:sz w:val="24"/>
          <w:szCs w:val="24"/>
        </w:rPr>
        <w:t xml:space="preserve">  </w:t>
      </w:r>
      <w:r w:rsidRPr="00B13FB5">
        <w:rPr>
          <w:rFonts w:ascii="Century Schoolbook" w:eastAsia="Calibri" w:hAnsi="Century Schoolbook"/>
          <w:sz w:val="24"/>
          <w:szCs w:val="24"/>
        </w:rPr>
        <w:t xml:space="preserve">  </w:t>
      </w:r>
    </w:p>
    <w:p w14:paraId="43CDAD98" w14:textId="77777777" w:rsidR="00387090" w:rsidRPr="00B13FB5" w:rsidRDefault="00387090" w:rsidP="00532C97">
      <w:pPr>
        <w:pStyle w:val="FootnoteText"/>
        <w:rPr>
          <w:rFonts w:ascii="Century Schoolbook" w:hAnsi="Century Schoolbook"/>
          <w:sz w:val="24"/>
          <w:szCs w:val="24"/>
        </w:rPr>
      </w:pPr>
    </w:p>
  </w:footnote>
  <w:footnote w:id="13">
    <w:p w14:paraId="2E496BF9" w14:textId="1E516000" w:rsidR="006D3F5E" w:rsidRDefault="006D3F5E" w:rsidP="006D3F5E">
      <w:pPr>
        <w:pStyle w:val="FootnoteText"/>
        <w:rPr>
          <w:rFonts w:ascii="Century Schoolbook" w:hAnsi="Century Schoolbook"/>
          <w:sz w:val="24"/>
          <w:szCs w:val="24"/>
        </w:rPr>
      </w:pPr>
      <w:r w:rsidRPr="001C4FB8">
        <w:rPr>
          <w:rStyle w:val="FootnoteReference"/>
          <w:rFonts w:ascii="Century Schoolbook" w:hAnsi="Century Schoolbook"/>
          <w:sz w:val="24"/>
          <w:szCs w:val="24"/>
        </w:rPr>
        <w:footnoteRef/>
      </w:r>
      <w:r w:rsidRPr="001C4FB8">
        <w:rPr>
          <w:rFonts w:ascii="Century Schoolbook" w:hAnsi="Century Schoolbook"/>
          <w:sz w:val="24"/>
          <w:szCs w:val="24"/>
        </w:rPr>
        <w:t xml:space="preserve">   Michael Dolan Fliss, </w:t>
      </w:r>
      <w:r w:rsidRPr="001C4FB8">
        <w:rPr>
          <w:rFonts w:ascii="Century Schoolbook" w:hAnsi="Century Schoolbook"/>
          <w:i/>
          <w:iCs/>
          <w:sz w:val="24"/>
          <w:szCs w:val="24"/>
        </w:rPr>
        <w:t>Racial Disparities in Law Enforcement Traffic Stops: Measurement, Interpretation, &amp; Intervention Possibilities</w:t>
      </w:r>
      <w:r>
        <w:rPr>
          <w:rFonts w:ascii="Century Schoolbook" w:hAnsi="Century Schoolbook"/>
          <w:i/>
          <w:iCs/>
          <w:sz w:val="24"/>
          <w:szCs w:val="24"/>
        </w:rPr>
        <w:t xml:space="preserve"> </w:t>
      </w:r>
      <w:r>
        <w:rPr>
          <w:rFonts w:ascii="Century Schoolbook" w:hAnsi="Century Schoolbook"/>
          <w:sz w:val="24"/>
          <w:szCs w:val="24"/>
        </w:rPr>
        <w:t>(2019) (</w:t>
      </w:r>
      <w:r w:rsidRPr="001C4FB8">
        <w:rPr>
          <w:rFonts w:ascii="Century Schoolbook" w:hAnsi="Century Schoolbook"/>
          <w:sz w:val="24"/>
          <w:szCs w:val="24"/>
        </w:rPr>
        <w:t>Ph.D. Dissertation, University of North Carolina at Chapel Hill (</w:t>
      </w:r>
      <w:r>
        <w:rPr>
          <w:rFonts w:ascii="Century Schoolbook" w:hAnsi="Century Schoolbook"/>
          <w:sz w:val="24"/>
          <w:szCs w:val="24"/>
        </w:rPr>
        <w:t>on file with University Libraries, University of North Carolina at Chapel Hill)</w:t>
      </w:r>
      <w:r w:rsidR="00825D98">
        <w:rPr>
          <w:rFonts w:ascii="Century Schoolbook" w:hAnsi="Century Schoolbook"/>
          <w:sz w:val="24"/>
          <w:szCs w:val="24"/>
        </w:rPr>
        <w:fldChar w:fldCharType="begin"/>
      </w:r>
      <w:r w:rsidR="00825D98">
        <w:instrText xml:space="preserve"> TA \l "</w:instrText>
      </w:r>
      <w:r w:rsidR="00825D98" w:rsidRPr="001B0D25">
        <w:rPr>
          <w:rFonts w:ascii="Century Schoolbook" w:hAnsi="Century Schoolbook"/>
          <w:sz w:val="24"/>
          <w:szCs w:val="24"/>
        </w:rPr>
        <w:instrText xml:space="preserve">Michael Dolan Fliss, </w:instrText>
      </w:r>
      <w:r w:rsidR="00825D98" w:rsidRPr="001B0D25">
        <w:rPr>
          <w:rFonts w:ascii="Century Schoolbook" w:hAnsi="Century Schoolbook"/>
          <w:i/>
          <w:iCs/>
          <w:sz w:val="24"/>
          <w:szCs w:val="24"/>
        </w:rPr>
        <w:instrText xml:space="preserve">Racial Disparities in Law Enforcement Traffic Stops: Measurement, Interpretation, &amp; Intervention Possibilities </w:instrText>
      </w:r>
      <w:r w:rsidR="00825D98" w:rsidRPr="001B0D25">
        <w:rPr>
          <w:rFonts w:ascii="Century Schoolbook" w:hAnsi="Century Schoolbook"/>
          <w:sz w:val="24"/>
          <w:szCs w:val="24"/>
        </w:rPr>
        <w:instrText>(2019) (Ph.D. Dissertation, University of North Carolina at Chapel Hill (on file with University Libraries, University of North Carolina at Chapel Hill)</w:instrText>
      </w:r>
      <w:r w:rsidR="00825D98">
        <w:instrText xml:space="preserve">" \s "Michael Dolan Fliss, Racial Disparities in Law Enforcement Traffic Stops: Measurement, Interpretation, &amp; Intervention Possibilities (2019) (Ph.D. Dissertation, University of North Carolina at Chapel Hill (on file with University Libraries, University of N" \c 3 </w:instrText>
      </w:r>
      <w:r w:rsidR="00825D98">
        <w:rPr>
          <w:rFonts w:ascii="Century Schoolbook" w:hAnsi="Century Schoolbook"/>
          <w:sz w:val="24"/>
          <w:szCs w:val="24"/>
        </w:rPr>
        <w:fldChar w:fldCharType="end"/>
      </w:r>
    </w:p>
    <w:p w14:paraId="51C0015A" w14:textId="77777777" w:rsidR="006D3F5E" w:rsidRDefault="006D3F5E" w:rsidP="006D3F5E">
      <w:pPr>
        <w:pStyle w:val="FootnoteText"/>
        <w:rPr>
          <w:rFonts w:ascii="Century Schoolbook" w:hAnsi="Century Schoolbook"/>
          <w:sz w:val="24"/>
          <w:szCs w:val="24"/>
        </w:rPr>
      </w:pPr>
      <w:r w:rsidRPr="00B6082D">
        <w:rPr>
          <w:rFonts w:ascii="Century Schoolbook" w:hAnsi="Century Schoolbook"/>
          <w:sz w:val="24"/>
          <w:szCs w:val="24"/>
        </w:rPr>
        <w:t xml:space="preserve">Available at: </w:t>
      </w:r>
      <w:r w:rsidRPr="00D41A6E">
        <w:rPr>
          <w:rFonts w:ascii="Century Schoolbook" w:hAnsi="Century Schoolbook"/>
          <w:sz w:val="24"/>
          <w:szCs w:val="24"/>
        </w:rPr>
        <w:t xml:space="preserve"> </w:t>
      </w:r>
      <w:hyperlink r:id="rId2" w:history="1">
        <w:r w:rsidRPr="00D41A6E">
          <w:rPr>
            <w:rStyle w:val="Hyperlink"/>
            <w:rFonts w:ascii="Century Schoolbook" w:hAnsi="Century Schoolbook"/>
            <w:sz w:val="24"/>
            <w:szCs w:val="24"/>
          </w:rPr>
          <w:t>https://cdr.lib.unc.edu/concern/dissertations/8049g994g</w:t>
        </w:r>
      </w:hyperlink>
    </w:p>
    <w:p w14:paraId="4E00C7FD" w14:textId="77777777" w:rsidR="006D3F5E" w:rsidRDefault="006D3F5E" w:rsidP="006D3F5E">
      <w:pPr>
        <w:pStyle w:val="FootnoteText"/>
        <w:rPr>
          <w:rFonts w:ascii="Century Schoolbook" w:hAnsi="Century Schoolbook"/>
          <w:sz w:val="24"/>
          <w:szCs w:val="24"/>
        </w:rPr>
      </w:pPr>
    </w:p>
    <w:p w14:paraId="0F051D24" w14:textId="29574D9D" w:rsidR="006D3F5E" w:rsidRDefault="006D3F5E" w:rsidP="006D3F5E">
      <w:pPr>
        <w:pStyle w:val="FootnoteText"/>
        <w:rPr>
          <w:rFonts w:ascii="Century Schoolbook" w:hAnsi="Century Schoolbook"/>
          <w:bCs/>
          <w:iCs/>
          <w:sz w:val="24"/>
          <w:szCs w:val="24"/>
        </w:rPr>
      </w:pPr>
      <w:r w:rsidRPr="001F7202">
        <w:rPr>
          <w:rFonts w:ascii="Century Schoolbook" w:hAnsi="Century Schoolbook"/>
          <w:i/>
          <w:iCs/>
          <w:sz w:val="24"/>
          <w:szCs w:val="24"/>
        </w:rPr>
        <w:t xml:space="preserve">See also </w:t>
      </w:r>
      <w:r w:rsidRPr="007A4C25">
        <w:rPr>
          <w:rFonts w:ascii="Century Schoolbook" w:hAnsi="Century Schoolbook"/>
          <w:i/>
          <w:iCs/>
          <w:sz w:val="24"/>
          <w:szCs w:val="24"/>
        </w:rPr>
        <w:t>Driver Factors in Fatal and “A” Injury Crashes in North Carolina</w:t>
      </w:r>
      <w:r w:rsidRPr="004A76F5">
        <w:rPr>
          <w:rFonts w:ascii="Century Schoolbook" w:hAnsi="Century Schoolbook"/>
          <w:i/>
          <w:iCs/>
          <w:sz w:val="24"/>
          <w:szCs w:val="24"/>
        </w:rPr>
        <w:t>, 2001-2005</w:t>
      </w:r>
      <w:r>
        <w:rPr>
          <w:rFonts w:ascii="Century Schoolbook" w:hAnsi="Century Schoolbook"/>
          <w:sz w:val="24"/>
          <w:szCs w:val="24"/>
        </w:rPr>
        <w:fldChar w:fldCharType="begin"/>
      </w:r>
      <w:r>
        <w:instrText xml:space="preserve"> TA \l "</w:instrText>
      </w:r>
      <w:r w:rsidRPr="00A63E48">
        <w:rPr>
          <w:rFonts w:ascii="Century Schoolbook" w:hAnsi="Century Schoolbook"/>
          <w:sz w:val="24"/>
          <w:szCs w:val="24"/>
        </w:rPr>
        <w:instrText>2008 N.C. DOT study of serious vehicle crashes, 2001-2005</w:instrText>
      </w:r>
      <w:r>
        <w:instrText xml:space="preserve">" \s "2008 N.C. DOT study of serious vehicle crashes, 2001-2005" \c 3 </w:instrText>
      </w:r>
      <w:r>
        <w:rPr>
          <w:rFonts w:ascii="Century Schoolbook" w:hAnsi="Century Schoolbook"/>
          <w:sz w:val="24"/>
          <w:szCs w:val="24"/>
        </w:rPr>
        <w:fldChar w:fldCharType="end"/>
      </w:r>
      <w:r w:rsidRPr="00B17DD1">
        <w:rPr>
          <w:rFonts w:ascii="Century Schoolbook" w:hAnsi="Century Schoolbook"/>
          <w:sz w:val="24"/>
          <w:szCs w:val="24"/>
        </w:rPr>
        <w:t xml:space="preserve">, </w:t>
      </w:r>
      <w:r w:rsidRPr="004A76F5">
        <w:rPr>
          <w:rFonts w:ascii="Century Schoolbook" w:hAnsi="Century Schoolbook"/>
          <w:sz w:val="24"/>
          <w:szCs w:val="24"/>
        </w:rPr>
        <w:t>at p. 40</w:t>
      </w:r>
      <w:r w:rsidRPr="00B17DD1">
        <w:rPr>
          <w:rFonts w:ascii="Century Schoolbook" w:hAnsi="Century Schoolbook"/>
          <w:sz w:val="24"/>
          <w:szCs w:val="24"/>
        </w:rPr>
        <w:t xml:space="preserve"> (a </w:t>
      </w:r>
      <w:r w:rsidRPr="00B17DD1">
        <w:rPr>
          <w:rFonts w:ascii="Century Schoolbook" w:hAnsi="Century Schoolbook"/>
          <w:bCs/>
          <w:iCs/>
          <w:sz w:val="24"/>
          <w:szCs w:val="24"/>
        </w:rPr>
        <w:t xml:space="preserve">five-year investigation by the N.C. Department of Transportation into the causes of the </w:t>
      </w:r>
      <w:r w:rsidR="00D8122D">
        <w:rPr>
          <w:rFonts w:ascii="Century Schoolbook" w:hAnsi="Century Schoolbook"/>
          <w:bCs/>
          <w:iCs/>
          <w:sz w:val="24"/>
          <w:szCs w:val="24"/>
        </w:rPr>
        <w:t>S</w:t>
      </w:r>
      <w:r w:rsidRPr="00B17DD1">
        <w:rPr>
          <w:rFonts w:ascii="Century Schoolbook" w:hAnsi="Century Schoolbook"/>
          <w:bCs/>
          <w:iCs/>
          <w:sz w:val="24"/>
          <w:szCs w:val="24"/>
        </w:rPr>
        <w:t xml:space="preserve">tate’s serious vehicle crashes revealed that </w:t>
      </w:r>
      <w:r w:rsidRPr="00330B55">
        <w:rPr>
          <w:rFonts w:ascii="Century Schoolbook" w:hAnsi="Century Schoolbook"/>
          <w:bCs/>
          <w:iCs/>
          <w:sz w:val="24"/>
          <w:szCs w:val="24"/>
        </w:rPr>
        <w:t>“</w:t>
      </w:r>
      <w:r w:rsidRPr="00B17DD1">
        <w:rPr>
          <w:rFonts w:ascii="Century Schoolbook" w:hAnsi="Century Schoolbook"/>
          <w:bCs/>
          <w:iCs/>
          <w:sz w:val="24"/>
          <w:szCs w:val="24"/>
        </w:rPr>
        <w:t>Black drivers were under-represented . . . in multi-vehicle at-fault crashes.</w:t>
      </w:r>
      <w:r w:rsidRPr="00330B55">
        <w:rPr>
          <w:rFonts w:ascii="Century Schoolbook" w:hAnsi="Century Schoolbook"/>
          <w:bCs/>
          <w:iCs/>
          <w:sz w:val="24"/>
          <w:szCs w:val="24"/>
        </w:rPr>
        <w:t>”</w:t>
      </w:r>
      <w:r>
        <w:rPr>
          <w:rFonts w:ascii="Century Schoolbook" w:hAnsi="Century Schoolbook"/>
          <w:bCs/>
          <w:iCs/>
          <w:sz w:val="24"/>
          <w:szCs w:val="24"/>
        </w:rPr>
        <w:t xml:space="preserve">) </w:t>
      </w:r>
    </w:p>
    <w:p w14:paraId="798161A6" w14:textId="77777777" w:rsidR="00A4619A" w:rsidRPr="00C22CD5" w:rsidRDefault="00A4619A" w:rsidP="006D3F5E">
      <w:pPr>
        <w:pStyle w:val="FootnoteText"/>
        <w:rPr>
          <w:rFonts w:ascii="Century Schoolbook" w:hAnsi="Century Schoolbook"/>
          <w:bCs/>
          <w:iCs/>
          <w:sz w:val="24"/>
          <w:szCs w:val="24"/>
        </w:rPr>
      </w:pPr>
    </w:p>
  </w:footnote>
  <w:footnote w:id="14">
    <w:p w14:paraId="0184E578" w14:textId="69E5C2E0" w:rsidR="00F00D57" w:rsidRDefault="00F00D57" w:rsidP="00F00D57">
      <w:pPr>
        <w:pStyle w:val="FootnoteText"/>
        <w:rPr>
          <w:rFonts w:ascii="Century Schoolbook" w:hAnsi="Century Schoolbook"/>
          <w:sz w:val="24"/>
          <w:szCs w:val="24"/>
        </w:rPr>
      </w:pPr>
      <w:r w:rsidRPr="00CC6528">
        <w:rPr>
          <w:rStyle w:val="FootnoteReference"/>
          <w:rFonts w:ascii="Century Schoolbook" w:hAnsi="Century Schoolbook"/>
          <w:sz w:val="24"/>
          <w:szCs w:val="24"/>
        </w:rPr>
        <w:footnoteRef/>
      </w:r>
      <w:r w:rsidRPr="00CC6528">
        <w:rPr>
          <w:rFonts w:ascii="Century Schoolbook" w:hAnsi="Century Schoolbook"/>
          <w:sz w:val="24"/>
          <w:szCs w:val="24"/>
        </w:rPr>
        <w:t xml:space="preserve">   This opinion overruled </w:t>
      </w:r>
      <w:r w:rsidRPr="006B6472">
        <w:rPr>
          <w:rFonts w:ascii="Century Schoolbook" w:hAnsi="Century Schoolbook"/>
          <w:i/>
          <w:iCs/>
          <w:sz w:val="24"/>
          <w:szCs w:val="24"/>
        </w:rPr>
        <w:t>Hubbard v. Holmes</w:t>
      </w:r>
      <w:r>
        <w:rPr>
          <w:rFonts w:ascii="Century Schoolbook" w:hAnsi="Century Schoolbook"/>
          <w:sz w:val="24"/>
          <w:szCs w:val="24"/>
        </w:rPr>
        <w:t>, 2018 U.S. Dist. LEXIS</w:t>
      </w:r>
      <w:r w:rsidRPr="00CC6528">
        <w:rPr>
          <w:rFonts w:ascii="Century Schoolbook" w:hAnsi="Century Schoolbook"/>
          <w:sz w:val="24"/>
          <w:szCs w:val="24"/>
        </w:rPr>
        <w:t xml:space="preserve"> </w:t>
      </w:r>
      <w:r>
        <w:rPr>
          <w:rFonts w:ascii="Century Schoolbook" w:hAnsi="Century Schoolbook"/>
          <w:sz w:val="24"/>
          <w:szCs w:val="24"/>
        </w:rPr>
        <w:t xml:space="preserve">67278 </w:t>
      </w:r>
      <w:r w:rsidRPr="001A2D7B">
        <w:rPr>
          <w:rFonts w:ascii="Century Schoolbook" w:hAnsi="Century Schoolbook"/>
          <w:sz w:val="24"/>
          <w:szCs w:val="24"/>
        </w:rPr>
        <w:t>(W.D.</w:t>
      </w:r>
      <w:r w:rsidR="00C21844" w:rsidRPr="001A2D7B">
        <w:rPr>
          <w:rFonts w:ascii="Century Schoolbook" w:hAnsi="Century Schoolbook"/>
          <w:sz w:val="24"/>
          <w:szCs w:val="24"/>
        </w:rPr>
        <w:t xml:space="preserve"> </w:t>
      </w:r>
      <w:r w:rsidRPr="001A2D7B">
        <w:rPr>
          <w:rFonts w:ascii="Century Schoolbook" w:hAnsi="Century Schoolbook"/>
          <w:sz w:val="24"/>
          <w:szCs w:val="24"/>
        </w:rPr>
        <w:t>Va. 2018)</w:t>
      </w:r>
      <w:r w:rsidR="00825D98" w:rsidRPr="001A2D7B">
        <w:rPr>
          <w:rFonts w:ascii="Century Schoolbook" w:hAnsi="Century Schoolbook"/>
          <w:sz w:val="24"/>
          <w:szCs w:val="24"/>
        </w:rPr>
        <w:fldChar w:fldCharType="begin"/>
      </w:r>
      <w:r w:rsidR="00825D98" w:rsidRPr="001A2D7B">
        <w:instrText xml:space="preserve"> TA \l "</w:instrText>
      </w:r>
      <w:r w:rsidR="00825D98" w:rsidRPr="001A2D7B">
        <w:rPr>
          <w:rFonts w:ascii="Century Schoolbook" w:hAnsi="Century Schoolbook"/>
          <w:i/>
          <w:iCs/>
          <w:sz w:val="24"/>
          <w:szCs w:val="24"/>
        </w:rPr>
        <w:instrText>Hubbard v. Holmes</w:instrText>
      </w:r>
      <w:r w:rsidR="00825D98" w:rsidRPr="001A2D7B">
        <w:rPr>
          <w:rFonts w:ascii="Century Schoolbook" w:hAnsi="Century Schoolbook"/>
          <w:sz w:val="24"/>
          <w:szCs w:val="24"/>
        </w:rPr>
        <w:instrText>, 2018 U.S. Dist. LEXIS 67278 (W.D.Va. 2018)</w:instrText>
      </w:r>
      <w:r w:rsidR="00825D98" w:rsidRPr="001A2D7B">
        <w:instrText xml:space="preserve">" \s "Hubbard v. Holmes, 2018 U.S. Dist. LEXIS 67278 (W.D.Va. 2018)" \c 1 </w:instrText>
      </w:r>
      <w:r w:rsidR="00825D98" w:rsidRPr="001A2D7B">
        <w:rPr>
          <w:rFonts w:ascii="Century Schoolbook" w:hAnsi="Century Schoolbook"/>
          <w:sz w:val="24"/>
          <w:szCs w:val="24"/>
        </w:rPr>
        <w:fldChar w:fldCharType="end"/>
      </w:r>
      <w:r w:rsidRPr="001A2D7B">
        <w:rPr>
          <w:rFonts w:ascii="Century Schoolbook" w:hAnsi="Century Schoolbook"/>
          <w:sz w:val="24"/>
          <w:szCs w:val="24"/>
        </w:rPr>
        <w:t xml:space="preserve"> on the issue of similarly-situated evidence</w:t>
      </w:r>
      <w:r w:rsidR="007F4DC3" w:rsidRPr="001A2D7B">
        <w:rPr>
          <w:rFonts w:ascii="Century Schoolbook" w:hAnsi="Century Schoolbook"/>
          <w:sz w:val="24"/>
          <w:szCs w:val="24"/>
        </w:rPr>
        <w:t>.  The trial court in Mr.</w:t>
      </w:r>
      <w:r w:rsidR="007F4DC3">
        <w:rPr>
          <w:rFonts w:ascii="Century Schoolbook" w:hAnsi="Century Schoolbook"/>
          <w:sz w:val="24"/>
          <w:szCs w:val="24"/>
        </w:rPr>
        <w:t xml:space="preserve"> Johnson’s case relied heavily on the now-overruled </w:t>
      </w:r>
      <w:r w:rsidR="007F4DC3">
        <w:rPr>
          <w:rFonts w:ascii="Century Schoolbook" w:hAnsi="Century Schoolbook"/>
          <w:i/>
          <w:iCs/>
          <w:sz w:val="24"/>
          <w:szCs w:val="24"/>
        </w:rPr>
        <w:t xml:space="preserve">Hubbard </w:t>
      </w:r>
      <w:r w:rsidR="00D97E39">
        <w:rPr>
          <w:rFonts w:ascii="Century Schoolbook" w:hAnsi="Century Schoolbook"/>
          <w:sz w:val="24"/>
          <w:szCs w:val="24"/>
        </w:rPr>
        <w:t>opinion</w:t>
      </w:r>
      <w:r w:rsidR="007F4DC3">
        <w:rPr>
          <w:rFonts w:ascii="Century Schoolbook" w:hAnsi="Century Schoolbook"/>
          <w:sz w:val="24"/>
          <w:szCs w:val="24"/>
        </w:rPr>
        <w:t xml:space="preserve">.  </w:t>
      </w:r>
      <w:r w:rsidRPr="006012B7">
        <w:rPr>
          <w:rFonts w:ascii="Century Schoolbook" w:hAnsi="Century Schoolbook"/>
          <w:sz w:val="24"/>
          <w:szCs w:val="24"/>
        </w:rPr>
        <w:t>(See Rpp 43-46)</w:t>
      </w:r>
    </w:p>
    <w:p w14:paraId="025BFD0C" w14:textId="77777777" w:rsidR="00D97E39" w:rsidRPr="00CC6528" w:rsidRDefault="00D97E39" w:rsidP="00F00D57">
      <w:pPr>
        <w:pStyle w:val="FootnoteText"/>
        <w:rPr>
          <w:rFonts w:ascii="Century Schoolbook" w:hAnsi="Century Schoolbook"/>
          <w:sz w:val="24"/>
          <w:szCs w:val="24"/>
        </w:rPr>
      </w:pPr>
    </w:p>
  </w:footnote>
  <w:footnote w:id="15">
    <w:p w14:paraId="6A8735B4" w14:textId="09F79B03" w:rsidR="00186A8D" w:rsidRPr="00431756" w:rsidRDefault="00186A8D" w:rsidP="00186A8D">
      <w:pPr>
        <w:spacing w:after="0" w:line="240" w:lineRule="auto"/>
        <w:rPr>
          <w:rFonts w:ascii="Century Schoolbook" w:eastAsia="Calibri" w:hAnsi="Century Schoolbook" w:cs="Times New Roman"/>
          <w:sz w:val="24"/>
          <w:szCs w:val="24"/>
        </w:rPr>
      </w:pPr>
      <w:r w:rsidRPr="00431756">
        <w:rPr>
          <w:rStyle w:val="FootnoteReference"/>
          <w:rFonts w:ascii="Century Schoolbook" w:hAnsi="Century Schoolbook"/>
          <w:sz w:val="24"/>
          <w:szCs w:val="24"/>
        </w:rPr>
        <w:footnoteRef/>
      </w:r>
      <w:r w:rsidRPr="00431756">
        <w:rPr>
          <w:rFonts w:ascii="Century Schoolbook" w:hAnsi="Century Schoolbook"/>
          <w:sz w:val="24"/>
          <w:szCs w:val="24"/>
        </w:rPr>
        <w:t xml:space="preserve">   </w:t>
      </w:r>
      <w:r w:rsidRPr="00431756">
        <w:rPr>
          <w:rFonts w:ascii="Century Schoolbook" w:eastAsia="Calibri" w:hAnsi="Century Schoolbook" w:cs="Times New Roman"/>
          <w:i/>
          <w:iCs/>
          <w:sz w:val="24"/>
          <w:szCs w:val="24"/>
        </w:rPr>
        <w:t>See Johnson</w:t>
      </w:r>
      <w:r w:rsidRPr="00431756">
        <w:rPr>
          <w:rFonts w:ascii="Century Schoolbook" w:eastAsia="Calibri" w:hAnsi="Century Schoolbook" w:cs="Times New Roman"/>
          <w:sz w:val="24"/>
          <w:szCs w:val="24"/>
        </w:rPr>
        <w:t xml:space="preserve">, 782 </w:t>
      </w:r>
      <w:r w:rsidRPr="001A2D7B">
        <w:rPr>
          <w:rFonts w:ascii="Century Schoolbook" w:eastAsia="Calibri" w:hAnsi="Century Schoolbook" w:cs="Times New Roman"/>
          <w:sz w:val="24"/>
          <w:szCs w:val="24"/>
        </w:rPr>
        <w:t>F.</w:t>
      </w:r>
      <w:r w:rsidR="00136DF1" w:rsidRPr="001A2D7B">
        <w:rPr>
          <w:rFonts w:ascii="Century Schoolbook" w:eastAsia="Calibri" w:hAnsi="Century Schoolbook" w:cs="Times New Roman"/>
          <w:sz w:val="24"/>
          <w:szCs w:val="24"/>
        </w:rPr>
        <w:t xml:space="preserve"> </w:t>
      </w:r>
      <w:r w:rsidRPr="001A2D7B">
        <w:rPr>
          <w:rFonts w:ascii="Century Schoolbook" w:eastAsia="Calibri" w:hAnsi="Century Schoolbook" w:cs="Times New Roman"/>
          <w:sz w:val="24"/>
          <w:szCs w:val="24"/>
        </w:rPr>
        <w:t>App’x a</w:t>
      </w:r>
      <w:r w:rsidRPr="00431756">
        <w:rPr>
          <w:rFonts w:ascii="Century Schoolbook" w:eastAsia="Calibri" w:hAnsi="Century Schoolbook" w:cs="Times New Roman"/>
          <w:sz w:val="24"/>
          <w:szCs w:val="24"/>
        </w:rPr>
        <w:t>t 281</w:t>
      </w:r>
      <w:r w:rsidR="00825D98">
        <w:rPr>
          <w:rFonts w:ascii="Century Schoolbook" w:eastAsia="Calibri" w:hAnsi="Century Schoolbook" w:cs="Times New Roman"/>
          <w:sz w:val="24"/>
          <w:szCs w:val="24"/>
        </w:rPr>
        <w:fldChar w:fldCharType="begin"/>
      </w:r>
      <w:r w:rsidR="00825D98">
        <w:instrText xml:space="preserve"> TA \s "Johnson v. Holmes, 782 F.App’x 269, 277 (4th Cir. 2019)" </w:instrText>
      </w:r>
      <w:r w:rsidR="00825D98">
        <w:rPr>
          <w:rFonts w:ascii="Century Schoolbook" w:eastAsia="Calibri" w:hAnsi="Century Schoolbook" w:cs="Times New Roman"/>
          <w:sz w:val="24"/>
          <w:szCs w:val="24"/>
        </w:rPr>
        <w:fldChar w:fldCharType="end"/>
      </w:r>
      <w:r w:rsidRPr="00431756">
        <w:rPr>
          <w:rFonts w:ascii="Century Schoolbook" w:eastAsia="Calibri" w:hAnsi="Century Schoolbook" w:cs="Times New Roman"/>
          <w:sz w:val="24"/>
          <w:szCs w:val="24"/>
        </w:rPr>
        <w:t xml:space="preserve"> (“the very entity who decides what data to record is the same entity that would benefit from vague or incomplete statistics in selective enforcement cases.”)  </w:t>
      </w:r>
    </w:p>
    <w:p w14:paraId="60242550" w14:textId="77777777" w:rsidR="00186A8D" w:rsidRDefault="00186A8D" w:rsidP="00186A8D">
      <w:pPr>
        <w:pStyle w:val="FootnoteText"/>
      </w:pPr>
    </w:p>
  </w:footnote>
  <w:footnote w:id="16">
    <w:p w14:paraId="4BDBAFA9" w14:textId="6D5A23F4" w:rsidR="00E94E31" w:rsidRPr="00857DF8" w:rsidRDefault="00E94E31" w:rsidP="00E94E31">
      <w:pPr>
        <w:pStyle w:val="FootnoteText"/>
        <w:rPr>
          <w:rFonts w:ascii="Century Schoolbook" w:hAnsi="Century Schoolbook"/>
          <w:sz w:val="24"/>
          <w:szCs w:val="24"/>
        </w:rPr>
      </w:pPr>
      <w:r w:rsidRPr="00857DF8">
        <w:rPr>
          <w:rStyle w:val="FootnoteReference"/>
          <w:rFonts w:ascii="Century Schoolbook" w:hAnsi="Century Schoolbook"/>
          <w:sz w:val="24"/>
          <w:szCs w:val="24"/>
        </w:rPr>
        <w:footnoteRef/>
      </w:r>
      <w:r w:rsidRPr="00857DF8">
        <w:rPr>
          <w:rFonts w:ascii="Century Schoolbook" w:hAnsi="Century Schoolbook"/>
          <w:sz w:val="24"/>
          <w:szCs w:val="24"/>
        </w:rPr>
        <w:t xml:space="preserve">   Mr. Johnson d</w:t>
      </w:r>
      <w:r>
        <w:rPr>
          <w:rFonts w:ascii="Century Schoolbook" w:hAnsi="Century Schoolbook"/>
          <w:sz w:val="24"/>
          <w:szCs w:val="24"/>
        </w:rPr>
        <w:t xml:space="preserve">id not appeal the stop </w:t>
      </w:r>
      <w:r w:rsidRPr="00857DF8">
        <w:rPr>
          <w:rFonts w:ascii="Century Schoolbook" w:hAnsi="Century Schoolbook"/>
          <w:sz w:val="24"/>
          <w:szCs w:val="24"/>
        </w:rPr>
        <w:t xml:space="preserve">on Fourth Amendment grounds because there was, arguably, reasonable suspicion based on the odor of marijuana after Kuchen approached Mr. Johnson’s car.  </w:t>
      </w:r>
      <w:r w:rsidR="00E95464">
        <w:rPr>
          <w:rFonts w:ascii="Century Schoolbook" w:hAnsi="Century Schoolbook"/>
          <w:sz w:val="24"/>
          <w:szCs w:val="24"/>
        </w:rPr>
        <w:t>E</w:t>
      </w:r>
      <w:r w:rsidRPr="00857DF8">
        <w:rPr>
          <w:rFonts w:ascii="Century Schoolbook" w:hAnsi="Century Schoolbook"/>
          <w:sz w:val="24"/>
          <w:szCs w:val="24"/>
        </w:rPr>
        <w:t xml:space="preserve">ven this reason may now be suspect.  </w:t>
      </w:r>
      <w:r w:rsidRPr="00857DF8">
        <w:rPr>
          <w:rFonts w:ascii="Century Schoolbook" w:hAnsi="Century Schoolbook"/>
          <w:i/>
          <w:iCs/>
          <w:sz w:val="24"/>
          <w:szCs w:val="24"/>
        </w:rPr>
        <w:t>See State v. Parker</w:t>
      </w:r>
      <w:r w:rsidRPr="00857DF8">
        <w:rPr>
          <w:rFonts w:ascii="Century Schoolbook" w:hAnsi="Century Schoolbook"/>
          <w:sz w:val="24"/>
          <w:szCs w:val="24"/>
        </w:rPr>
        <w:t>, 2021-NCCOA-217</w:t>
      </w:r>
      <w:r w:rsidR="00825D98">
        <w:rPr>
          <w:rFonts w:ascii="Century Schoolbook" w:hAnsi="Century Schoolbook"/>
          <w:sz w:val="24"/>
          <w:szCs w:val="24"/>
        </w:rPr>
        <w:fldChar w:fldCharType="begin"/>
      </w:r>
      <w:r w:rsidR="00825D98">
        <w:instrText xml:space="preserve"> TA \l "</w:instrText>
      </w:r>
      <w:r w:rsidR="00825D98" w:rsidRPr="001B0D25">
        <w:rPr>
          <w:rFonts w:ascii="Century Schoolbook" w:hAnsi="Century Schoolbook"/>
          <w:i/>
          <w:iCs/>
          <w:sz w:val="24"/>
          <w:szCs w:val="24"/>
        </w:rPr>
        <w:instrText>State v. Parker</w:instrText>
      </w:r>
      <w:r w:rsidR="00825D98" w:rsidRPr="001B0D25">
        <w:rPr>
          <w:rFonts w:ascii="Century Schoolbook" w:hAnsi="Century Schoolbook"/>
          <w:sz w:val="24"/>
          <w:szCs w:val="24"/>
        </w:rPr>
        <w:instrText>, 2021-NCCOA-217</w:instrText>
      </w:r>
      <w:r w:rsidR="00825D98">
        <w:instrText xml:space="preserve">" \s "State v. Parker, 2021-NCCOA-217" \c 1 </w:instrText>
      </w:r>
      <w:r w:rsidR="00825D98">
        <w:rPr>
          <w:rFonts w:ascii="Century Schoolbook" w:hAnsi="Century Schoolbook"/>
          <w:sz w:val="24"/>
          <w:szCs w:val="24"/>
        </w:rPr>
        <w:fldChar w:fldCharType="end"/>
      </w:r>
      <w:r w:rsidRPr="00857DF8">
        <w:rPr>
          <w:rFonts w:ascii="Century Schoolbook" w:hAnsi="Century Schoolbook"/>
          <w:sz w:val="24"/>
          <w:szCs w:val="24"/>
        </w:rPr>
        <w:t xml:space="preserve">, ¶ 30 (“Defendant’s appeal raises the possibility that these holdings may need to be re-examined.  If the scent of marijuana no longer conclusively indicates the presence of an illegal drug (given that legal hemp and illegal marijuana apparently smell the same), then the scent of marijuana may be insufficient to show probable cause to perform a search.”) </w:t>
      </w:r>
    </w:p>
    <w:p w14:paraId="45EEC062" w14:textId="77777777" w:rsidR="00E94E31" w:rsidRPr="00530CF1" w:rsidRDefault="00E94E31" w:rsidP="00E94E31">
      <w:pPr>
        <w:pStyle w:val="FootnoteText"/>
        <w:rPr>
          <w:rFonts w:ascii="Century Schoolbook" w:hAnsi="Century Schoolbook"/>
          <w:sz w:val="24"/>
          <w:szCs w:val="24"/>
        </w:rPr>
      </w:pPr>
    </w:p>
  </w:footnote>
  <w:footnote w:id="17">
    <w:p w14:paraId="03736F78" w14:textId="77777777" w:rsidR="00EA6790" w:rsidRPr="00444DA8" w:rsidRDefault="00EA6790" w:rsidP="00EA6790">
      <w:pPr>
        <w:pStyle w:val="FootnoteText"/>
        <w:rPr>
          <w:rFonts w:ascii="Century Schoolbook" w:hAnsi="Century Schoolbook"/>
          <w:sz w:val="24"/>
          <w:szCs w:val="24"/>
        </w:rPr>
      </w:pPr>
      <w:r w:rsidRPr="00444DA8">
        <w:rPr>
          <w:rStyle w:val="FootnoteReference"/>
          <w:rFonts w:ascii="Century Schoolbook" w:hAnsi="Century Schoolbook"/>
          <w:sz w:val="24"/>
          <w:szCs w:val="24"/>
        </w:rPr>
        <w:footnoteRef/>
      </w:r>
      <w:r w:rsidRPr="00444DA8">
        <w:rPr>
          <w:rFonts w:ascii="Century Schoolbook" w:hAnsi="Century Schoolbook"/>
          <w:sz w:val="24"/>
          <w:szCs w:val="24"/>
        </w:rPr>
        <w:t xml:space="preserve"> </w:t>
      </w:r>
      <w:r>
        <w:rPr>
          <w:rFonts w:ascii="Century Schoolbook" w:hAnsi="Century Schoolbook"/>
          <w:sz w:val="24"/>
          <w:szCs w:val="24"/>
        </w:rPr>
        <w:t xml:space="preserve"> </w:t>
      </w:r>
      <w:r w:rsidRPr="00444DA8">
        <w:rPr>
          <w:rFonts w:ascii="Century Schoolbook" w:hAnsi="Century Schoolbook"/>
          <w:sz w:val="24"/>
          <w:szCs w:val="24"/>
        </w:rPr>
        <w:t xml:space="preserve">Approaching people to interrogate them about their reasons for being somewhere is a questionable method of ‘proactive crime control.’  </w:t>
      </w:r>
      <w:r w:rsidRPr="00B55D08">
        <w:rPr>
          <w:rFonts w:ascii="Century Schoolbook" w:hAnsi="Century Schoolbook"/>
          <w:i/>
          <w:iCs/>
          <w:sz w:val="24"/>
          <w:szCs w:val="24"/>
        </w:rPr>
        <w:t>See</w:t>
      </w:r>
      <w:r w:rsidRPr="00444DA8">
        <w:rPr>
          <w:rFonts w:ascii="Century Schoolbook" w:hAnsi="Century Schoolbook"/>
          <w:sz w:val="24"/>
          <w:szCs w:val="24"/>
        </w:rPr>
        <w:t xml:space="preserve">, Williamson, Jason D., </w:t>
      </w:r>
    </w:p>
    <w:p w14:paraId="7E87F374" w14:textId="1C68D544" w:rsidR="00EA6790" w:rsidRDefault="00EA6790" w:rsidP="00EA6790">
      <w:pPr>
        <w:pStyle w:val="FootnoteText"/>
        <w:rPr>
          <w:rFonts w:ascii="Century Schoolbook" w:hAnsi="Century Schoolbook"/>
          <w:sz w:val="24"/>
          <w:szCs w:val="24"/>
        </w:rPr>
      </w:pPr>
      <w:r w:rsidRPr="00B55D08">
        <w:rPr>
          <w:rFonts w:ascii="Century Schoolbook" w:hAnsi="Century Schoolbook"/>
          <w:i/>
          <w:iCs/>
          <w:sz w:val="24"/>
          <w:szCs w:val="24"/>
        </w:rPr>
        <w:t xml:space="preserve">If You’re White, You’re a Customer. </w:t>
      </w:r>
      <w:r w:rsidR="00EB6529">
        <w:rPr>
          <w:rFonts w:ascii="Century Schoolbook" w:hAnsi="Century Schoolbook"/>
          <w:i/>
          <w:iCs/>
          <w:sz w:val="24"/>
          <w:szCs w:val="24"/>
        </w:rPr>
        <w:t xml:space="preserve"> </w:t>
      </w:r>
      <w:r w:rsidRPr="00B55D08">
        <w:rPr>
          <w:rFonts w:ascii="Century Schoolbook" w:hAnsi="Century Schoolbook"/>
          <w:i/>
          <w:iCs/>
          <w:sz w:val="24"/>
          <w:szCs w:val="24"/>
        </w:rPr>
        <w:t xml:space="preserve">If You’re Black, You’re Trespassing. </w:t>
      </w:r>
      <w:r w:rsidRPr="00444DA8">
        <w:rPr>
          <w:rFonts w:ascii="Century Schoolbook" w:hAnsi="Century Schoolbook"/>
          <w:sz w:val="24"/>
          <w:szCs w:val="24"/>
        </w:rPr>
        <w:t xml:space="preserve"> ACLU Criminal Law Reform Project, April 15, 2015.  Available at:  </w:t>
      </w:r>
    </w:p>
    <w:p w14:paraId="4093B76E" w14:textId="14903A43" w:rsidR="00EA6790" w:rsidRDefault="00B57C94" w:rsidP="00EA6790">
      <w:pPr>
        <w:pStyle w:val="FootnoteText"/>
      </w:pPr>
      <w:hyperlink r:id="rId3" w:history="1">
        <w:r w:rsidR="00EA6790" w:rsidRPr="00755AA4">
          <w:rPr>
            <w:rStyle w:val="Hyperlink"/>
            <w:rFonts w:ascii="Century Schoolbook" w:hAnsi="Century Schoolbook"/>
            <w:sz w:val="24"/>
            <w:szCs w:val="24"/>
          </w:rPr>
          <w:t>https://www.aclu.org/blog/criminal-law-reform/reforming-police/if-youre-white-youre-customer-if-youre-black-youre</w:t>
        </w:r>
      </w:hyperlink>
      <w:r w:rsidR="00EA6790">
        <w:rPr>
          <w:rFonts w:ascii="Century Schoolbook" w:hAnsi="Century Schoolbook"/>
          <w:sz w:val="24"/>
          <w:szCs w:val="24"/>
        </w:rPr>
        <w:t xml:space="preserve">.  Trial counsel here </w:t>
      </w:r>
      <w:r w:rsidR="00EB6529">
        <w:rPr>
          <w:rFonts w:ascii="Century Schoolbook" w:hAnsi="Century Schoolbook"/>
          <w:sz w:val="24"/>
          <w:szCs w:val="24"/>
        </w:rPr>
        <w:t xml:space="preserve">explicitly </w:t>
      </w:r>
      <w:r w:rsidR="00EA6790">
        <w:rPr>
          <w:rFonts w:ascii="Century Schoolbook" w:hAnsi="Century Schoolbook"/>
          <w:sz w:val="24"/>
          <w:szCs w:val="24"/>
        </w:rPr>
        <w:t>a</w:t>
      </w:r>
      <w:r w:rsidR="00EA6790" w:rsidRPr="00444DA8">
        <w:rPr>
          <w:rFonts w:ascii="Century Schoolbook" w:hAnsi="Century Schoolbook"/>
          <w:sz w:val="24"/>
          <w:szCs w:val="24"/>
        </w:rPr>
        <w:t xml:space="preserve">rgued Officer Kuchen’s testimony </w:t>
      </w:r>
      <w:r w:rsidR="00EA6790">
        <w:rPr>
          <w:rFonts w:ascii="Century Schoolbook" w:hAnsi="Century Schoolbook"/>
          <w:sz w:val="24"/>
          <w:szCs w:val="24"/>
        </w:rPr>
        <w:t>seemed to “</w:t>
      </w:r>
      <w:r w:rsidR="00EA6790" w:rsidRPr="00444DA8">
        <w:rPr>
          <w:rFonts w:ascii="Century Schoolbook" w:hAnsi="Century Schoolbook"/>
          <w:sz w:val="24"/>
          <w:szCs w:val="24"/>
        </w:rPr>
        <w:t>imply that people at this apartment complex enjoy a lesser degree of protection from being stopped without a particularized suspicion of criminal wrongdoing</w:t>
      </w:r>
      <w:r w:rsidR="00095AD8">
        <w:rPr>
          <w:rFonts w:ascii="Century Schoolbook" w:hAnsi="Century Schoolbook"/>
          <w:sz w:val="24"/>
          <w:szCs w:val="24"/>
        </w:rPr>
        <w:t>.</w:t>
      </w:r>
      <w:r w:rsidR="00EA6790" w:rsidRPr="00444DA8">
        <w:rPr>
          <w:rFonts w:ascii="Century Schoolbook" w:hAnsi="Century Schoolbook"/>
          <w:sz w:val="24"/>
          <w:szCs w:val="24"/>
        </w:rPr>
        <w:t xml:space="preserve">”  (Tpp 82-83)  </w:t>
      </w:r>
    </w:p>
  </w:footnote>
  <w:footnote w:id="18">
    <w:p w14:paraId="110728D5" w14:textId="77777777" w:rsidR="00C85C14" w:rsidRPr="00B652EB" w:rsidRDefault="00C85C14" w:rsidP="00C85C14">
      <w:pPr>
        <w:pStyle w:val="FootnoteText"/>
        <w:rPr>
          <w:rFonts w:ascii="Century Schoolbook" w:hAnsi="Century Schoolbook"/>
          <w:sz w:val="24"/>
          <w:szCs w:val="24"/>
        </w:rPr>
      </w:pPr>
      <w:r w:rsidRPr="00B652EB">
        <w:rPr>
          <w:rStyle w:val="FootnoteReference"/>
          <w:rFonts w:ascii="Century Schoolbook" w:hAnsi="Century Schoolbook"/>
          <w:sz w:val="24"/>
          <w:szCs w:val="24"/>
        </w:rPr>
        <w:footnoteRef/>
      </w:r>
      <w:r w:rsidRPr="00B652EB">
        <w:rPr>
          <w:rFonts w:ascii="Century Schoolbook" w:hAnsi="Century Schoolbook"/>
          <w:sz w:val="24"/>
          <w:szCs w:val="24"/>
        </w:rPr>
        <w:t xml:space="preserve">  </w:t>
      </w:r>
      <w:r>
        <w:rPr>
          <w:rFonts w:ascii="Century Schoolbook" w:hAnsi="Century Schoolbook"/>
          <w:sz w:val="24"/>
          <w:szCs w:val="24"/>
        </w:rPr>
        <w:t xml:space="preserve">Notably, Mr. Johnson was not charged with trespassing.  </w:t>
      </w:r>
      <w:r w:rsidRPr="00B652EB">
        <w:rPr>
          <w:rFonts w:ascii="Century Schoolbook" w:hAnsi="Century Schoolbook"/>
          <w:sz w:val="24"/>
          <w:szCs w:val="24"/>
        </w:rPr>
        <w:t>(Rp</w:t>
      </w:r>
      <w:r>
        <w:rPr>
          <w:rFonts w:ascii="Century Schoolbook" w:hAnsi="Century Schoolbook"/>
          <w:sz w:val="24"/>
          <w:szCs w:val="24"/>
        </w:rPr>
        <w:t>p</w:t>
      </w:r>
      <w:r w:rsidRPr="00B652EB">
        <w:rPr>
          <w:rFonts w:ascii="Century Schoolbook" w:hAnsi="Century Schoolbook"/>
          <w:sz w:val="24"/>
          <w:szCs w:val="24"/>
        </w:rPr>
        <w:t xml:space="preserve"> </w:t>
      </w:r>
      <w:r>
        <w:rPr>
          <w:rFonts w:ascii="Century Schoolbook" w:hAnsi="Century Schoolbook"/>
          <w:sz w:val="24"/>
          <w:szCs w:val="24"/>
        </w:rPr>
        <w:t>2-4, 49-52)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1AD" w14:textId="77777777" w:rsidR="007B0F13" w:rsidRPr="00A720A6" w:rsidRDefault="007B0F13">
    <w:pPr>
      <w:pStyle w:val="Header"/>
      <w:jc w:val="center"/>
      <w:rPr>
        <w:rFonts w:ascii="Century Schoolbook" w:hAnsi="Century Schoolbook"/>
        <w:sz w:val="26"/>
        <w:szCs w:val="26"/>
      </w:rPr>
    </w:pPr>
    <w:r w:rsidRPr="00A720A6">
      <w:rPr>
        <w:rFonts w:ascii="Century Schoolbook" w:hAnsi="Century Schoolbook"/>
        <w:sz w:val="26"/>
        <w:szCs w:val="26"/>
      </w:rPr>
      <w:fldChar w:fldCharType="begin"/>
    </w:r>
    <w:r w:rsidRPr="00A720A6">
      <w:rPr>
        <w:rFonts w:ascii="Century Schoolbook" w:hAnsi="Century Schoolbook"/>
        <w:sz w:val="26"/>
        <w:szCs w:val="26"/>
      </w:rPr>
      <w:instrText xml:space="preserve"> PAGE   \* MERGEFORMAT </w:instrText>
    </w:r>
    <w:r w:rsidRPr="00A720A6">
      <w:rPr>
        <w:rFonts w:ascii="Century Schoolbook" w:hAnsi="Century Schoolbook"/>
        <w:sz w:val="26"/>
        <w:szCs w:val="26"/>
      </w:rPr>
      <w:fldChar w:fldCharType="separate"/>
    </w:r>
    <w:r>
      <w:rPr>
        <w:rFonts w:ascii="Century Schoolbook" w:hAnsi="Century Schoolbook"/>
        <w:noProof/>
        <w:sz w:val="26"/>
        <w:szCs w:val="26"/>
      </w:rPr>
      <w:t>ii</w:t>
    </w:r>
    <w:r w:rsidRPr="00A720A6">
      <w:rPr>
        <w:rFonts w:ascii="Century Schoolbook" w:hAnsi="Century Schoolbook"/>
        <w:noProof/>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5BCC" w14:textId="77777777" w:rsidR="007B0F13" w:rsidRPr="00C3562C" w:rsidRDefault="007B0F13">
    <w:pPr>
      <w:pStyle w:val="Header"/>
      <w:jc w:val="center"/>
      <w:rPr>
        <w:rFonts w:ascii="Century Schoolbook" w:hAnsi="Century Schoolbook"/>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424F" w14:textId="77777777" w:rsidR="007B0F13" w:rsidRPr="00C3562C" w:rsidRDefault="007B0F13">
    <w:pPr>
      <w:pStyle w:val="Header"/>
      <w:jc w:val="center"/>
      <w:rPr>
        <w:rFonts w:ascii="Century Schoolbook" w:hAnsi="Century Schoolbook"/>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ACAC" w14:textId="77777777" w:rsidR="007B0F13" w:rsidRPr="00C3562C" w:rsidRDefault="007B0F13">
    <w:pPr>
      <w:pStyle w:val="Header"/>
      <w:jc w:val="center"/>
      <w:rPr>
        <w:rFonts w:ascii="Century Schoolbook" w:hAnsi="Century Schoolbook"/>
        <w:sz w:val="26"/>
        <w:szCs w:val="26"/>
      </w:rPr>
    </w:pPr>
    <w:r w:rsidRPr="002863EA">
      <w:rPr>
        <w:rFonts w:ascii="Century Schoolbook" w:hAnsi="Century Schoolbook"/>
        <w:sz w:val="26"/>
        <w:szCs w:val="26"/>
      </w:rPr>
      <w:fldChar w:fldCharType="begin"/>
    </w:r>
    <w:r w:rsidRPr="002863EA">
      <w:rPr>
        <w:rFonts w:ascii="Century Schoolbook" w:hAnsi="Century Schoolbook"/>
        <w:sz w:val="26"/>
        <w:szCs w:val="26"/>
      </w:rPr>
      <w:instrText xml:space="preserve"> PAGE   \* MERGEFORMAT </w:instrText>
    </w:r>
    <w:r w:rsidRPr="002863EA">
      <w:rPr>
        <w:rFonts w:ascii="Century Schoolbook" w:hAnsi="Century Schoolbook"/>
        <w:sz w:val="26"/>
        <w:szCs w:val="26"/>
      </w:rPr>
      <w:fldChar w:fldCharType="separate"/>
    </w:r>
    <w:r w:rsidRPr="002863EA">
      <w:rPr>
        <w:rFonts w:ascii="Century Schoolbook" w:hAnsi="Century Schoolbook"/>
        <w:noProof/>
        <w:sz w:val="26"/>
        <w:szCs w:val="26"/>
      </w:rPr>
      <w:t>1</w:t>
    </w:r>
    <w:r w:rsidRPr="002863EA">
      <w:rPr>
        <w:rFonts w:ascii="Century Schoolbook" w:hAnsi="Century Schoolbook"/>
        <w:noProof/>
        <w:sz w:val="26"/>
        <w:szCs w:val="2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4845" w14:textId="77777777" w:rsidR="007B0F13" w:rsidRPr="002863EA" w:rsidRDefault="007B0F13" w:rsidP="002863EA">
    <w:pPr>
      <w:pStyle w:val="Header"/>
      <w:jc w:val="center"/>
      <w:rPr>
        <w:rFonts w:ascii="Century Schoolbook" w:hAnsi="Century Schoolbook"/>
        <w:sz w:val="24"/>
        <w:szCs w:val="24"/>
      </w:rPr>
    </w:pPr>
    <w:r w:rsidRPr="002863EA">
      <w:rPr>
        <w:rFonts w:ascii="Century Schoolbook" w:hAnsi="Century Schoolbook"/>
        <w:sz w:val="24"/>
        <w:szCs w:val="24"/>
      </w:rPr>
      <w:fldChar w:fldCharType="begin"/>
    </w:r>
    <w:r w:rsidRPr="002863EA">
      <w:rPr>
        <w:rFonts w:ascii="Century Schoolbook" w:hAnsi="Century Schoolbook"/>
        <w:sz w:val="24"/>
        <w:szCs w:val="24"/>
      </w:rPr>
      <w:instrText xml:space="preserve"> PAGE   \* MERGEFORMAT </w:instrText>
    </w:r>
    <w:r w:rsidRPr="002863EA">
      <w:rPr>
        <w:rFonts w:ascii="Century Schoolbook" w:hAnsi="Century Schoolbook"/>
        <w:sz w:val="24"/>
        <w:szCs w:val="24"/>
      </w:rPr>
      <w:fldChar w:fldCharType="separate"/>
    </w:r>
    <w:r w:rsidRPr="002863EA">
      <w:rPr>
        <w:rFonts w:ascii="Century Schoolbook" w:hAnsi="Century Schoolbook"/>
        <w:noProof/>
        <w:sz w:val="24"/>
        <w:szCs w:val="24"/>
      </w:rPr>
      <w:t>1</w:t>
    </w:r>
    <w:r w:rsidRPr="002863EA">
      <w:rPr>
        <w:rFonts w:ascii="Century Schoolbook" w:hAnsi="Century Schoolbook"/>
        <w:noProof/>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AA0C" w14:textId="27DDDC6C" w:rsidR="006E2296" w:rsidRPr="006E2296" w:rsidRDefault="006E2296" w:rsidP="006E2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C41B9"/>
    <w:multiLevelType w:val="hybridMultilevel"/>
    <w:tmpl w:val="318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63F7F"/>
    <w:multiLevelType w:val="hybridMultilevel"/>
    <w:tmpl w:val="33EA0392"/>
    <w:lvl w:ilvl="0" w:tplc="8FE00F02">
      <w:start w:val="2"/>
      <w:numFmt w:val="bullet"/>
      <w:lvlText w:val="-"/>
      <w:lvlJc w:val="left"/>
      <w:pPr>
        <w:ind w:left="1080" w:hanging="360"/>
      </w:pPr>
      <w:rPr>
        <w:rFonts w:ascii="Century Schoolbook" w:eastAsia="Times New Roman"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336F6C"/>
    <w:multiLevelType w:val="hybridMultilevel"/>
    <w:tmpl w:val="B8B219AE"/>
    <w:lvl w:ilvl="0" w:tplc="58C2A7AC">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40AB6"/>
    <w:multiLevelType w:val="hybridMultilevel"/>
    <w:tmpl w:val="198EAAB0"/>
    <w:lvl w:ilvl="0" w:tplc="5A4A4770">
      <w:start w:val="2"/>
      <w:numFmt w:val="bullet"/>
      <w:lvlText w:val="-"/>
      <w:lvlJc w:val="left"/>
      <w:pPr>
        <w:ind w:left="1080" w:hanging="360"/>
      </w:pPr>
      <w:rPr>
        <w:rFonts w:ascii="Century Schoolbook" w:eastAsia="Calibri"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13"/>
    <w:rsid w:val="0000067C"/>
    <w:rsid w:val="00002C12"/>
    <w:rsid w:val="00005354"/>
    <w:rsid w:val="00005890"/>
    <w:rsid w:val="00010890"/>
    <w:rsid w:val="00012E9B"/>
    <w:rsid w:val="00013354"/>
    <w:rsid w:val="00014266"/>
    <w:rsid w:val="00014568"/>
    <w:rsid w:val="00015604"/>
    <w:rsid w:val="000163B1"/>
    <w:rsid w:val="0001695E"/>
    <w:rsid w:val="00016B96"/>
    <w:rsid w:val="00017A46"/>
    <w:rsid w:val="000205B0"/>
    <w:rsid w:val="00020ECD"/>
    <w:rsid w:val="0002397C"/>
    <w:rsid w:val="000242E8"/>
    <w:rsid w:val="00024812"/>
    <w:rsid w:val="00024DA4"/>
    <w:rsid w:val="00025289"/>
    <w:rsid w:val="00025BF7"/>
    <w:rsid w:val="000262B5"/>
    <w:rsid w:val="0002726B"/>
    <w:rsid w:val="00027DB1"/>
    <w:rsid w:val="00030239"/>
    <w:rsid w:val="00031BAA"/>
    <w:rsid w:val="000332FB"/>
    <w:rsid w:val="000343C4"/>
    <w:rsid w:val="000345B5"/>
    <w:rsid w:val="000350F3"/>
    <w:rsid w:val="00037BE1"/>
    <w:rsid w:val="000400CE"/>
    <w:rsid w:val="00040B1B"/>
    <w:rsid w:val="00041656"/>
    <w:rsid w:val="0004225C"/>
    <w:rsid w:val="000427DA"/>
    <w:rsid w:val="00043061"/>
    <w:rsid w:val="00043C46"/>
    <w:rsid w:val="00044123"/>
    <w:rsid w:val="00051D75"/>
    <w:rsid w:val="00053ED5"/>
    <w:rsid w:val="00057DB7"/>
    <w:rsid w:val="00061478"/>
    <w:rsid w:val="00067156"/>
    <w:rsid w:val="0007043E"/>
    <w:rsid w:val="00070512"/>
    <w:rsid w:val="000710A3"/>
    <w:rsid w:val="000713CA"/>
    <w:rsid w:val="00071565"/>
    <w:rsid w:val="00072159"/>
    <w:rsid w:val="0007244A"/>
    <w:rsid w:val="00072F3D"/>
    <w:rsid w:val="0007361A"/>
    <w:rsid w:val="000744BC"/>
    <w:rsid w:val="0007546A"/>
    <w:rsid w:val="00077282"/>
    <w:rsid w:val="000815E5"/>
    <w:rsid w:val="00083117"/>
    <w:rsid w:val="0008322A"/>
    <w:rsid w:val="0008477D"/>
    <w:rsid w:val="00085518"/>
    <w:rsid w:val="00087C3F"/>
    <w:rsid w:val="00090369"/>
    <w:rsid w:val="00090D15"/>
    <w:rsid w:val="000917BF"/>
    <w:rsid w:val="00092973"/>
    <w:rsid w:val="00094F43"/>
    <w:rsid w:val="00094FDC"/>
    <w:rsid w:val="00095AD8"/>
    <w:rsid w:val="00095B15"/>
    <w:rsid w:val="0009656E"/>
    <w:rsid w:val="00096E16"/>
    <w:rsid w:val="00097C78"/>
    <w:rsid w:val="000A08CC"/>
    <w:rsid w:val="000A0A6A"/>
    <w:rsid w:val="000A10D8"/>
    <w:rsid w:val="000A372D"/>
    <w:rsid w:val="000A4273"/>
    <w:rsid w:val="000A4E79"/>
    <w:rsid w:val="000A7AD8"/>
    <w:rsid w:val="000B176F"/>
    <w:rsid w:val="000B2C83"/>
    <w:rsid w:val="000B36D9"/>
    <w:rsid w:val="000B565F"/>
    <w:rsid w:val="000B57D7"/>
    <w:rsid w:val="000B5B1F"/>
    <w:rsid w:val="000B67A4"/>
    <w:rsid w:val="000B6A64"/>
    <w:rsid w:val="000B70EA"/>
    <w:rsid w:val="000B7D5E"/>
    <w:rsid w:val="000B7E48"/>
    <w:rsid w:val="000C3CBE"/>
    <w:rsid w:val="000C3EA5"/>
    <w:rsid w:val="000C414E"/>
    <w:rsid w:val="000C44AB"/>
    <w:rsid w:val="000C4FC9"/>
    <w:rsid w:val="000C52AB"/>
    <w:rsid w:val="000C62E5"/>
    <w:rsid w:val="000C6BAC"/>
    <w:rsid w:val="000C7B11"/>
    <w:rsid w:val="000D087C"/>
    <w:rsid w:val="000D1EF7"/>
    <w:rsid w:val="000D342A"/>
    <w:rsid w:val="000D3BAD"/>
    <w:rsid w:val="000D40BE"/>
    <w:rsid w:val="000D4195"/>
    <w:rsid w:val="000D50DF"/>
    <w:rsid w:val="000D5AEC"/>
    <w:rsid w:val="000D5B3B"/>
    <w:rsid w:val="000D5D0D"/>
    <w:rsid w:val="000E3851"/>
    <w:rsid w:val="000E4CCD"/>
    <w:rsid w:val="000E69FC"/>
    <w:rsid w:val="000F1E7F"/>
    <w:rsid w:val="000F3192"/>
    <w:rsid w:val="000F3952"/>
    <w:rsid w:val="000F4DE1"/>
    <w:rsid w:val="000F55E3"/>
    <w:rsid w:val="000F6C02"/>
    <w:rsid w:val="000F7529"/>
    <w:rsid w:val="000F758A"/>
    <w:rsid w:val="00100FE8"/>
    <w:rsid w:val="00101DA6"/>
    <w:rsid w:val="00101FB7"/>
    <w:rsid w:val="00102547"/>
    <w:rsid w:val="0010373C"/>
    <w:rsid w:val="00104D18"/>
    <w:rsid w:val="00105196"/>
    <w:rsid w:val="001062FE"/>
    <w:rsid w:val="0010633B"/>
    <w:rsid w:val="001076A3"/>
    <w:rsid w:val="0011109E"/>
    <w:rsid w:val="0011116D"/>
    <w:rsid w:val="00112E1F"/>
    <w:rsid w:val="00112ED1"/>
    <w:rsid w:val="00113017"/>
    <w:rsid w:val="0011669C"/>
    <w:rsid w:val="001168BC"/>
    <w:rsid w:val="001171E3"/>
    <w:rsid w:val="00117F5B"/>
    <w:rsid w:val="001202D2"/>
    <w:rsid w:val="0012187C"/>
    <w:rsid w:val="00122FC6"/>
    <w:rsid w:val="00123445"/>
    <w:rsid w:val="0012387B"/>
    <w:rsid w:val="001242D4"/>
    <w:rsid w:val="00126173"/>
    <w:rsid w:val="0012674C"/>
    <w:rsid w:val="00126DC0"/>
    <w:rsid w:val="00130106"/>
    <w:rsid w:val="0013088D"/>
    <w:rsid w:val="001316D2"/>
    <w:rsid w:val="0013195A"/>
    <w:rsid w:val="00131D5E"/>
    <w:rsid w:val="00132B36"/>
    <w:rsid w:val="0013342A"/>
    <w:rsid w:val="00133581"/>
    <w:rsid w:val="001344B1"/>
    <w:rsid w:val="00134779"/>
    <w:rsid w:val="00134E4C"/>
    <w:rsid w:val="001353E7"/>
    <w:rsid w:val="00135488"/>
    <w:rsid w:val="00135590"/>
    <w:rsid w:val="00135776"/>
    <w:rsid w:val="00136D11"/>
    <w:rsid w:val="00136DF1"/>
    <w:rsid w:val="001372FF"/>
    <w:rsid w:val="00137A07"/>
    <w:rsid w:val="00140951"/>
    <w:rsid w:val="00141B96"/>
    <w:rsid w:val="0014280F"/>
    <w:rsid w:val="00142E7D"/>
    <w:rsid w:val="001447B0"/>
    <w:rsid w:val="00144C01"/>
    <w:rsid w:val="00144C3A"/>
    <w:rsid w:val="00146A81"/>
    <w:rsid w:val="00146E1C"/>
    <w:rsid w:val="00146F89"/>
    <w:rsid w:val="00146FAD"/>
    <w:rsid w:val="001504F1"/>
    <w:rsid w:val="00150588"/>
    <w:rsid w:val="00151B67"/>
    <w:rsid w:val="00152521"/>
    <w:rsid w:val="0015362B"/>
    <w:rsid w:val="00154897"/>
    <w:rsid w:val="0015688F"/>
    <w:rsid w:val="00156CE5"/>
    <w:rsid w:val="001630EA"/>
    <w:rsid w:val="00163D1B"/>
    <w:rsid w:val="00164D6A"/>
    <w:rsid w:val="0016560D"/>
    <w:rsid w:val="00165E7C"/>
    <w:rsid w:val="00166420"/>
    <w:rsid w:val="00166849"/>
    <w:rsid w:val="0017088C"/>
    <w:rsid w:val="00171EAF"/>
    <w:rsid w:val="00172BEC"/>
    <w:rsid w:val="0017374F"/>
    <w:rsid w:val="00175340"/>
    <w:rsid w:val="00175CB1"/>
    <w:rsid w:val="00176AAB"/>
    <w:rsid w:val="00177881"/>
    <w:rsid w:val="00177A66"/>
    <w:rsid w:val="00180513"/>
    <w:rsid w:val="00180B11"/>
    <w:rsid w:val="00181B88"/>
    <w:rsid w:val="00182884"/>
    <w:rsid w:val="00184670"/>
    <w:rsid w:val="00184A82"/>
    <w:rsid w:val="00186A8D"/>
    <w:rsid w:val="0018755F"/>
    <w:rsid w:val="00191068"/>
    <w:rsid w:val="0019135C"/>
    <w:rsid w:val="00192F46"/>
    <w:rsid w:val="001930CA"/>
    <w:rsid w:val="00193DFF"/>
    <w:rsid w:val="00195541"/>
    <w:rsid w:val="00196DE9"/>
    <w:rsid w:val="00197C33"/>
    <w:rsid w:val="001A1FF0"/>
    <w:rsid w:val="001A2D7B"/>
    <w:rsid w:val="001A39C2"/>
    <w:rsid w:val="001A4B70"/>
    <w:rsid w:val="001A50F1"/>
    <w:rsid w:val="001A6A77"/>
    <w:rsid w:val="001A6A84"/>
    <w:rsid w:val="001A6C3E"/>
    <w:rsid w:val="001A7AE5"/>
    <w:rsid w:val="001B0A63"/>
    <w:rsid w:val="001B1AA8"/>
    <w:rsid w:val="001B1AD2"/>
    <w:rsid w:val="001B20E8"/>
    <w:rsid w:val="001B38E0"/>
    <w:rsid w:val="001B44E6"/>
    <w:rsid w:val="001B501E"/>
    <w:rsid w:val="001B5F75"/>
    <w:rsid w:val="001B6BED"/>
    <w:rsid w:val="001B71CE"/>
    <w:rsid w:val="001B7388"/>
    <w:rsid w:val="001B782A"/>
    <w:rsid w:val="001C2030"/>
    <w:rsid w:val="001C2334"/>
    <w:rsid w:val="001C2741"/>
    <w:rsid w:val="001C4843"/>
    <w:rsid w:val="001C48B6"/>
    <w:rsid w:val="001C4DD1"/>
    <w:rsid w:val="001C5034"/>
    <w:rsid w:val="001C5538"/>
    <w:rsid w:val="001C6308"/>
    <w:rsid w:val="001D2BAD"/>
    <w:rsid w:val="001D40BB"/>
    <w:rsid w:val="001D41A4"/>
    <w:rsid w:val="001D4312"/>
    <w:rsid w:val="001D457C"/>
    <w:rsid w:val="001D5228"/>
    <w:rsid w:val="001D6796"/>
    <w:rsid w:val="001D7224"/>
    <w:rsid w:val="001D786A"/>
    <w:rsid w:val="001E0A82"/>
    <w:rsid w:val="001E0BC9"/>
    <w:rsid w:val="001E1A3A"/>
    <w:rsid w:val="001E2115"/>
    <w:rsid w:val="001E25DA"/>
    <w:rsid w:val="001E333B"/>
    <w:rsid w:val="001E4068"/>
    <w:rsid w:val="001E593C"/>
    <w:rsid w:val="001E59C7"/>
    <w:rsid w:val="001E609B"/>
    <w:rsid w:val="001E6D12"/>
    <w:rsid w:val="001F2EB0"/>
    <w:rsid w:val="001F3527"/>
    <w:rsid w:val="001F48E0"/>
    <w:rsid w:val="001F52DC"/>
    <w:rsid w:val="002000D2"/>
    <w:rsid w:val="00200333"/>
    <w:rsid w:val="00204BFB"/>
    <w:rsid w:val="00205B66"/>
    <w:rsid w:val="00205DDE"/>
    <w:rsid w:val="00206DC0"/>
    <w:rsid w:val="0020762F"/>
    <w:rsid w:val="002104EC"/>
    <w:rsid w:val="00210C22"/>
    <w:rsid w:val="00211F3F"/>
    <w:rsid w:val="00212D09"/>
    <w:rsid w:val="00212ECC"/>
    <w:rsid w:val="00215AD1"/>
    <w:rsid w:val="00215C02"/>
    <w:rsid w:val="0021660C"/>
    <w:rsid w:val="002166D6"/>
    <w:rsid w:val="00217D44"/>
    <w:rsid w:val="00221D42"/>
    <w:rsid w:val="00222A92"/>
    <w:rsid w:val="00222B64"/>
    <w:rsid w:val="002230FF"/>
    <w:rsid w:val="00223381"/>
    <w:rsid w:val="002239C5"/>
    <w:rsid w:val="00224551"/>
    <w:rsid w:val="00224D2E"/>
    <w:rsid w:val="00224E98"/>
    <w:rsid w:val="0022631F"/>
    <w:rsid w:val="002273BE"/>
    <w:rsid w:val="002301A2"/>
    <w:rsid w:val="0023112B"/>
    <w:rsid w:val="0023114C"/>
    <w:rsid w:val="002340CC"/>
    <w:rsid w:val="0023418A"/>
    <w:rsid w:val="002353A9"/>
    <w:rsid w:val="00235B7A"/>
    <w:rsid w:val="00235DE5"/>
    <w:rsid w:val="00236957"/>
    <w:rsid w:val="0024169C"/>
    <w:rsid w:val="00241FDD"/>
    <w:rsid w:val="00245DD7"/>
    <w:rsid w:val="00245E73"/>
    <w:rsid w:val="00246C89"/>
    <w:rsid w:val="0024700A"/>
    <w:rsid w:val="00250625"/>
    <w:rsid w:val="00250C1A"/>
    <w:rsid w:val="002519C3"/>
    <w:rsid w:val="00252CD7"/>
    <w:rsid w:val="002538F7"/>
    <w:rsid w:val="00253FD5"/>
    <w:rsid w:val="002546E8"/>
    <w:rsid w:val="0025555E"/>
    <w:rsid w:val="002556D2"/>
    <w:rsid w:val="00256282"/>
    <w:rsid w:val="0025664C"/>
    <w:rsid w:val="00257F8A"/>
    <w:rsid w:val="00260108"/>
    <w:rsid w:val="00260A5D"/>
    <w:rsid w:val="00261B17"/>
    <w:rsid w:val="00262EEE"/>
    <w:rsid w:val="00263262"/>
    <w:rsid w:val="00263349"/>
    <w:rsid w:val="0026777A"/>
    <w:rsid w:val="002754AE"/>
    <w:rsid w:val="00276174"/>
    <w:rsid w:val="002764DC"/>
    <w:rsid w:val="002764ED"/>
    <w:rsid w:val="002775D6"/>
    <w:rsid w:val="00277C30"/>
    <w:rsid w:val="00280490"/>
    <w:rsid w:val="002816F4"/>
    <w:rsid w:val="00281CFD"/>
    <w:rsid w:val="00282426"/>
    <w:rsid w:val="002879BA"/>
    <w:rsid w:val="002916B9"/>
    <w:rsid w:val="0029180D"/>
    <w:rsid w:val="00291941"/>
    <w:rsid w:val="00293108"/>
    <w:rsid w:val="00295AFE"/>
    <w:rsid w:val="00295EE5"/>
    <w:rsid w:val="00296192"/>
    <w:rsid w:val="00296201"/>
    <w:rsid w:val="0029657D"/>
    <w:rsid w:val="002979ED"/>
    <w:rsid w:val="002A0D5B"/>
    <w:rsid w:val="002A197E"/>
    <w:rsid w:val="002A2244"/>
    <w:rsid w:val="002A58AF"/>
    <w:rsid w:val="002A5C21"/>
    <w:rsid w:val="002A624C"/>
    <w:rsid w:val="002A67A5"/>
    <w:rsid w:val="002B111A"/>
    <w:rsid w:val="002B1416"/>
    <w:rsid w:val="002B1D88"/>
    <w:rsid w:val="002B2FF2"/>
    <w:rsid w:val="002B37E2"/>
    <w:rsid w:val="002B42E3"/>
    <w:rsid w:val="002B451F"/>
    <w:rsid w:val="002B5EE5"/>
    <w:rsid w:val="002B6BB1"/>
    <w:rsid w:val="002B7446"/>
    <w:rsid w:val="002B7476"/>
    <w:rsid w:val="002B7A1E"/>
    <w:rsid w:val="002C0CC7"/>
    <w:rsid w:val="002C1CE6"/>
    <w:rsid w:val="002C1E3A"/>
    <w:rsid w:val="002C217C"/>
    <w:rsid w:val="002C2445"/>
    <w:rsid w:val="002C2757"/>
    <w:rsid w:val="002C3846"/>
    <w:rsid w:val="002C51E0"/>
    <w:rsid w:val="002C55EA"/>
    <w:rsid w:val="002C79B2"/>
    <w:rsid w:val="002C79B8"/>
    <w:rsid w:val="002D084F"/>
    <w:rsid w:val="002D0B70"/>
    <w:rsid w:val="002D0B93"/>
    <w:rsid w:val="002D0E2D"/>
    <w:rsid w:val="002D157B"/>
    <w:rsid w:val="002D19AE"/>
    <w:rsid w:val="002D22FA"/>
    <w:rsid w:val="002D242E"/>
    <w:rsid w:val="002D25DB"/>
    <w:rsid w:val="002D262B"/>
    <w:rsid w:val="002D2B9C"/>
    <w:rsid w:val="002D3247"/>
    <w:rsid w:val="002D4841"/>
    <w:rsid w:val="002D489A"/>
    <w:rsid w:val="002D52F0"/>
    <w:rsid w:val="002D78E8"/>
    <w:rsid w:val="002E0C00"/>
    <w:rsid w:val="002E0D30"/>
    <w:rsid w:val="002E23C2"/>
    <w:rsid w:val="002E270D"/>
    <w:rsid w:val="002E299C"/>
    <w:rsid w:val="002E4468"/>
    <w:rsid w:val="002E4BCB"/>
    <w:rsid w:val="002E5206"/>
    <w:rsid w:val="002E5998"/>
    <w:rsid w:val="002E65AC"/>
    <w:rsid w:val="002E748A"/>
    <w:rsid w:val="002E766A"/>
    <w:rsid w:val="002E7CE6"/>
    <w:rsid w:val="002F4AA3"/>
    <w:rsid w:val="002F7071"/>
    <w:rsid w:val="002F713E"/>
    <w:rsid w:val="0030042C"/>
    <w:rsid w:val="003020C3"/>
    <w:rsid w:val="00303BA8"/>
    <w:rsid w:val="00303CDC"/>
    <w:rsid w:val="00303E7F"/>
    <w:rsid w:val="00304380"/>
    <w:rsid w:val="0030439C"/>
    <w:rsid w:val="00304588"/>
    <w:rsid w:val="0030555B"/>
    <w:rsid w:val="00305565"/>
    <w:rsid w:val="003111EE"/>
    <w:rsid w:val="00311613"/>
    <w:rsid w:val="00311A07"/>
    <w:rsid w:val="0031389C"/>
    <w:rsid w:val="00313C99"/>
    <w:rsid w:val="00315B61"/>
    <w:rsid w:val="00316B6A"/>
    <w:rsid w:val="00316CCA"/>
    <w:rsid w:val="00317B70"/>
    <w:rsid w:val="003202DB"/>
    <w:rsid w:val="003210BC"/>
    <w:rsid w:val="0032166A"/>
    <w:rsid w:val="00321A5C"/>
    <w:rsid w:val="00321C56"/>
    <w:rsid w:val="003221EE"/>
    <w:rsid w:val="00322C91"/>
    <w:rsid w:val="00322D66"/>
    <w:rsid w:val="00323D6A"/>
    <w:rsid w:val="00323E1D"/>
    <w:rsid w:val="003240DF"/>
    <w:rsid w:val="003246D4"/>
    <w:rsid w:val="003252E0"/>
    <w:rsid w:val="003257B5"/>
    <w:rsid w:val="00325BE9"/>
    <w:rsid w:val="00325D33"/>
    <w:rsid w:val="00325DB8"/>
    <w:rsid w:val="003319C5"/>
    <w:rsid w:val="00332331"/>
    <w:rsid w:val="00334603"/>
    <w:rsid w:val="00335E4D"/>
    <w:rsid w:val="0033793E"/>
    <w:rsid w:val="003403E8"/>
    <w:rsid w:val="00340E9E"/>
    <w:rsid w:val="003410E0"/>
    <w:rsid w:val="00341196"/>
    <w:rsid w:val="0034189A"/>
    <w:rsid w:val="00342AEA"/>
    <w:rsid w:val="003442E5"/>
    <w:rsid w:val="00345104"/>
    <w:rsid w:val="003504A6"/>
    <w:rsid w:val="00353058"/>
    <w:rsid w:val="003530B5"/>
    <w:rsid w:val="00353867"/>
    <w:rsid w:val="00353EE8"/>
    <w:rsid w:val="00354713"/>
    <w:rsid w:val="00354A33"/>
    <w:rsid w:val="0035562B"/>
    <w:rsid w:val="0035587A"/>
    <w:rsid w:val="00355883"/>
    <w:rsid w:val="00357683"/>
    <w:rsid w:val="0036311D"/>
    <w:rsid w:val="00363DDE"/>
    <w:rsid w:val="00365B67"/>
    <w:rsid w:val="003664D8"/>
    <w:rsid w:val="00366C6A"/>
    <w:rsid w:val="003703CC"/>
    <w:rsid w:val="00370795"/>
    <w:rsid w:val="00370A4F"/>
    <w:rsid w:val="00371C6A"/>
    <w:rsid w:val="003720D2"/>
    <w:rsid w:val="003730B7"/>
    <w:rsid w:val="00373C36"/>
    <w:rsid w:val="00373DA7"/>
    <w:rsid w:val="003750FC"/>
    <w:rsid w:val="0037662E"/>
    <w:rsid w:val="003800C1"/>
    <w:rsid w:val="003801A4"/>
    <w:rsid w:val="00380652"/>
    <w:rsid w:val="00380ED9"/>
    <w:rsid w:val="003814A8"/>
    <w:rsid w:val="00382484"/>
    <w:rsid w:val="00382A57"/>
    <w:rsid w:val="003841A1"/>
    <w:rsid w:val="00384EBA"/>
    <w:rsid w:val="00384F7D"/>
    <w:rsid w:val="0038502F"/>
    <w:rsid w:val="0038684A"/>
    <w:rsid w:val="00387090"/>
    <w:rsid w:val="00387284"/>
    <w:rsid w:val="003879B1"/>
    <w:rsid w:val="00391A8C"/>
    <w:rsid w:val="00392CAD"/>
    <w:rsid w:val="00393237"/>
    <w:rsid w:val="00393460"/>
    <w:rsid w:val="003937B2"/>
    <w:rsid w:val="003940BE"/>
    <w:rsid w:val="0039457F"/>
    <w:rsid w:val="00394AF7"/>
    <w:rsid w:val="00395BE1"/>
    <w:rsid w:val="0039625C"/>
    <w:rsid w:val="003962B3"/>
    <w:rsid w:val="0039737D"/>
    <w:rsid w:val="003A082C"/>
    <w:rsid w:val="003A0AC9"/>
    <w:rsid w:val="003A0EDC"/>
    <w:rsid w:val="003A14DA"/>
    <w:rsid w:val="003A19BD"/>
    <w:rsid w:val="003A24A7"/>
    <w:rsid w:val="003A458B"/>
    <w:rsid w:val="003A5242"/>
    <w:rsid w:val="003A6237"/>
    <w:rsid w:val="003A7954"/>
    <w:rsid w:val="003A7B08"/>
    <w:rsid w:val="003B0578"/>
    <w:rsid w:val="003B0CED"/>
    <w:rsid w:val="003B1F53"/>
    <w:rsid w:val="003B2A8A"/>
    <w:rsid w:val="003B34A9"/>
    <w:rsid w:val="003B3881"/>
    <w:rsid w:val="003B3DAC"/>
    <w:rsid w:val="003B4451"/>
    <w:rsid w:val="003B6C6B"/>
    <w:rsid w:val="003B6E98"/>
    <w:rsid w:val="003B7A87"/>
    <w:rsid w:val="003B7CA3"/>
    <w:rsid w:val="003C0E56"/>
    <w:rsid w:val="003C0E8F"/>
    <w:rsid w:val="003C1525"/>
    <w:rsid w:val="003C232B"/>
    <w:rsid w:val="003C2A53"/>
    <w:rsid w:val="003C33B9"/>
    <w:rsid w:val="003C35B7"/>
    <w:rsid w:val="003C5916"/>
    <w:rsid w:val="003C6990"/>
    <w:rsid w:val="003C6DC8"/>
    <w:rsid w:val="003D1213"/>
    <w:rsid w:val="003D1E60"/>
    <w:rsid w:val="003D2C49"/>
    <w:rsid w:val="003D3E0F"/>
    <w:rsid w:val="003D44C8"/>
    <w:rsid w:val="003D5E55"/>
    <w:rsid w:val="003D602A"/>
    <w:rsid w:val="003D639F"/>
    <w:rsid w:val="003D6FD5"/>
    <w:rsid w:val="003D7FA5"/>
    <w:rsid w:val="003E023C"/>
    <w:rsid w:val="003E06D0"/>
    <w:rsid w:val="003E0A7A"/>
    <w:rsid w:val="003E0DE9"/>
    <w:rsid w:val="003E1600"/>
    <w:rsid w:val="003E17D2"/>
    <w:rsid w:val="003E234A"/>
    <w:rsid w:val="003E2B0B"/>
    <w:rsid w:val="003E320E"/>
    <w:rsid w:val="003E35A3"/>
    <w:rsid w:val="003E447D"/>
    <w:rsid w:val="003E4595"/>
    <w:rsid w:val="003E4CFA"/>
    <w:rsid w:val="003E4DD9"/>
    <w:rsid w:val="003E5B16"/>
    <w:rsid w:val="003E5DF4"/>
    <w:rsid w:val="003E5E28"/>
    <w:rsid w:val="003F10DB"/>
    <w:rsid w:val="003F1A25"/>
    <w:rsid w:val="003F210B"/>
    <w:rsid w:val="003F2857"/>
    <w:rsid w:val="003F4260"/>
    <w:rsid w:val="003F502C"/>
    <w:rsid w:val="003F52AA"/>
    <w:rsid w:val="003F5321"/>
    <w:rsid w:val="003F7AA2"/>
    <w:rsid w:val="003F7BD9"/>
    <w:rsid w:val="004007A7"/>
    <w:rsid w:val="00403404"/>
    <w:rsid w:val="00404226"/>
    <w:rsid w:val="004054D8"/>
    <w:rsid w:val="004055DB"/>
    <w:rsid w:val="00405BA8"/>
    <w:rsid w:val="004061A2"/>
    <w:rsid w:val="0040629B"/>
    <w:rsid w:val="00406E17"/>
    <w:rsid w:val="00410CDD"/>
    <w:rsid w:val="0041109E"/>
    <w:rsid w:val="00411914"/>
    <w:rsid w:val="00411ABA"/>
    <w:rsid w:val="00414167"/>
    <w:rsid w:val="0041427D"/>
    <w:rsid w:val="004145EB"/>
    <w:rsid w:val="004147F9"/>
    <w:rsid w:val="00414991"/>
    <w:rsid w:val="00416284"/>
    <w:rsid w:val="00416F46"/>
    <w:rsid w:val="00417555"/>
    <w:rsid w:val="004204A9"/>
    <w:rsid w:val="00420E4E"/>
    <w:rsid w:val="00421F70"/>
    <w:rsid w:val="004256B4"/>
    <w:rsid w:val="00425E89"/>
    <w:rsid w:val="00427089"/>
    <w:rsid w:val="004275FC"/>
    <w:rsid w:val="004279D0"/>
    <w:rsid w:val="0043002D"/>
    <w:rsid w:val="00430C3A"/>
    <w:rsid w:val="00431756"/>
    <w:rsid w:val="004317F9"/>
    <w:rsid w:val="004327C0"/>
    <w:rsid w:val="0043305C"/>
    <w:rsid w:val="00433D66"/>
    <w:rsid w:val="00434C71"/>
    <w:rsid w:val="00434F60"/>
    <w:rsid w:val="00434FDD"/>
    <w:rsid w:val="00437941"/>
    <w:rsid w:val="0044183B"/>
    <w:rsid w:val="00443386"/>
    <w:rsid w:val="00443697"/>
    <w:rsid w:val="00443BA0"/>
    <w:rsid w:val="004444E3"/>
    <w:rsid w:val="00444DA8"/>
    <w:rsid w:val="00445607"/>
    <w:rsid w:val="00445847"/>
    <w:rsid w:val="00445AB2"/>
    <w:rsid w:val="0044705E"/>
    <w:rsid w:val="00447557"/>
    <w:rsid w:val="00447607"/>
    <w:rsid w:val="00447AA2"/>
    <w:rsid w:val="004501AD"/>
    <w:rsid w:val="00450453"/>
    <w:rsid w:val="004517BF"/>
    <w:rsid w:val="004522DB"/>
    <w:rsid w:val="00452546"/>
    <w:rsid w:val="00452AF2"/>
    <w:rsid w:val="004537A8"/>
    <w:rsid w:val="00455D31"/>
    <w:rsid w:val="00455D56"/>
    <w:rsid w:val="0046160F"/>
    <w:rsid w:val="00461D08"/>
    <w:rsid w:val="00461FA9"/>
    <w:rsid w:val="0046243D"/>
    <w:rsid w:val="004629A6"/>
    <w:rsid w:val="00463851"/>
    <w:rsid w:val="00465DD1"/>
    <w:rsid w:val="00466AAE"/>
    <w:rsid w:val="00466EFE"/>
    <w:rsid w:val="00467AB7"/>
    <w:rsid w:val="0047154E"/>
    <w:rsid w:val="00472ED5"/>
    <w:rsid w:val="00475429"/>
    <w:rsid w:val="00476063"/>
    <w:rsid w:val="00476A1D"/>
    <w:rsid w:val="00476D4F"/>
    <w:rsid w:val="004804D6"/>
    <w:rsid w:val="004806F2"/>
    <w:rsid w:val="00481952"/>
    <w:rsid w:val="0048293F"/>
    <w:rsid w:val="00483FE5"/>
    <w:rsid w:val="00487163"/>
    <w:rsid w:val="00487663"/>
    <w:rsid w:val="00490262"/>
    <w:rsid w:val="004904A7"/>
    <w:rsid w:val="00490811"/>
    <w:rsid w:val="00490D74"/>
    <w:rsid w:val="00490E94"/>
    <w:rsid w:val="00491899"/>
    <w:rsid w:val="00491AD4"/>
    <w:rsid w:val="004927F5"/>
    <w:rsid w:val="00494415"/>
    <w:rsid w:val="0049652A"/>
    <w:rsid w:val="00496BB2"/>
    <w:rsid w:val="004972D7"/>
    <w:rsid w:val="004A0515"/>
    <w:rsid w:val="004A05D8"/>
    <w:rsid w:val="004A4C8C"/>
    <w:rsid w:val="004A51D1"/>
    <w:rsid w:val="004A6ED9"/>
    <w:rsid w:val="004A7F00"/>
    <w:rsid w:val="004B1068"/>
    <w:rsid w:val="004B2CDF"/>
    <w:rsid w:val="004B4CE0"/>
    <w:rsid w:val="004B6567"/>
    <w:rsid w:val="004B72D2"/>
    <w:rsid w:val="004B730A"/>
    <w:rsid w:val="004C0431"/>
    <w:rsid w:val="004C2A27"/>
    <w:rsid w:val="004C3AFA"/>
    <w:rsid w:val="004C48D6"/>
    <w:rsid w:val="004C4FD8"/>
    <w:rsid w:val="004C6818"/>
    <w:rsid w:val="004C732C"/>
    <w:rsid w:val="004D1D76"/>
    <w:rsid w:val="004D34B4"/>
    <w:rsid w:val="004D3575"/>
    <w:rsid w:val="004D3974"/>
    <w:rsid w:val="004D56F6"/>
    <w:rsid w:val="004D579E"/>
    <w:rsid w:val="004E0DF7"/>
    <w:rsid w:val="004E1553"/>
    <w:rsid w:val="004E1749"/>
    <w:rsid w:val="004E1994"/>
    <w:rsid w:val="004E2EE4"/>
    <w:rsid w:val="004E5602"/>
    <w:rsid w:val="004E5721"/>
    <w:rsid w:val="004E6EC8"/>
    <w:rsid w:val="004E75B4"/>
    <w:rsid w:val="004F05EF"/>
    <w:rsid w:val="004F09CA"/>
    <w:rsid w:val="004F1896"/>
    <w:rsid w:val="004F32E4"/>
    <w:rsid w:val="004F3BF2"/>
    <w:rsid w:val="004F3FB0"/>
    <w:rsid w:val="004F4474"/>
    <w:rsid w:val="004F569D"/>
    <w:rsid w:val="004F69B6"/>
    <w:rsid w:val="004F6EBA"/>
    <w:rsid w:val="004F744D"/>
    <w:rsid w:val="004F7F33"/>
    <w:rsid w:val="005007E5"/>
    <w:rsid w:val="00501790"/>
    <w:rsid w:val="00502538"/>
    <w:rsid w:val="005027AE"/>
    <w:rsid w:val="005043AC"/>
    <w:rsid w:val="00504D20"/>
    <w:rsid w:val="005050F4"/>
    <w:rsid w:val="00505250"/>
    <w:rsid w:val="005060FE"/>
    <w:rsid w:val="00506631"/>
    <w:rsid w:val="00506FFC"/>
    <w:rsid w:val="005071E0"/>
    <w:rsid w:val="00507725"/>
    <w:rsid w:val="005102BA"/>
    <w:rsid w:val="0051173B"/>
    <w:rsid w:val="005130C6"/>
    <w:rsid w:val="00513111"/>
    <w:rsid w:val="00513187"/>
    <w:rsid w:val="00517868"/>
    <w:rsid w:val="00520443"/>
    <w:rsid w:val="00521574"/>
    <w:rsid w:val="00521737"/>
    <w:rsid w:val="00521F50"/>
    <w:rsid w:val="0052201D"/>
    <w:rsid w:val="00523F47"/>
    <w:rsid w:val="005254DF"/>
    <w:rsid w:val="00526903"/>
    <w:rsid w:val="005275AB"/>
    <w:rsid w:val="00530110"/>
    <w:rsid w:val="005301BA"/>
    <w:rsid w:val="00530531"/>
    <w:rsid w:val="00530587"/>
    <w:rsid w:val="00530CF1"/>
    <w:rsid w:val="00531CC4"/>
    <w:rsid w:val="00532BCB"/>
    <w:rsid w:val="00532C97"/>
    <w:rsid w:val="00536290"/>
    <w:rsid w:val="00536E63"/>
    <w:rsid w:val="00540162"/>
    <w:rsid w:val="005421CB"/>
    <w:rsid w:val="00543245"/>
    <w:rsid w:val="00543C0A"/>
    <w:rsid w:val="00544D58"/>
    <w:rsid w:val="00546985"/>
    <w:rsid w:val="005508BC"/>
    <w:rsid w:val="00550A18"/>
    <w:rsid w:val="0055190C"/>
    <w:rsid w:val="00551B7E"/>
    <w:rsid w:val="00551CFE"/>
    <w:rsid w:val="005571D4"/>
    <w:rsid w:val="0056125A"/>
    <w:rsid w:val="00561A69"/>
    <w:rsid w:val="00561CF9"/>
    <w:rsid w:val="00564437"/>
    <w:rsid w:val="00565B34"/>
    <w:rsid w:val="00571522"/>
    <w:rsid w:val="005716BD"/>
    <w:rsid w:val="00572F14"/>
    <w:rsid w:val="00575584"/>
    <w:rsid w:val="00575DF5"/>
    <w:rsid w:val="0057700D"/>
    <w:rsid w:val="0057718C"/>
    <w:rsid w:val="00580712"/>
    <w:rsid w:val="00580D7E"/>
    <w:rsid w:val="0058306B"/>
    <w:rsid w:val="005848F5"/>
    <w:rsid w:val="0058799C"/>
    <w:rsid w:val="0059090C"/>
    <w:rsid w:val="00591794"/>
    <w:rsid w:val="005917F1"/>
    <w:rsid w:val="00593178"/>
    <w:rsid w:val="0059323C"/>
    <w:rsid w:val="0059340E"/>
    <w:rsid w:val="00593821"/>
    <w:rsid w:val="00594367"/>
    <w:rsid w:val="0059553F"/>
    <w:rsid w:val="00595DD1"/>
    <w:rsid w:val="005976E6"/>
    <w:rsid w:val="005A0264"/>
    <w:rsid w:val="005A053C"/>
    <w:rsid w:val="005A2028"/>
    <w:rsid w:val="005A3B3B"/>
    <w:rsid w:val="005A46A2"/>
    <w:rsid w:val="005A4FF8"/>
    <w:rsid w:val="005A5802"/>
    <w:rsid w:val="005A586B"/>
    <w:rsid w:val="005A5B80"/>
    <w:rsid w:val="005A5E56"/>
    <w:rsid w:val="005A61C5"/>
    <w:rsid w:val="005A6A99"/>
    <w:rsid w:val="005B0600"/>
    <w:rsid w:val="005B0F60"/>
    <w:rsid w:val="005B1AF6"/>
    <w:rsid w:val="005B26E3"/>
    <w:rsid w:val="005B2984"/>
    <w:rsid w:val="005B301D"/>
    <w:rsid w:val="005B5096"/>
    <w:rsid w:val="005B5D88"/>
    <w:rsid w:val="005B6443"/>
    <w:rsid w:val="005C4866"/>
    <w:rsid w:val="005C6DE6"/>
    <w:rsid w:val="005D04A0"/>
    <w:rsid w:val="005D2615"/>
    <w:rsid w:val="005D2886"/>
    <w:rsid w:val="005D4032"/>
    <w:rsid w:val="005D4DAE"/>
    <w:rsid w:val="005D709D"/>
    <w:rsid w:val="005D7D82"/>
    <w:rsid w:val="005E0461"/>
    <w:rsid w:val="005E1D4E"/>
    <w:rsid w:val="005E6245"/>
    <w:rsid w:val="005E7387"/>
    <w:rsid w:val="005E76F0"/>
    <w:rsid w:val="005F064C"/>
    <w:rsid w:val="005F07B5"/>
    <w:rsid w:val="005F1ABA"/>
    <w:rsid w:val="005F23D0"/>
    <w:rsid w:val="005F267D"/>
    <w:rsid w:val="005F3605"/>
    <w:rsid w:val="005F3B00"/>
    <w:rsid w:val="005F4696"/>
    <w:rsid w:val="005F4D05"/>
    <w:rsid w:val="005F6AFD"/>
    <w:rsid w:val="005F7976"/>
    <w:rsid w:val="0060052B"/>
    <w:rsid w:val="00600CDF"/>
    <w:rsid w:val="00600D31"/>
    <w:rsid w:val="006012B7"/>
    <w:rsid w:val="006013A5"/>
    <w:rsid w:val="00601EBA"/>
    <w:rsid w:val="00603D1E"/>
    <w:rsid w:val="0060486A"/>
    <w:rsid w:val="00604BEF"/>
    <w:rsid w:val="00605DDD"/>
    <w:rsid w:val="00606B47"/>
    <w:rsid w:val="006071F9"/>
    <w:rsid w:val="00610C25"/>
    <w:rsid w:val="00610D13"/>
    <w:rsid w:val="00610E10"/>
    <w:rsid w:val="0061168B"/>
    <w:rsid w:val="00611B18"/>
    <w:rsid w:val="0061299F"/>
    <w:rsid w:val="00613906"/>
    <w:rsid w:val="00613A3C"/>
    <w:rsid w:val="006145C4"/>
    <w:rsid w:val="00615651"/>
    <w:rsid w:val="00615E09"/>
    <w:rsid w:val="006167F7"/>
    <w:rsid w:val="00617E35"/>
    <w:rsid w:val="006202FE"/>
    <w:rsid w:val="00620316"/>
    <w:rsid w:val="006219E9"/>
    <w:rsid w:val="0062216C"/>
    <w:rsid w:val="006233DA"/>
    <w:rsid w:val="006236AB"/>
    <w:rsid w:val="006248EE"/>
    <w:rsid w:val="00624FA1"/>
    <w:rsid w:val="006253D2"/>
    <w:rsid w:val="00625977"/>
    <w:rsid w:val="00625B38"/>
    <w:rsid w:val="00625BEC"/>
    <w:rsid w:val="00625D93"/>
    <w:rsid w:val="00630377"/>
    <w:rsid w:val="00630C5E"/>
    <w:rsid w:val="00633AD8"/>
    <w:rsid w:val="00633F91"/>
    <w:rsid w:val="00634CB4"/>
    <w:rsid w:val="00634D9A"/>
    <w:rsid w:val="0063667B"/>
    <w:rsid w:val="006372B6"/>
    <w:rsid w:val="00637B70"/>
    <w:rsid w:val="00637EBC"/>
    <w:rsid w:val="006424B2"/>
    <w:rsid w:val="00644851"/>
    <w:rsid w:val="006449A3"/>
    <w:rsid w:val="00644AAF"/>
    <w:rsid w:val="006451E0"/>
    <w:rsid w:val="00645408"/>
    <w:rsid w:val="0064641B"/>
    <w:rsid w:val="006468EE"/>
    <w:rsid w:val="00650958"/>
    <w:rsid w:val="00652F7B"/>
    <w:rsid w:val="00654996"/>
    <w:rsid w:val="006562F2"/>
    <w:rsid w:val="00660320"/>
    <w:rsid w:val="00660C98"/>
    <w:rsid w:val="00661146"/>
    <w:rsid w:val="00662399"/>
    <w:rsid w:val="0066247C"/>
    <w:rsid w:val="00663C1A"/>
    <w:rsid w:val="006659DE"/>
    <w:rsid w:val="00665B40"/>
    <w:rsid w:val="00667808"/>
    <w:rsid w:val="006706C0"/>
    <w:rsid w:val="00670717"/>
    <w:rsid w:val="006719D2"/>
    <w:rsid w:val="00673A04"/>
    <w:rsid w:val="006760C4"/>
    <w:rsid w:val="00677C79"/>
    <w:rsid w:val="0068097B"/>
    <w:rsid w:val="0068201D"/>
    <w:rsid w:val="00682077"/>
    <w:rsid w:val="006822A1"/>
    <w:rsid w:val="0068353B"/>
    <w:rsid w:val="00686D18"/>
    <w:rsid w:val="006921FC"/>
    <w:rsid w:val="00692F1A"/>
    <w:rsid w:val="0069364E"/>
    <w:rsid w:val="006937FB"/>
    <w:rsid w:val="00695389"/>
    <w:rsid w:val="006953CE"/>
    <w:rsid w:val="006967F4"/>
    <w:rsid w:val="006A0D2B"/>
    <w:rsid w:val="006A0DA1"/>
    <w:rsid w:val="006A158A"/>
    <w:rsid w:val="006A1ABE"/>
    <w:rsid w:val="006A30BE"/>
    <w:rsid w:val="006A3690"/>
    <w:rsid w:val="006A3DBC"/>
    <w:rsid w:val="006A7AC0"/>
    <w:rsid w:val="006A7B81"/>
    <w:rsid w:val="006B2602"/>
    <w:rsid w:val="006B4A16"/>
    <w:rsid w:val="006B518B"/>
    <w:rsid w:val="006B6472"/>
    <w:rsid w:val="006B661A"/>
    <w:rsid w:val="006B6EE2"/>
    <w:rsid w:val="006B714B"/>
    <w:rsid w:val="006B7F51"/>
    <w:rsid w:val="006C1F03"/>
    <w:rsid w:val="006C22D8"/>
    <w:rsid w:val="006C22EF"/>
    <w:rsid w:val="006C2659"/>
    <w:rsid w:val="006C3696"/>
    <w:rsid w:val="006C42A8"/>
    <w:rsid w:val="006C48C3"/>
    <w:rsid w:val="006C5FEB"/>
    <w:rsid w:val="006C6333"/>
    <w:rsid w:val="006C7831"/>
    <w:rsid w:val="006D0884"/>
    <w:rsid w:val="006D174B"/>
    <w:rsid w:val="006D25FB"/>
    <w:rsid w:val="006D2FEF"/>
    <w:rsid w:val="006D30BE"/>
    <w:rsid w:val="006D30CF"/>
    <w:rsid w:val="006D3F5E"/>
    <w:rsid w:val="006D4B5D"/>
    <w:rsid w:val="006D57F6"/>
    <w:rsid w:val="006E025B"/>
    <w:rsid w:val="006E026D"/>
    <w:rsid w:val="006E10EF"/>
    <w:rsid w:val="006E118B"/>
    <w:rsid w:val="006E2296"/>
    <w:rsid w:val="006E4AE4"/>
    <w:rsid w:val="006E55CC"/>
    <w:rsid w:val="006E58EB"/>
    <w:rsid w:val="006E63EF"/>
    <w:rsid w:val="006E7053"/>
    <w:rsid w:val="006E7B6B"/>
    <w:rsid w:val="006F0F85"/>
    <w:rsid w:val="006F145A"/>
    <w:rsid w:val="006F1A38"/>
    <w:rsid w:val="006F39F7"/>
    <w:rsid w:val="006F78B3"/>
    <w:rsid w:val="006F79CC"/>
    <w:rsid w:val="00700FCB"/>
    <w:rsid w:val="007018FD"/>
    <w:rsid w:val="0070263C"/>
    <w:rsid w:val="0070314D"/>
    <w:rsid w:val="00703C60"/>
    <w:rsid w:val="00705DC5"/>
    <w:rsid w:val="007064F0"/>
    <w:rsid w:val="007074F9"/>
    <w:rsid w:val="007102BE"/>
    <w:rsid w:val="0071033E"/>
    <w:rsid w:val="00711AB9"/>
    <w:rsid w:val="00712B9B"/>
    <w:rsid w:val="00714DFF"/>
    <w:rsid w:val="0071559B"/>
    <w:rsid w:val="00715D51"/>
    <w:rsid w:val="00716475"/>
    <w:rsid w:val="007169B5"/>
    <w:rsid w:val="00716AB7"/>
    <w:rsid w:val="00716CD4"/>
    <w:rsid w:val="00716E95"/>
    <w:rsid w:val="0072029B"/>
    <w:rsid w:val="00720603"/>
    <w:rsid w:val="0072111B"/>
    <w:rsid w:val="0072162E"/>
    <w:rsid w:val="007249CE"/>
    <w:rsid w:val="0072604A"/>
    <w:rsid w:val="00726596"/>
    <w:rsid w:val="007273A7"/>
    <w:rsid w:val="0072796E"/>
    <w:rsid w:val="00727A88"/>
    <w:rsid w:val="007307D2"/>
    <w:rsid w:val="00730CC7"/>
    <w:rsid w:val="00730EE2"/>
    <w:rsid w:val="00730FD1"/>
    <w:rsid w:val="00731F8A"/>
    <w:rsid w:val="00733A80"/>
    <w:rsid w:val="00734847"/>
    <w:rsid w:val="007368CD"/>
    <w:rsid w:val="007368EA"/>
    <w:rsid w:val="00737029"/>
    <w:rsid w:val="007402C1"/>
    <w:rsid w:val="007413F3"/>
    <w:rsid w:val="007414CF"/>
    <w:rsid w:val="0074223B"/>
    <w:rsid w:val="007422A7"/>
    <w:rsid w:val="007441EF"/>
    <w:rsid w:val="00744243"/>
    <w:rsid w:val="00744627"/>
    <w:rsid w:val="007467E2"/>
    <w:rsid w:val="007501E6"/>
    <w:rsid w:val="00750AD4"/>
    <w:rsid w:val="00751D37"/>
    <w:rsid w:val="00752D29"/>
    <w:rsid w:val="0075362D"/>
    <w:rsid w:val="00753C4B"/>
    <w:rsid w:val="007558E8"/>
    <w:rsid w:val="00756F59"/>
    <w:rsid w:val="0075788E"/>
    <w:rsid w:val="00760094"/>
    <w:rsid w:val="007667D5"/>
    <w:rsid w:val="00767728"/>
    <w:rsid w:val="00771556"/>
    <w:rsid w:val="0077475E"/>
    <w:rsid w:val="007766E3"/>
    <w:rsid w:val="007770C6"/>
    <w:rsid w:val="00777BA9"/>
    <w:rsid w:val="0078075B"/>
    <w:rsid w:val="0078165B"/>
    <w:rsid w:val="00784DD8"/>
    <w:rsid w:val="00786874"/>
    <w:rsid w:val="00786EF2"/>
    <w:rsid w:val="00787B34"/>
    <w:rsid w:val="0079169F"/>
    <w:rsid w:val="00795EB1"/>
    <w:rsid w:val="00795F54"/>
    <w:rsid w:val="00797CAF"/>
    <w:rsid w:val="007A1283"/>
    <w:rsid w:val="007A1589"/>
    <w:rsid w:val="007A188C"/>
    <w:rsid w:val="007A30CB"/>
    <w:rsid w:val="007A3561"/>
    <w:rsid w:val="007A4C25"/>
    <w:rsid w:val="007A6095"/>
    <w:rsid w:val="007A6379"/>
    <w:rsid w:val="007A7209"/>
    <w:rsid w:val="007B0BC6"/>
    <w:rsid w:val="007B0F13"/>
    <w:rsid w:val="007B189D"/>
    <w:rsid w:val="007B1A8D"/>
    <w:rsid w:val="007B2EAB"/>
    <w:rsid w:val="007B3249"/>
    <w:rsid w:val="007B3A6C"/>
    <w:rsid w:val="007B666A"/>
    <w:rsid w:val="007B6C3D"/>
    <w:rsid w:val="007B7281"/>
    <w:rsid w:val="007B735A"/>
    <w:rsid w:val="007B7858"/>
    <w:rsid w:val="007B7C4D"/>
    <w:rsid w:val="007C025F"/>
    <w:rsid w:val="007C067E"/>
    <w:rsid w:val="007C0DF3"/>
    <w:rsid w:val="007C10D5"/>
    <w:rsid w:val="007C1C52"/>
    <w:rsid w:val="007C1F13"/>
    <w:rsid w:val="007C2BC3"/>
    <w:rsid w:val="007C2E5A"/>
    <w:rsid w:val="007C31E5"/>
    <w:rsid w:val="007C421F"/>
    <w:rsid w:val="007C4A1B"/>
    <w:rsid w:val="007C582A"/>
    <w:rsid w:val="007D1114"/>
    <w:rsid w:val="007D30BE"/>
    <w:rsid w:val="007D4434"/>
    <w:rsid w:val="007D4986"/>
    <w:rsid w:val="007D512F"/>
    <w:rsid w:val="007D66B8"/>
    <w:rsid w:val="007E03F0"/>
    <w:rsid w:val="007E11EC"/>
    <w:rsid w:val="007E2F3A"/>
    <w:rsid w:val="007E3966"/>
    <w:rsid w:val="007E5D8F"/>
    <w:rsid w:val="007F14C3"/>
    <w:rsid w:val="007F2540"/>
    <w:rsid w:val="007F3062"/>
    <w:rsid w:val="007F386B"/>
    <w:rsid w:val="007F39CB"/>
    <w:rsid w:val="007F4DC3"/>
    <w:rsid w:val="007F68AF"/>
    <w:rsid w:val="007F75FF"/>
    <w:rsid w:val="00800B2E"/>
    <w:rsid w:val="0080161A"/>
    <w:rsid w:val="008021DB"/>
    <w:rsid w:val="008034CC"/>
    <w:rsid w:val="008038B3"/>
    <w:rsid w:val="0080605B"/>
    <w:rsid w:val="00806F4B"/>
    <w:rsid w:val="00810800"/>
    <w:rsid w:val="008117E0"/>
    <w:rsid w:val="00813C8A"/>
    <w:rsid w:val="008160D1"/>
    <w:rsid w:val="00816BEC"/>
    <w:rsid w:val="008248C6"/>
    <w:rsid w:val="00824E60"/>
    <w:rsid w:val="00825643"/>
    <w:rsid w:val="008258D9"/>
    <w:rsid w:val="00825D98"/>
    <w:rsid w:val="008270C7"/>
    <w:rsid w:val="00830204"/>
    <w:rsid w:val="00830A28"/>
    <w:rsid w:val="00830C48"/>
    <w:rsid w:val="00830C68"/>
    <w:rsid w:val="0083679A"/>
    <w:rsid w:val="00836AA4"/>
    <w:rsid w:val="0083704C"/>
    <w:rsid w:val="008370BE"/>
    <w:rsid w:val="00840299"/>
    <w:rsid w:val="008440B0"/>
    <w:rsid w:val="0084424A"/>
    <w:rsid w:val="00844E8C"/>
    <w:rsid w:val="00846DDF"/>
    <w:rsid w:val="00846E1F"/>
    <w:rsid w:val="00847428"/>
    <w:rsid w:val="0084788C"/>
    <w:rsid w:val="008501A6"/>
    <w:rsid w:val="00850AB7"/>
    <w:rsid w:val="00851284"/>
    <w:rsid w:val="00852849"/>
    <w:rsid w:val="008529A2"/>
    <w:rsid w:val="00853F3A"/>
    <w:rsid w:val="00855452"/>
    <w:rsid w:val="00855A40"/>
    <w:rsid w:val="00856E1E"/>
    <w:rsid w:val="00857220"/>
    <w:rsid w:val="00857DF8"/>
    <w:rsid w:val="0086297D"/>
    <w:rsid w:val="00862AF3"/>
    <w:rsid w:val="008666F6"/>
    <w:rsid w:val="008667ED"/>
    <w:rsid w:val="00871960"/>
    <w:rsid w:val="00872C6E"/>
    <w:rsid w:val="00872D59"/>
    <w:rsid w:val="00872E2A"/>
    <w:rsid w:val="00873818"/>
    <w:rsid w:val="008743B6"/>
    <w:rsid w:val="00874BD8"/>
    <w:rsid w:val="00874F59"/>
    <w:rsid w:val="008751A1"/>
    <w:rsid w:val="00876C8A"/>
    <w:rsid w:val="00877162"/>
    <w:rsid w:val="008813A9"/>
    <w:rsid w:val="0088153B"/>
    <w:rsid w:val="00883219"/>
    <w:rsid w:val="00884064"/>
    <w:rsid w:val="0088423B"/>
    <w:rsid w:val="008850A2"/>
    <w:rsid w:val="00887792"/>
    <w:rsid w:val="00887E0E"/>
    <w:rsid w:val="0089118C"/>
    <w:rsid w:val="008915FA"/>
    <w:rsid w:val="0089268D"/>
    <w:rsid w:val="00893068"/>
    <w:rsid w:val="008933DD"/>
    <w:rsid w:val="00893574"/>
    <w:rsid w:val="00896C4A"/>
    <w:rsid w:val="008A0305"/>
    <w:rsid w:val="008A063E"/>
    <w:rsid w:val="008A1220"/>
    <w:rsid w:val="008A26D7"/>
    <w:rsid w:val="008A2EBB"/>
    <w:rsid w:val="008A3439"/>
    <w:rsid w:val="008A35B1"/>
    <w:rsid w:val="008A5016"/>
    <w:rsid w:val="008A55E3"/>
    <w:rsid w:val="008A6793"/>
    <w:rsid w:val="008B0362"/>
    <w:rsid w:val="008B03D3"/>
    <w:rsid w:val="008B0587"/>
    <w:rsid w:val="008B1BE8"/>
    <w:rsid w:val="008B205D"/>
    <w:rsid w:val="008B2409"/>
    <w:rsid w:val="008B3307"/>
    <w:rsid w:val="008B4D20"/>
    <w:rsid w:val="008B79A2"/>
    <w:rsid w:val="008C03C6"/>
    <w:rsid w:val="008C0858"/>
    <w:rsid w:val="008C1428"/>
    <w:rsid w:val="008C20A2"/>
    <w:rsid w:val="008C2D45"/>
    <w:rsid w:val="008C2DA9"/>
    <w:rsid w:val="008C45CD"/>
    <w:rsid w:val="008C5908"/>
    <w:rsid w:val="008C6A24"/>
    <w:rsid w:val="008C76D1"/>
    <w:rsid w:val="008D0986"/>
    <w:rsid w:val="008D0FF9"/>
    <w:rsid w:val="008D1F23"/>
    <w:rsid w:val="008D3516"/>
    <w:rsid w:val="008D40CD"/>
    <w:rsid w:val="008D5738"/>
    <w:rsid w:val="008D6B67"/>
    <w:rsid w:val="008D6ED3"/>
    <w:rsid w:val="008D7123"/>
    <w:rsid w:val="008D7768"/>
    <w:rsid w:val="008E0010"/>
    <w:rsid w:val="008E179D"/>
    <w:rsid w:val="008E221A"/>
    <w:rsid w:val="008E32C7"/>
    <w:rsid w:val="008E3A26"/>
    <w:rsid w:val="008E4B97"/>
    <w:rsid w:val="008E4F3E"/>
    <w:rsid w:val="008E4F92"/>
    <w:rsid w:val="008E6D7C"/>
    <w:rsid w:val="008F09D7"/>
    <w:rsid w:val="008F34D5"/>
    <w:rsid w:val="008F3A71"/>
    <w:rsid w:val="008F494F"/>
    <w:rsid w:val="008F50D9"/>
    <w:rsid w:val="008F5D0C"/>
    <w:rsid w:val="008F5D7B"/>
    <w:rsid w:val="008F6F91"/>
    <w:rsid w:val="009013D8"/>
    <w:rsid w:val="0090203B"/>
    <w:rsid w:val="009062A6"/>
    <w:rsid w:val="00906D9F"/>
    <w:rsid w:val="00907902"/>
    <w:rsid w:val="009124F5"/>
    <w:rsid w:val="00912908"/>
    <w:rsid w:val="009129F9"/>
    <w:rsid w:val="00914030"/>
    <w:rsid w:val="00914FC2"/>
    <w:rsid w:val="0091622C"/>
    <w:rsid w:val="00916593"/>
    <w:rsid w:val="009178D1"/>
    <w:rsid w:val="00917B68"/>
    <w:rsid w:val="009207AF"/>
    <w:rsid w:val="00926300"/>
    <w:rsid w:val="00926554"/>
    <w:rsid w:val="00926DE2"/>
    <w:rsid w:val="00927BD0"/>
    <w:rsid w:val="00931026"/>
    <w:rsid w:val="0093176A"/>
    <w:rsid w:val="009323BD"/>
    <w:rsid w:val="00934651"/>
    <w:rsid w:val="0093656A"/>
    <w:rsid w:val="00936C7A"/>
    <w:rsid w:val="00937389"/>
    <w:rsid w:val="00937ACC"/>
    <w:rsid w:val="009405E7"/>
    <w:rsid w:val="00941157"/>
    <w:rsid w:val="009418CD"/>
    <w:rsid w:val="00942522"/>
    <w:rsid w:val="00942F91"/>
    <w:rsid w:val="00943F34"/>
    <w:rsid w:val="00944557"/>
    <w:rsid w:val="00944E3F"/>
    <w:rsid w:val="009527E0"/>
    <w:rsid w:val="00952866"/>
    <w:rsid w:val="0095530C"/>
    <w:rsid w:val="00957C4D"/>
    <w:rsid w:val="00961EF1"/>
    <w:rsid w:val="00963090"/>
    <w:rsid w:val="00964591"/>
    <w:rsid w:val="00964885"/>
    <w:rsid w:val="00964B62"/>
    <w:rsid w:val="00965E88"/>
    <w:rsid w:val="0096612E"/>
    <w:rsid w:val="009676FC"/>
    <w:rsid w:val="009708E3"/>
    <w:rsid w:val="00971A10"/>
    <w:rsid w:val="00973131"/>
    <w:rsid w:val="009736D0"/>
    <w:rsid w:val="0097551B"/>
    <w:rsid w:val="00976150"/>
    <w:rsid w:val="00976376"/>
    <w:rsid w:val="00976857"/>
    <w:rsid w:val="00976DCF"/>
    <w:rsid w:val="00982A57"/>
    <w:rsid w:val="00984BEB"/>
    <w:rsid w:val="00984E4C"/>
    <w:rsid w:val="00985C99"/>
    <w:rsid w:val="00991ACD"/>
    <w:rsid w:val="00991B36"/>
    <w:rsid w:val="0099256E"/>
    <w:rsid w:val="00992E21"/>
    <w:rsid w:val="00993BE6"/>
    <w:rsid w:val="00994040"/>
    <w:rsid w:val="00996586"/>
    <w:rsid w:val="009977EC"/>
    <w:rsid w:val="009A1127"/>
    <w:rsid w:val="009A1EE9"/>
    <w:rsid w:val="009A289A"/>
    <w:rsid w:val="009A5C57"/>
    <w:rsid w:val="009A5E86"/>
    <w:rsid w:val="009A65EF"/>
    <w:rsid w:val="009A6BF0"/>
    <w:rsid w:val="009A7394"/>
    <w:rsid w:val="009B00EF"/>
    <w:rsid w:val="009B03EF"/>
    <w:rsid w:val="009B201B"/>
    <w:rsid w:val="009B3530"/>
    <w:rsid w:val="009B3FB0"/>
    <w:rsid w:val="009B5813"/>
    <w:rsid w:val="009B6DF6"/>
    <w:rsid w:val="009B7E32"/>
    <w:rsid w:val="009C1541"/>
    <w:rsid w:val="009C1F4E"/>
    <w:rsid w:val="009C23EC"/>
    <w:rsid w:val="009C26E4"/>
    <w:rsid w:val="009C5E2C"/>
    <w:rsid w:val="009C63EB"/>
    <w:rsid w:val="009C6FAB"/>
    <w:rsid w:val="009C7102"/>
    <w:rsid w:val="009C79BC"/>
    <w:rsid w:val="009D1CFD"/>
    <w:rsid w:val="009D38BB"/>
    <w:rsid w:val="009D4381"/>
    <w:rsid w:val="009D45E8"/>
    <w:rsid w:val="009D463C"/>
    <w:rsid w:val="009D47C9"/>
    <w:rsid w:val="009D5FAF"/>
    <w:rsid w:val="009D65C7"/>
    <w:rsid w:val="009D71C1"/>
    <w:rsid w:val="009E0842"/>
    <w:rsid w:val="009E0AAE"/>
    <w:rsid w:val="009E1167"/>
    <w:rsid w:val="009E1D78"/>
    <w:rsid w:val="009E34CC"/>
    <w:rsid w:val="009E622A"/>
    <w:rsid w:val="009F0497"/>
    <w:rsid w:val="009F10D0"/>
    <w:rsid w:val="009F15A2"/>
    <w:rsid w:val="009F2C05"/>
    <w:rsid w:val="009F2D4B"/>
    <w:rsid w:val="009F33AD"/>
    <w:rsid w:val="009F39D5"/>
    <w:rsid w:val="009F4ED4"/>
    <w:rsid w:val="009F5116"/>
    <w:rsid w:val="009F53E0"/>
    <w:rsid w:val="009F5B39"/>
    <w:rsid w:val="009F6255"/>
    <w:rsid w:val="009F6695"/>
    <w:rsid w:val="009F71B4"/>
    <w:rsid w:val="00A015F4"/>
    <w:rsid w:val="00A035C4"/>
    <w:rsid w:val="00A038EE"/>
    <w:rsid w:val="00A04306"/>
    <w:rsid w:val="00A0680A"/>
    <w:rsid w:val="00A105F1"/>
    <w:rsid w:val="00A10A59"/>
    <w:rsid w:val="00A10BF6"/>
    <w:rsid w:val="00A10F1C"/>
    <w:rsid w:val="00A111AB"/>
    <w:rsid w:val="00A11698"/>
    <w:rsid w:val="00A11985"/>
    <w:rsid w:val="00A12090"/>
    <w:rsid w:val="00A13251"/>
    <w:rsid w:val="00A135B8"/>
    <w:rsid w:val="00A136BF"/>
    <w:rsid w:val="00A14681"/>
    <w:rsid w:val="00A15908"/>
    <w:rsid w:val="00A15BCC"/>
    <w:rsid w:val="00A16067"/>
    <w:rsid w:val="00A206DC"/>
    <w:rsid w:val="00A2093B"/>
    <w:rsid w:val="00A21C21"/>
    <w:rsid w:val="00A22E75"/>
    <w:rsid w:val="00A2303D"/>
    <w:rsid w:val="00A24DC1"/>
    <w:rsid w:val="00A26D47"/>
    <w:rsid w:val="00A26DAD"/>
    <w:rsid w:val="00A278E0"/>
    <w:rsid w:val="00A318C3"/>
    <w:rsid w:val="00A336DA"/>
    <w:rsid w:val="00A35AA3"/>
    <w:rsid w:val="00A35B44"/>
    <w:rsid w:val="00A35B47"/>
    <w:rsid w:val="00A370A7"/>
    <w:rsid w:val="00A378F0"/>
    <w:rsid w:val="00A40805"/>
    <w:rsid w:val="00A41C5D"/>
    <w:rsid w:val="00A426BB"/>
    <w:rsid w:val="00A4284A"/>
    <w:rsid w:val="00A42DC6"/>
    <w:rsid w:val="00A42FFE"/>
    <w:rsid w:val="00A456CF"/>
    <w:rsid w:val="00A4619A"/>
    <w:rsid w:val="00A461FB"/>
    <w:rsid w:val="00A46C19"/>
    <w:rsid w:val="00A50798"/>
    <w:rsid w:val="00A508A0"/>
    <w:rsid w:val="00A5333C"/>
    <w:rsid w:val="00A559A2"/>
    <w:rsid w:val="00A55E19"/>
    <w:rsid w:val="00A561A3"/>
    <w:rsid w:val="00A57348"/>
    <w:rsid w:val="00A57795"/>
    <w:rsid w:val="00A577B8"/>
    <w:rsid w:val="00A57960"/>
    <w:rsid w:val="00A6119C"/>
    <w:rsid w:val="00A6255C"/>
    <w:rsid w:val="00A62689"/>
    <w:rsid w:val="00A62B66"/>
    <w:rsid w:val="00A62FEF"/>
    <w:rsid w:val="00A63254"/>
    <w:rsid w:val="00A63F86"/>
    <w:rsid w:val="00A646FA"/>
    <w:rsid w:val="00A66ABC"/>
    <w:rsid w:val="00A66E90"/>
    <w:rsid w:val="00A706E8"/>
    <w:rsid w:val="00A71BE5"/>
    <w:rsid w:val="00A73187"/>
    <w:rsid w:val="00A806E1"/>
    <w:rsid w:val="00A806EC"/>
    <w:rsid w:val="00A80DAB"/>
    <w:rsid w:val="00A827E9"/>
    <w:rsid w:val="00A85443"/>
    <w:rsid w:val="00A861D1"/>
    <w:rsid w:val="00A86A96"/>
    <w:rsid w:val="00A86B40"/>
    <w:rsid w:val="00A879F0"/>
    <w:rsid w:val="00A9147F"/>
    <w:rsid w:val="00A9289E"/>
    <w:rsid w:val="00A92B56"/>
    <w:rsid w:val="00A96BE3"/>
    <w:rsid w:val="00A97B1C"/>
    <w:rsid w:val="00A97D1D"/>
    <w:rsid w:val="00A97D77"/>
    <w:rsid w:val="00AA13EA"/>
    <w:rsid w:val="00AA38BB"/>
    <w:rsid w:val="00AA4057"/>
    <w:rsid w:val="00AA426A"/>
    <w:rsid w:val="00AA430D"/>
    <w:rsid w:val="00AA4F09"/>
    <w:rsid w:val="00AA5F30"/>
    <w:rsid w:val="00AA606D"/>
    <w:rsid w:val="00AA6499"/>
    <w:rsid w:val="00AA6836"/>
    <w:rsid w:val="00AA7C4D"/>
    <w:rsid w:val="00AA7FC3"/>
    <w:rsid w:val="00AB1C53"/>
    <w:rsid w:val="00AB221E"/>
    <w:rsid w:val="00AB2D19"/>
    <w:rsid w:val="00AB3C90"/>
    <w:rsid w:val="00AB3F83"/>
    <w:rsid w:val="00AB58F3"/>
    <w:rsid w:val="00AB5A1C"/>
    <w:rsid w:val="00AB77E7"/>
    <w:rsid w:val="00AB783D"/>
    <w:rsid w:val="00AC02ED"/>
    <w:rsid w:val="00AC0773"/>
    <w:rsid w:val="00AC27E3"/>
    <w:rsid w:val="00AC319E"/>
    <w:rsid w:val="00AC360B"/>
    <w:rsid w:val="00AC4979"/>
    <w:rsid w:val="00AC4DAA"/>
    <w:rsid w:val="00AC5422"/>
    <w:rsid w:val="00AC7BD1"/>
    <w:rsid w:val="00AD0247"/>
    <w:rsid w:val="00AD0E66"/>
    <w:rsid w:val="00AD2359"/>
    <w:rsid w:val="00AD38F6"/>
    <w:rsid w:val="00AD4EB2"/>
    <w:rsid w:val="00AD54CC"/>
    <w:rsid w:val="00AD5685"/>
    <w:rsid w:val="00AD5D59"/>
    <w:rsid w:val="00AD7786"/>
    <w:rsid w:val="00AD7838"/>
    <w:rsid w:val="00AD7870"/>
    <w:rsid w:val="00AE12C6"/>
    <w:rsid w:val="00AE14BB"/>
    <w:rsid w:val="00AE1B19"/>
    <w:rsid w:val="00AE2531"/>
    <w:rsid w:val="00AE2AAD"/>
    <w:rsid w:val="00AE4C29"/>
    <w:rsid w:val="00AE5765"/>
    <w:rsid w:val="00AE75E9"/>
    <w:rsid w:val="00AF1500"/>
    <w:rsid w:val="00AF4003"/>
    <w:rsid w:val="00B006B0"/>
    <w:rsid w:val="00B0149D"/>
    <w:rsid w:val="00B0256C"/>
    <w:rsid w:val="00B0270D"/>
    <w:rsid w:val="00B02CD6"/>
    <w:rsid w:val="00B0424E"/>
    <w:rsid w:val="00B04991"/>
    <w:rsid w:val="00B0514D"/>
    <w:rsid w:val="00B05DEE"/>
    <w:rsid w:val="00B06091"/>
    <w:rsid w:val="00B0619D"/>
    <w:rsid w:val="00B076E8"/>
    <w:rsid w:val="00B07DEE"/>
    <w:rsid w:val="00B10889"/>
    <w:rsid w:val="00B112F5"/>
    <w:rsid w:val="00B1183D"/>
    <w:rsid w:val="00B128F1"/>
    <w:rsid w:val="00B12FCB"/>
    <w:rsid w:val="00B13FB5"/>
    <w:rsid w:val="00B146A4"/>
    <w:rsid w:val="00B161B5"/>
    <w:rsid w:val="00B1722A"/>
    <w:rsid w:val="00B178D8"/>
    <w:rsid w:val="00B21AD1"/>
    <w:rsid w:val="00B226A4"/>
    <w:rsid w:val="00B2271E"/>
    <w:rsid w:val="00B244BC"/>
    <w:rsid w:val="00B24B1C"/>
    <w:rsid w:val="00B25043"/>
    <w:rsid w:val="00B25B00"/>
    <w:rsid w:val="00B26FA4"/>
    <w:rsid w:val="00B2752F"/>
    <w:rsid w:val="00B27FB5"/>
    <w:rsid w:val="00B3069D"/>
    <w:rsid w:val="00B31DCE"/>
    <w:rsid w:val="00B3243D"/>
    <w:rsid w:val="00B3292A"/>
    <w:rsid w:val="00B32CE9"/>
    <w:rsid w:val="00B3309F"/>
    <w:rsid w:val="00B34EA5"/>
    <w:rsid w:val="00B35E23"/>
    <w:rsid w:val="00B363B2"/>
    <w:rsid w:val="00B379AD"/>
    <w:rsid w:val="00B40F46"/>
    <w:rsid w:val="00B4183D"/>
    <w:rsid w:val="00B41B75"/>
    <w:rsid w:val="00B42933"/>
    <w:rsid w:val="00B42DD6"/>
    <w:rsid w:val="00B44277"/>
    <w:rsid w:val="00B44ADD"/>
    <w:rsid w:val="00B45E3C"/>
    <w:rsid w:val="00B479C4"/>
    <w:rsid w:val="00B5038E"/>
    <w:rsid w:val="00B504F0"/>
    <w:rsid w:val="00B51264"/>
    <w:rsid w:val="00B52733"/>
    <w:rsid w:val="00B52F16"/>
    <w:rsid w:val="00B53BE3"/>
    <w:rsid w:val="00B53F27"/>
    <w:rsid w:val="00B54ECC"/>
    <w:rsid w:val="00B55299"/>
    <w:rsid w:val="00B55D08"/>
    <w:rsid w:val="00B57C94"/>
    <w:rsid w:val="00B57EDE"/>
    <w:rsid w:val="00B60CBD"/>
    <w:rsid w:val="00B60DE0"/>
    <w:rsid w:val="00B62147"/>
    <w:rsid w:val="00B6239C"/>
    <w:rsid w:val="00B62BDA"/>
    <w:rsid w:val="00B6411F"/>
    <w:rsid w:val="00B65348"/>
    <w:rsid w:val="00B6591A"/>
    <w:rsid w:val="00B65DA2"/>
    <w:rsid w:val="00B66144"/>
    <w:rsid w:val="00B6756B"/>
    <w:rsid w:val="00B67B13"/>
    <w:rsid w:val="00B71766"/>
    <w:rsid w:val="00B7238A"/>
    <w:rsid w:val="00B72BC1"/>
    <w:rsid w:val="00B73C8F"/>
    <w:rsid w:val="00B75AFF"/>
    <w:rsid w:val="00B76ACB"/>
    <w:rsid w:val="00B7735F"/>
    <w:rsid w:val="00B80C29"/>
    <w:rsid w:val="00B81ADD"/>
    <w:rsid w:val="00B82140"/>
    <w:rsid w:val="00B83843"/>
    <w:rsid w:val="00B8388F"/>
    <w:rsid w:val="00B86DC4"/>
    <w:rsid w:val="00B94850"/>
    <w:rsid w:val="00B95893"/>
    <w:rsid w:val="00B96894"/>
    <w:rsid w:val="00B973FC"/>
    <w:rsid w:val="00BA076E"/>
    <w:rsid w:val="00BA21EC"/>
    <w:rsid w:val="00BA2875"/>
    <w:rsid w:val="00BA408F"/>
    <w:rsid w:val="00BA42BE"/>
    <w:rsid w:val="00BA498D"/>
    <w:rsid w:val="00BA559B"/>
    <w:rsid w:val="00BA6166"/>
    <w:rsid w:val="00BA661C"/>
    <w:rsid w:val="00BA776D"/>
    <w:rsid w:val="00BA797F"/>
    <w:rsid w:val="00BB0C07"/>
    <w:rsid w:val="00BB1070"/>
    <w:rsid w:val="00BB1BDA"/>
    <w:rsid w:val="00BB27A9"/>
    <w:rsid w:val="00BB2FAE"/>
    <w:rsid w:val="00BB353A"/>
    <w:rsid w:val="00BB4459"/>
    <w:rsid w:val="00BB59A2"/>
    <w:rsid w:val="00BB6E4E"/>
    <w:rsid w:val="00BC1850"/>
    <w:rsid w:val="00BC2074"/>
    <w:rsid w:val="00BC24F6"/>
    <w:rsid w:val="00BC2827"/>
    <w:rsid w:val="00BC2AB6"/>
    <w:rsid w:val="00BC575A"/>
    <w:rsid w:val="00BC5ADA"/>
    <w:rsid w:val="00BC5EE6"/>
    <w:rsid w:val="00BC63B8"/>
    <w:rsid w:val="00BC6553"/>
    <w:rsid w:val="00BD1530"/>
    <w:rsid w:val="00BD2AB1"/>
    <w:rsid w:val="00BD2BCD"/>
    <w:rsid w:val="00BD37F8"/>
    <w:rsid w:val="00BD4219"/>
    <w:rsid w:val="00BD4CC2"/>
    <w:rsid w:val="00BD4EDA"/>
    <w:rsid w:val="00BD62CE"/>
    <w:rsid w:val="00BD691D"/>
    <w:rsid w:val="00BE119A"/>
    <w:rsid w:val="00BE2393"/>
    <w:rsid w:val="00BE2E0A"/>
    <w:rsid w:val="00BE4823"/>
    <w:rsid w:val="00BE589D"/>
    <w:rsid w:val="00BE5B21"/>
    <w:rsid w:val="00BF005F"/>
    <w:rsid w:val="00BF1C1F"/>
    <w:rsid w:val="00BF2998"/>
    <w:rsid w:val="00BF32D6"/>
    <w:rsid w:val="00BF49AA"/>
    <w:rsid w:val="00BF4D35"/>
    <w:rsid w:val="00BF60CA"/>
    <w:rsid w:val="00BF6B7E"/>
    <w:rsid w:val="00BF7F37"/>
    <w:rsid w:val="00C00073"/>
    <w:rsid w:val="00C0030B"/>
    <w:rsid w:val="00C00A89"/>
    <w:rsid w:val="00C00E39"/>
    <w:rsid w:val="00C016FF"/>
    <w:rsid w:val="00C01BC0"/>
    <w:rsid w:val="00C03D59"/>
    <w:rsid w:val="00C03EB4"/>
    <w:rsid w:val="00C04B4C"/>
    <w:rsid w:val="00C05321"/>
    <w:rsid w:val="00C05DE5"/>
    <w:rsid w:val="00C05EB2"/>
    <w:rsid w:val="00C0670A"/>
    <w:rsid w:val="00C0699E"/>
    <w:rsid w:val="00C077A7"/>
    <w:rsid w:val="00C111C4"/>
    <w:rsid w:val="00C11477"/>
    <w:rsid w:val="00C11701"/>
    <w:rsid w:val="00C120FE"/>
    <w:rsid w:val="00C12890"/>
    <w:rsid w:val="00C12E31"/>
    <w:rsid w:val="00C12F60"/>
    <w:rsid w:val="00C155F6"/>
    <w:rsid w:val="00C16CD0"/>
    <w:rsid w:val="00C16DA0"/>
    <w:rsid w:val="00C16EAC"/>
    <w:rsid w:val="00C2114E"/>
    <w:rsid w:val="00C2178B"/>
    <w:rsid w:val="00C21844"/>
    <w:rsid w:val="00C227C4"/>
    <w:rsid w:val="00C23400"/>
    <w:rsid w:val="00C23C29"/>
    <w:rsid w:val="00C23EA8"/>
    <w:rsid w:val="00C250E0"/>
    <w:rsid w:val="00C262C1"/>
    <w:rsid w:val="00C265BE"/>
    <w:rsid w:val="00C26AEC"/>
    <w:rsid w:val="00C275B7"/>
    <w:rsid w:val="00C30077"/>
    <w:rsid w:val="00C30163"/>
    <w:rsid w:val="00C32385"/>
    <w:rsid w:val="00C34305"/>
    <w:rsid w:val="00C36064"/>
    <w:rsid w:val="00C366FE"/>
    <w:rsid w:val="00C40CE7"/>
    <w:rsid w:val="00C44C16"/>
    <w:rsid w:val="00C479B1"/>
    <w:rsid w:val="00C52A0A"/>
    <w:rsid w:val="00C52C41"/>
    <w:rsid w:val="00C52EB3"/>
    <w:rsid w:val="00C532D7"/>
    <w:rsid w:val="00C54EFD"/>
    <w:rsid w:val="00C54FD9"/>
    <w:rsid w:val="00C550C2"/>
    <w:rsid w:val="00C579EB"/>
    <w:rsid w:val="00C57F1A"/>
    <w:rsid w:val="00C6028D"/>
    <w:rsid w:val="00C62649"/>
    <w:rsid w:val="00C62EBD"/>
    <w:rsid w:val="00C63070"/>
    <w:rsid w:val="00C636E0"/>
    <w:rsid w:val="00C6452D"/>
    <w:rsid w:val="00C64683"/>
    <w:rsid w:val="00C64941"/>
    <w:rsid w:val="00C651F2"/>
    <w:rsid w:val="00C66261"/>
    <w:rsid w:val="00C66A88"/>
    <w:rsid w:val="00C67102"/>
    <w:rsid w:val="00C717B0"/>
    <w:rsid w:val="00C71ECF"/>
    <w:rsid w:val="00C722D1"/>
    <w:rsid w:val="00C728B2"/>
    <w:rsid w:val="00C7294D"/>
    <w:rsid w:val="00C73670"/>
    <w:rsid w:val="00C73E57"/>
    <w:rsid w:val="00C74113"/>
    <w:rsid w:val="00C742F8"/>
    <w:rsid w:val="00C76822"/>
    <w:rsid w:val="00C76E75"/>
    <w:rsid w:val="00C776E7"/>
    <w:rsid w:val="00C77882"/>
    <w:rsid w:val="00C77FC7"/>
    <w:rsid w:val="00C80797"/>
    <w:rsid w:val="00C80D33"/>
    <w:rsid w:val="00C80ED5"/>
    <w:rsid w:val="00C82166"/>
    <w:rsid w:val="00C82326"/>
    <w:rsid w:val="00C8236A"/>
    <w:rsid w:val="00C824A9"/>
    <w:rsid w:val="00C82F15"/>
    <w:rsid w:val="00C835F6"/>
    <w:rsid w:val="00C8371A"/>
    <w:rsid w:val="00C845FB"/>
    <w:rsid w:val="00C85B70"/>
    <w:rsid w:val="00C85C14"/>
    <w:rsid w:val="00C8686B"/>
    <w:rsid w:val="00C91EBA"/>
    <w:rsid w:val="00C9404A"/>
    <w:rsid w:val="00C94AA9"/>
    <w:rsid w:val="00C96AC1"/>
    <w:rsid w:val="00C96EC2"/>
    <w:rsid w:val="00C976B6"/>
    <w:rsid w:val="00C97BF4"/>
    <w:rsid w:val="00CA0CAD"/>
    <w:rsid w:val="00CA14C8"/>
    <w:rsid w:val="00CA1BC5"/>
    <w:rsid w:val="00CA1FE8"/>
    <w:rsid w:val="00CA27BF"/>
    <w:rsid w:val="00CA5288"/>
    <w:rsid w:val="00CA5647"/>
    <w:rsid w:val="00CA7EF7"/>
    <w:rsid w:val="00CB0257"/>
    <w:rsid w:val="00CB1A9C"/>
    <w:rsid w:val="00CB38AD"/>
    <w:rsid w:val="00CB5361"/>
    <w:rsid w:val="00CB54FB"/>
    <w:rsid w:val="00CB5BF8"/>
    <w:rsid w:val="00CB5C3B"/>
    <w:rsid w:val="00CB5D30"/>
    <w:rsid w:val="00CB7F8B"/>
    <w:rsid w:val="00CC14F4"/>
    <w:rsid w:val="00CC4DA6"/>
    <w:rsid w:val="00CC4E1C"/>
    <w:rsid w:val="00CC4FB7"/>
    <w:rsid w:val="00CC5CD4"/>
    <w:rsid w:val="00CC6528"/>
    <w:rsid w:val="00CD0278"/>
    <w:rsid w:val="00CD04D6"/>
    <w:rsid w:val="00CD1E34"/>
    <w:rsid w:val="00CD2606"/>
    <w:rsid w:val="00CD2770"/>
    <w:rsid w:val="00CD2A85"/>
    <w:rsid w:val="00CD2DAF"/>
    <w:rsid w:val="00CD2EF6"/>
    <w:rsid w:val="00CD3848"/>
    <w:rsid w:val="00CD584B"/>
    <w:rsid w:val="00CD6D6F"/>
    <w:rsid w:val="00CD7197"/>
    <w:rsid w:val="00CD744F"/>
    <w:rsid w:val="00CD7E88"/>
    <w:rsid w:val="00CE1BDE"/>
    <w:rsid w:val="00CE1BF8"/>
    <w:rsid w:val="00CE3291"/>
    <w:rsid w:val="00CE42A3"/>
    <w:rsid w:val="00CE6E3C"/>
    <w:rsid w:val="00CE78E6"/>
    <w:rsid w:val="00CE7C1D"/>
    <w:rsid w:val="00CF0245"/>
    <w:rsid w:val="00CF1FE0"/>
    <w:rsid w:val="00CF2319"/>
    <w:rsid w:val="00CF3803"/>
    <w:rsid w:val="00CF3D40"/>
    <w:rsid w:val="00CF3DC2"/>
    <w:rsid w:val="00CF55E5"/>
    <w:rsid w:val="00CF5F47"/>
    <w:rsid w:val="00CF63E3"/>
    <w:rsid w:val="00CF63F0"/>
    <w:rsid w:val="00CF7F5C"/>
    <w:rsid w:val="00D02295"/>
    <w:rsid w:val="00D02A64"/>
    <w:rsid w:val="00D02E93"/>
    <w:rsid w:val="00D02FE4"/>
    <w:rsid w:val="00D03058"/>
    <w:rsid w:val="00D03FC3"/>
    <w:rsid w:val="00D04662"/>
    <w:rsid w:val="00D04C27"/>
    <w:rsid w:val="00D05DC3"/>
    <w:rsid w:val="00D06151"/>
    <w:rsid w:val="00D069C8"/>
    <w:rsid w:val="00D06C87"/>
    <w:rsid w:val="00D10C3E"/>
    <w:rsid w:val="00D11FF2"/>
    <w:rsid w:val="00D128B1"/>
    <w:rsid w:val="00D12BA1"/>
    <w:rsid w:val="00D132A1"/>
    <w:rsid w:val="00D13A61"/>
    <w:rsid w:val="00D13CD8"/>
    <w:rsid w:val="00D13D2A"/>
    <w:rsid w:val="00D141CD"/>
    <w:rsid w:val="00D1574B"/>
    <w:rsid w:val="00D15788"/>
    <w:rsid w:val="00D16CE1"/>
    <w:rsid w:val="00D1711F"/>
    <w:rsid w:val="00D17881"/>
    <w:rsid w:val="00D20467"/>
    <w:rsid w:val="00D20BC6"/>
    <w:rsid w:val="00D21080"/>
    <w:rsid w:val="00D24DDF"/>
    <w:rsid w:val="00D26C8E"/>
    <w:rsid w:val="00D330FE"/>
    <w:rsid w:val="00D3332A"/>
    <w:rsid w:val="00D33551"/>
    <w:rsid w:val="00D33F2D"/>
    <w:rsid w:val="00D35F6B"/>
    <w:rsid w:val="00D37AD3"/>
    <w:rsid w:val="00D37FFD"/>
    <w:rsid w:val="00D401F1"/>
    <w:rsid w:val="00D40334"/>
    <w:rsid w:val="00D4113F"/>
    <w:rsid w:val="00D41C91"/>
    <w:rsid w:val="00D41F9D"/>
    <w:rsid w:val="00D42D79"/>
    <w:rsid w:val="00D43078"/>
    <w:rsid w:val="00D4555C"/>
    <w:rsid w:val="00D471C7"/>
    <w:rsid w:val="00D47764"/>
    <w:rsid w:val="00D5008D"/>
    <w:rsid w:val="00D507F2"/>
    <w:rsid w:val="00D512F2"/>
    <w:rsid w:val="00D524C7"/>
    <w:rsid w:val="00D53BF4"/>
    <w:rsid w:val="00D5500E"/>
    <w:rsid w:val="00D55986"/>
    <w:rsid w:val="00D56344"/>
    <w:rsid w:val="00D57A96"/>
    <w:rsid w:val="00D57C7C"/>
    <w:rsid w:val="00D57CBF"/>
    <w:rsid w:val="00D60D0B"/>
    <w:rsid w:val="00D61AA1"/>
    <w:rsid w:val="00D620F2"/>
    <w:rsid w:val="00D63A38"/>
    <w:rsid w:val="00D65CC4"/>
    <w:rsid w:val="00D6617F"/>
    <w:rsid w:val="00D66192"/>
    <w:rsid w:val="00D67F98"/>
    <w:rsid w:val="00D717B4"/>
    <w:rsid w:val="00D72559"/>
    <w:rsid w:val="00D744F4"/>
    <w:rsid w:val="00D76D25"/>
    <w:rsid w:val="00D76F08"/>
    <w:rsid w:val="00D76F4A"/>
    <w:rsid w:val="00D770A5"/>
    <w:rsid w:val="00D77AA9"/>
    <w:rsid w:val="00D8122D"/>
    <w:rsid w:val="00D817DE"/>
    <w:rsid w:val="00D818E3"/>
    <w:rsid w:val="00D82520"/>
    <w:rsid w:val="00D82C51"/>
    <w:rsid w:val="00D831AC"/>
    <w:rsid w:val="00D8351E"/>
    <w:rsid w:val="00D83771"/>
    <w:rsid w:val="00D85CD8"/>
    <w:rsid w:val="00D86740"/>
    <w:rsid w:val="00D869B2"/>
    <w:rsid w:val="00D86A06"/>
    <w:rsid w:val="00D87132"/>
    <w:rsid w:val="00D87F41"/>
    <w:rsid w:val="00D90AB1"/>
    <w:rsid w:val="00D90C4E"/>
    <w:rsid w:val="00D91231"/>
    <w:rsid w:val="00D915AA"/>
    <w:rsid w:val="00D91B7F"/>
    <w:rsid w:val="00D925F3"/>
    <w:rsid w:val="00D92A50"/>
    <w:rsid w:val="00D9385D"/>
    <w:rsid w:val="00D93C0E"/>
    <w:rsid w:val="00D94346"/>
    <w:rsid w:val="00D95512"/>
    <w:rsid w:val="00D95F64"/>
    <w:rsid w:val="00D97E39"/>
    <w:rsid w:val="00DA27C4"/>
    <w:rsid w:val="00DA2D2F"/>
    <w:rsid w:val="00DA42D2"/>
    <w:rsid w:val="00DA45B2"/>
    <w:rsid w:val="00DA4FF2"/>
    <w:rsid w:val="00DA5589"/>
    <w:rsid w:val="00DA6216"/>
    <w:rsid w:val="00DA6A92"/>
    <w:rsid w:val="00DA6B79"/>
    <w:rsid w:val="00DB1890"/>
    <w:rsid w:val="00DB22A6"/>
    <w:rsid w:val="00DB22D3"/>
    <w:rsid w:val="00DB243C"/>
    <w:rsid w:val="00DB2450"/>
    <w:rsid w:val="00DB3125"/>
    <w:rsid w:val="00DB33F4"/>
    <w:rsid w:val="00DB361E"/>
    <w:rsid w:val="00DB44C0"/>
    <w:rsid w:val="00DB4C0D"/>
    <w:rsid w:val="00DB77EF"/>
    <w:rsid w:val="00DC063E"/>
    <w:rsid w:val="00DC24DF"/>
    <w:rsid w:val="00DC341B"/>
    <w:rsid w:val="00DC46F9"/>
    <w:rsid w:val="00DD015A"/>
    <w:rsid w:val="00DD015D"/>
    <w:rsid w:val="00DD0EB2"/>
    <w:rsid w:val="00DD29D6"/>
    <w:rsid w:val="00DD2C13"/>
    <w:rsid w:val="00DD3290"/>
    <w:rsid w:val="00DD4C9A"/>
    <w:rsid w:val="00DD5A0C"/>
    <w:rsid w:val="00DD6DA8"/>
    <w:rsid w:val="00DE2BC3"/>
    <w:rsid w:val="00DE2CC8"/>
    <w:rsid w:val="00DE4AF2"/>
    <w:rsid w:val="00DE4BF0"/>
    <w:rsid w:val="00DE4C77"/>
    <w:rsid w:val="00DE5EFE"/>
    <w:rsid w:val="00DE69DD"/>
    <w:rsid w:val="00DE7660"/>
    <w:rsid w:val="00DF2EC0"/>
    <w:rsid w:val="00DF4DF1"/>
    <w:rsid w:val="00DF5081"/>
    <w:rsid w:val="00DF591B"/>
    <w:rsid w:val="00DF5938"/>
    <w:rsid w:val="00DF6909"/>
    <w:rsid w:val="00DF6EEA"/>
    <w:rsid w:val="00DF7677"/>
    <w:rsid w:val="00DF7702"/>
    <w:rsid w:val="00E00171"/>
    <w:rsid w:val="00E00B0B"/>
    <w:rsid w:val="00E0102D"/>
    <w:rsid w:val="00E01E55"/>
    <w:rsid w:val="00E02021"/>
    <w:rsid w:val="00E02677"/>
    <w:rsid w:val="00E02BF4"/>
    <w:rsid w:val="00E03899"/>
    <w:rsid w:val="00E056DF"/>
    <w:rsid w:val="00E056E7"/>
    <w:rsid w:val="00E07E21"/>
    <w:rsid w:val="00E10D28"/>
    <w:rsid w:val="00E12CEF"/>
    <w:rsid w:val="00E13E6B"/>
    <w:rsid w:val="00E16C7E"/>
    <w:rsid w:val="00E20D1D"/>
    <w:rsid w:val="00E20D6D"/>
    <w:rsid w:val="00E21B7D"/>
    <w:rsid w:val="00E21C6E"/>
    <w:rsid w:val="00E23F77"/>
    <w:rsid w:val="00E240C5"/>
    <w:rsid w:val="00E25D9D"/>
    <w:rsid w:val="00E25DD8"/>
    <w:rsid w:val="00E276F3"/>
    <w:rsid w:val="00E3182F"/>
    <w:rsid w:val="00E3334B"/>
    <w:rsid w:val="00E33842"/>
    <w:rsid w:val="00E3418B"/>
    <w:rsid w:val="00E34A45"/>
    <w:rsid w:val="00E35D6A"/>
    <w:rsid w:val="00E35E09"/>
    <w:rsid w:val="00E36FA1"/>
    <w:rsid w:val="00E408AF"/>
    <w:rsid w:val="00E413AA"/>
    <w:rsid w:val="00E439FD"/>
    <w:rsid w:val="00E43BB7"/>
    <w:rsid w:val="00E44069"/>
    <w:rsid w:val="00E4501C"/>
    <w:rsid w:val="00E51FB9"/>
    <w:rsid w:val="00E53EB9"/>
    <w:rsid w:val="00E5436F"/>
    <w:rsid w:val="00E560CD"/>
    <w:rsid w:val="00E566A0"/>
    <w:rsid w:val="00E578F4"/>
    <w:rsid w:val="00E57DBA"/>
    <w:rsid w:val="00E60B68"/>
    <w:rsid w:val="00E60BD9"/>
    <w:rsid w:val="00E616D4"/>
    <w:rsid w:val="00E61836"/>
    <w:rsid w:val="00E622FA"/>
    <w:rsid w:val="00E627ED"/>
    <w:rsid w:val="00E62BB6"/>
    <w:rsid w:val="00E63008"/>
    <w:rsid w:val="00E63E52"/>
    <w:rsid w:val="00E66FA3"/>
    <w:rsid w:val="00E70745"/>
    <w:rsid w:val="00E70E92"/>
    <w:rsid w:val="00E71ACD"/>
    <w:rsid w:val="00E7213F"/>
    <w:rsid w:val="00E732FC"/>
    <w:rsid w:val="00E76156"/>
    <w:rsid w:val="00E76384"/>
    <w:rsid w:val="00E76E60"/>
    <w:rsid w:val="00E76F5D"/>
    <w:rsid w:val="00E7782E"/>
    <w:rsid w:val="00E804BF"/>
    <w:rsid w:val="00E80FC3"/>
    <w:rsid w:val="00E8294F"/>
    <w:rsid w:val="00E83504"/>
    <w:rsid w:val="00E83687"/>
    <w:rsid w:val="00E8430D"/>
    <w:rsid w:val="00E8453F"/>
    <w:rsid w:val="00E84F9C"/>
    <w:rsid w:val="00E86B95"/>
    <w:rsid w:val="00E91B1B"/>
    <w:rsid w:val="00E922D5"/>
    <w:rsid w:val="00E94499"/>
    <w:rsid w:val="00E94E31"/>
    <w:rsid w:val="00E95464"/>
    <w:rsid w:val="00E95BA6"/>
    <w:rsid w:val="00E9611C"/>
    <w:rsid w:val="00E96B2B"/>
    <w:rsid w:val="00E96F57"/>
    <w:rsid w:val="00E97C06"/>
    <w:rsid w:val="00EA1412"/>
    <w:rsid w:val="00EA1975"/>
    <w:rsid w:val="00EA2358"/>
    <w:rsid w:val="00EA26F4"/>
    <w:rsid w:val="00EA2B78"/>
    <w:rsid w:val="00EA308A"/>
    <w:rsid w:val="00EA593E"/>
    <w:rsid w:val="00EA595B"/>
    <w:rsid w:val="00EA5A4D"/>
    <w:rsid w:val="00EA5F0F"/>
    <w:rsid w:val="00EA6790"/>
    <w:rsid w:val="00EA6869"/>
    <w:rsid w:val="00EA68DF"/>
    <w:rsid w:val="00EA7DA0"/>
    <w:rsid w:val="00EA7FBC"/>
    <w:rsid w:val="00EB253F"/>
    <w:rsid w:val="00EB2F6B"/>
    <w:rsid w:val="00EB561D"/>
    <w:rsid w:val="00EB56AB"/>
    <w:rsid w:val="00EB5A64"/>
    <w:rsid w:val="00EB5D4F"/>
    <w:rsid w:val="00EB6529"/>
    <w:rsid w:val="00EC1F0B"/>
    <w:rsid w:val="00EC29E4"/>
    <w:rsid w:val="00EC3645"/>
    <w:rsid w:val="00EC3B98"/>
    <w:rsid w:val="00EC5CDA"/>
    <w:rsid w:val="00EC69CE"/>
    <w:rsid w:val="00EC71F9"/>
    <w:rsid w:val="00EC72B3"/>
    <w:rsid w:val="00ED0D1D"/>
    <w:rsid w:val="00ED0FCE"/>
    <w:rsid w:val="00ED1843"/>
    <w:rsid w:val="00ED401E"/>
    <w:rsid w:val="00ED424C"/>
    <w:rsid w:val="00ED4A11"/>
    <w:rsid w:val="00ED4EA8"/>
    <w:rsid w:val="00ED6287"/>
    <w:rsid w:val="00ED6B87"/>
    <w:rsid w:val="00ED6C80"/>
    <w:rsid w:val="00ED6FA8"/>
    <w:rsid w:val="00ED7004"/>
    <w:rsid w:val="00EE1FBE"/>
    <w:rsid w:val="00EE2C54"/>
    <w:rsid w:val="00EE3DB5"/>
    <w:rsid w:val="00EE46DB"/>
    <w:rsid w:val="00EE5EFE"/>
    <w:rsid w:val="00EE60AB"/>
    <w:rsid w:val="00EE6B5F"/>
    <w:rsid w:val="00EE71AE"/>
    <w:rsid w:val="00EF12CF"/>
    <w:rsid w:val="00EF6804"/>
    <w:rsid w:val="00EF7891"/>
    <w:rsid w:val="00EF7969"/>
    <w:rsid w:val="00EF7E51"/>
    <w:rsid w:val="00F00D57"/>
    <w:rsid w:val="00F01680"/>
    <w:rsid w:val="00F017EF"/>
    <w:rsid w:val="00F01E40"/>
    <w:rsid w:val="00F03AA6"/>
    <w:rsid w:val="00F05A5D"/>
    <w:rsid w:val="00F05F00"/>
    <w:rsid w:val="00F06C0A"/>
    <w:rsid w:val="00F077DF"/>
    <w:rsid w:val="00F10C18"/>
    <w:rsid w:val="00F11809"/>
    <w:rsid w:val="00F11CC5"/>
    <w:rsid w:val="00F125C0"/>
    <w:rsid w:val="00F13DB5"/>
    <w:rsid w:val="00F14050"/>
    <w:rsid w:val="00F14BC2"/>
    <w:rsid w:val="00F15A52"/>
    <w:rsid w:val="00F16B78"/>
    <w:rsid w:val="00F20C87"/>
    <w:rsid w:val="00F21918"/>
    <w:rsid w:val="00F227EA"/>
    <w:rsid w:val="00F236FF"/>
    <w:rsid w:val="00F250C7"/>
    <w:rsid w:val="00F25BB9"/>
    <w:rsid w:val="00F26985"/>
    <w:rsid w:val="00F26FD3"/>
    <w:rsid w:val="00F27657"/>
    <w:rsid w:val="00F305D1"/>
    <w:rsid w:val="00F30CB1"/>
    <w:rsid w:val="00F31774"/>
    <w:rsid w:val="00F32E55"/>
    <w:rsid w:val="00F3553D"/>
    <w:rsid w:val="00F360AB"/>
    <w:rsid w:val="00F36B55"/>
    <w:rsid w:val="00F3708B"/>
    <w:rsid w:val="00F424A6"/>
    <w:rsid w:val="00F42F67"/>
    <w:rsid w:val="00F43ACA"/>
    <w:rsid w:val="00F44C45"/>
    <w:rsid w:val="00F46411"/>
    <w:rsid w:val="00F503E3"/>
    <w:rsid w:val="00F5053F"/>
    <w:rsid w:val="00F50A17"/>
    <w:rsid w:val="00F50B3B"/>
    <w:rsid w:val="00F525F3"/>
    <w:rsid w:val="00F533F6"/>
    <w:rsid w:val="00F53715"/>
    <w:rsid w:val="00F547E2"/>
    <w:rsid w:val="00F557E8"/>
    <w:rsid w:val="00F563C2"/>
    <w:rsid w:val="00F610B0"/>
    <w:rsid w:val="00F63E36"/>
    <w:rsid w:val="00F64295"/>
    <w:rsid w:val="00F65C5E"/>
    <w:rsid w:val="00F65EE3"/>
    <w:rsid w:val="00F67A18"/>
    <w:rsid w:val="00F67D02"/>
    <w:rsid w:val="00F67F70"/>
    <w:rsid w:val="00F72E3E"/>
    <w:rsid w:val="00F739E6"/>
    <w:rsid w:val="00F73A22"/>
    <w:rsid w:val="00F74BFC"/>
    <w:rsid w:val="00F75038"/>
    <w:rsid w:val="00F75D2B"/>
    <w:rsid w:val="00F7606E"/>
    <w:rsid w:val="00F776E8"/>
    <w:rsid w:val="00F80A45"/>
    <w:rsid w:val="00F812FA"/>
    <w:rsid w:val="00F8172D"/>
    <w:rsid w:val="00F82462"/>
    <w:rsid w:val="00F8259E"/>
    <w:rsid w:val="00F826AD"/>
    <w:rsid w:val="00F82ACA"/>
    <w:rsid w:val="00F8414E"/>
    <w:rsid w:val="00F841FA"/>
    <w:rsid w:val="00F85347"/>
    <w:rsid w:val="00F858AC"/>
    <w:rsid w:val="00F86CDE"/>
    <w:rsid w:val="00F87360"/>
    <w:rsid w:val="00F8796B"/>
    <w:rsid w:val="00F87A22"/>
    <w:rsid w:val="00F90856"/>
    <w:rsid w:val="00F91ABC"/>
    <w:rsid w:val="00F92D9B"/>
    <w:rsid w:val="00F94C62"/>
    <w:rsid w:val="00F95B9E"/>
    <w:rsid w:val="00F95BF7"/>
    <w:rsid w:val="00F96E68"/>
    <w:rsid w:val="00F972E5"/>
    <w:rsid w:val="00F9799F"/>
    <w:rsid w:val="00FA05B5"/>
    <w:rsid w:val="00FA0D33"/>
    <w:rsid w:val="00FA28D4"/>
    <w:rsid w:val="00FA2DAF"/>
    <w:rsid w:val="00FA4249"/>
    <w:rsid w:val="00FA4FF9"/>
    <w:rsid w:val="00FA51CB"/>
    <w:rsid w:val="00FA55C1"/>
    <w:rsid w:val="00FA6431"/>
    <w:rsid w:val="00FA7527"/>
    <w:rsid w:val="00FA7D55"/>
    <w:rsid w:val="00FB0AAA"/>
    <w:rsid w:val="00FB0AE0"/>
    <w:rsid w:val="00FB0EFC"/>
    <w:rsid w:val="00FB1040"/>
    <w:rsid w:val="00FB1F7C"/>
    <w:rsid w:val="00FB23DF"/>
    <w:rsid w:val="00FB338E"/>
    <w:rsid w:val="00FB3B42"/>
    <w:rsid w:val="00FB613F"/>
    <w:rsid w:val="00FB61A9"/>
    <w:rsid w:val="00FB61D0"/>
    <w:rsid w:val="00FC0B8F"/>
    <w:rsid w:val="00FC12A2"/>
    <w:rsid w:val="00FC35C3"/>
    <w:rsid w:val="00FC3652"/>
    <w:rsid w:val="00FC3829"/>
    <w:rsid w:val="00FC48A5"/>
    <w:rsid w:val="00FC6759"/>
    <w:rsid w:val="00FC7814"/>
    <w:rsid w:val="00FC7A0D"/>
    <w:rsid w:val="00FD1CA2"/>
    <w:rsid w:val="00FD2780"/>
    <w:rsid w:val="00FD2FC2"/>
    <w:rsid w:val="00FD461B"/>
    <w:rsid w:val="00FD4C04"/>
    <w:rsid w:val="00FD5B71"/>
    <w:rsid w:val="00FD7545"/>
    <w:rsid w:val="00FE07DF"/>
    <w:rsid w:val="00FE1A82"/>
    <w:rsid w:val="00FE20CE"/>
    <w:rsid w:val="00FE3895"/>
    <w:rsid w:val="00FE414A"/>
    <w:rsid w:val="00FE45EE"/>
    <w:rsid w:val="00FE5225"/>
    <w:rsid w:val="00FE5E32"/>
    <w:rsid w:val="00FE6578"/>
    <w:rsid w:val="00FE69A2"/>
    <w:rsid w:val="00FE6C2C"/>
    <w:rsid w:val="00FE77BA"/>
    <w:rsid w:val="00FF1668"/>
    <w:rsid w:val="00FF17E6"/>
    <w:rsid w:val="00FF372D"/>
    <w:rsid w:val="00FF375B"/>
    <w:rsid w:val="00FF4FBC"/>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E2B4"/>
  <w15:chartTrackingRefBased/>
  <w15:docId w15:val="{5C89CB37-C278-477F-9718-BA6F6EAF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B0F13"/>
  </w:style>
  <w:style w:type="paragraph" w:styleId="NoSpacing">
    <w:name w:val="No Spacing"/>
    <w:uiPriority w:val="1"/>
    <w:qFormat/>
    <w:rsid w:val="007B0F13"/>
    <w:pPr>
      <w:spacing w:after="0" w:line="240" w:lineRule="auto"/>
    </w:pPr>
    <w:rPr>
      <w:rFonts w:ascii="Calibri" w:eastAsia="Times New Roman" w:hAnsi="Calibri" w:cs="Times New Roman"/>
    </w:rPr>
  </w:style>
  <w:style w:type="character" w:styleId="Hyperlink">
    <w:name w:val="Hyperlink"/>
    <w:uiPriority w:val="99"/>
    <w:unhideWhenUsed/>
    <w:rsid w:val="007B0F13"/>
    <w:rPr>
      <w:color w:val="0000FF"/>
      <w:u w:val="single"/>
    </w:rPr>
  </w:style>
  <w:style w:type="paragraph" w:styleId="BodyText">
    <w:name w:val="Body Text"/>
    <w:basedOn w:val="Normal"/>
    <w:link w:val="BodyTextChar"/>
    <w:uiPriority w:val="99"/>
    <w:semiHidden/>
    <w:unhideWhenUsed/>
    <w:rsid w:val="007B0F13"/>
    <w:pPr>
      <w:spacing w:after="120" w:line="240"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7B0F13"/>
    <w:rPr>
      <w:rFonts w:ascii="Calibri" w:eastAsia="Calibri" w:hAnsi="Calibri" w:cs="Times New Roman"/>
    </w:rPr>
  </w:style>
  <w:style w:type="paragraph" w:styleId="Header">
    <w:name w:val="header"/>
    <w:basedOn w:val="Normal"/>
    <w:link w:val="HeaderChar"/>
    <w:uiPriority w:val="99"/>
    <w:unhideWhenUsed/>
    <w:rsid w:val="007B0F1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B0F13"/>
    <w:rPr>
      <w:rFonts w:ascii="Calibri" w:eastAsia="Calibri" w:hAnsi="Calibri" w:cs="Times New Roman"/>
    </w:rPr>
  </w:style>
  <w:style w:type="paragraph" w:styleId="Footer">
    <w:name w:val="footer"/>
    <w:basedOn w:val="Normal"/>
    <w:link w:val="FooterChar"/>
    <w:uiPriority w:val="99"/>
    <w:unhideWhenUsed/>
    <w:rsid w:val="007B0F1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0F13"/>
    <w:rPr>
      <w:rFonts w:ascii="Calibri" w:eastAsia="Calibri" w:hAnsi="Calibri" w:cs="Times New Roman"/>
    </w:rPr>
  </w:style>
  <w:style w:type="paragraph" w:styleId="ListParagraph">
    <w:name w:val="List Paragraph"/>
    <w:basedOn w:val="Normal"/>
    <w:uiPriority w:val="34"/>
    <w:qFormat/>
    <w:rsid w:val="007B0F13"/>
    <w:pPr>
      <w:spacing w:after="0" w:line="240" w:lineRule="auto"/>
      <w:ind w:left="720"/>
      <w:contextualSpacing/>
    </w:pPr>
    <w:rPr>
      <w:rFonts w:ascii="Calibri" w:eastAsia="Calibri" w:hAnsi="Calibri" w:cs="Times New Roman"/>
    </w:rPr>
  </w:style>
  <w:style w:type="paragraph" w:styleId="TOAHeading">
    <w:name w:val="toa heading"/>
    <w:basedOn w:val="Normal"/>
    <w:next w:val="Normal"/>
    <w:uiPriority w:val="99"/>
    <w:unhideWhenUsed/>
    <w:rsid w:val="007B0F13"/>
    <w:pPr>
      <w:spacing w:after="0" w:line="240" w:lineRule="auto"/>
      <w:jc w:val="center"/>
    </w:pPr>
    <w:rPr>
      <w:rFonts w:ascii="Century Schoolbook" w:eastAsia="Times New Roman" w:hAnsi="Century Schoolbook" w:cs="Times New Roman"/>
      <w:b/>
      <w:bCs/>
      <w:caps/>
      <w:sz w:val="26"/>
      <w:szCs w:val="24"/>
      <w:u w:val="single"/>
    </w:rPr>
  </w:style>
  <w:style w:type="paragraph" w:styleId="TableofAuthorities">
    <w:name w:val="table of authorities"/>
    <w:basedOn w:val="Normal"/>
    <w:next w:val="Normal"/>
    <w:uiPriority w:val="99"/>
    <w:unhideWhenUsed/>
    <w:rsid w:val="007B0F13"/>
    <w:pPr>
      <w:tabs>
        <w:tab w:val="right" w:leader="dot" w:pos="7200"/>
      </w:tabs>
      <w:spacing w:after="0" w:line="240" w:lineRule="auto"/>
      <w:ind w:left="720" w:hanging="720"/>
      <w:jc w:val="both"/>
    </w:pPr>
    <w:rPr>
      <w:rFonts w:ascii="Century Schoolbook" w:eastAsia="Calibri" w:hAnsi="Century Schoolbook" w:cs="Times New Roman"/>
      <w:sz w:val="26"/>
    </w:rPr>
  </w:style>
  <w:style w:type="paragraph" w:styleId="BodyTextIndent2">
    <w:name w:val="Body Text Indent 2"/>
    <w:basedOn w:val="Normal"/>
    <w:link w:val="BodyTextIndent2Char"/>
    <w:uiPriority w:val="99"/>
    <w:semiHidden/>
    <w:unhideWhenUsed/>
    <w:rsid w:val="007B0F13"/>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7B0F13"/>
    <w:rPr>
      <w:rFonts w:ascii="Calibri" w:eastAsia="Calibri" w:hAnsi="Calibri" w:cs="Times New Roman"/>
    </w:rPr>
  </w:style>
  <w:style w:type="paragraph" w:styleId="BodyTextIndent">
    <w:name w:val="Body Text Indent"/>
    <w:basedOn w:val="Normal"/>
    <w:link w:val="BodyTextIndentChar"/>
    <w:uiPriority w:val="99"/>
    <w:semiHidden/>
    <w:unhideWhenUsed/>
    <w:rsid w:val="007B0F13"/>
    <w:pPr>
      <w:spacing w:after="120" w:line="240"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7B0F13"/>
    <w:rPr>
      <w:rFonts w:ascii="Calibri" w:eastAsia="Calibri" w:hAnsi="Calibri" w:cs="Times New Roman"/>
    </w:rPr>
  </w:style>
  <w:style w:type="paragraph" w:styleId="BodyTextIndent3">
    <w:name w:val="Body Text Indent 3"/>
    <w:basedOn w:val="Normal"/>
    <w:link w:val="BodyTextIndent3Char"/>
    <w:uiPriority w:val="99"/>
    <w:semiHidden/>
    <w:unhideWhenUsed/>
    <w:rsid w:val="007B0F13"/>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7B0F13"/>
    <w:rPr>
      <w:rFonts w:ascii="Calibri" w:eastAsia="Calibri" w:hAnsi="Calibri" w:cs="Times New Roman"/>
      <w:sz w:val="16"/>
      <w:szCs w:val="16"/>
    </w:rPr>
  </w:style>
  <w:style w:type="paragraph" w:styleId="FootnoteText">
    <w:name w:val="footnote text"/>
    <w:basedOn w:val="Normal"/>
    <w:link w:val="FootnoteTextChar"/>
    <w:semiHidden/>
    <w:rsid w:val="007B0F1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0F13"/>
    <w:rPr>
      <w:rFonts w:ascii="Times New Roman" w:eastAsia="Times New Roman" w:hAnsi="Times New Roman" w:cs="Times New Roman"/>
      <w:sz w:val="20"/>
      <w:szCs w:val="20"/>
    </w:rPr>
  </w:style>
  <w:style w:type="character" w:styleId="FootnoteReference">
    <w:name w:val="footnote reference"/>
    <w:rsid w:val="007B0F13"/>
    <w:rPr>
      <w:vertAlign w:val="superscript"/>
    </w:rPr>
  </w:style>
  <w:style w:type="paragraph" w:styleId="BalloonText">
    <w:name w:val="Balloon Text"/>
    <w:basedOn w:val="Normal"/>
    <w:link w:val="BalloonTextChar"/>
    <w:uiPriority w:val="99"/>
    <w:semiHidden/>
    <w:unhideWhenUsed/>
    <w:rsid w:val="007B0F1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B0F13"/>
    <w:rPr>
      <w:rFonts w:ascii="Segoe UI" w:eastAsia="Calibri" w:hAnsi="Segoe UI" w:cs="Segoe UI"/>
      <w:sz w:val="18"/>
      <w:szCs w:val="18"/>
    </w:rPr>
  </w:style>
  <w:style w:type="paragraph" w:styleId="NormalWeb">
    <w:name w:val="Normal (Web)"/>
    <w:basedOn w:val="Normal"/>
    <w:uiPriority w:val="99"/>
    <w:unhideWhenUsed/>
    <w:rsid w:val="007B0F13"/>
    <w:pPr>
      <w:spacing w:after="0" w:line="240" w:lineRule="auto"/>
    </w:pPr>
    <w:rPr>
      <w:rFonts w:ascii="Times New Roman" w:eastAsia="Calibri" w:hAnsi="Times New Roman" w:cs="Times New Roman"/>
      <w:sz w:val="24"/>
      <w:szCs w:val="24"/>
    </w:rPr>
  </w:style>
  <w:style w:type="table" w:styleId="TableGrid">
    <w:name w:val="Table Grid"/>
    <w:basedOn w:val="TableNormal"/>
    <w:uiPriority w:val="59"/>
    <w:rsid w:val="007B0F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0F13"/>
  </w:style>
  <w:style w:type="character" w:customStyle="1" w:styleId="sssh">
    <w:name w:val="ss_sh"/>
    <w:basedOn w:val="DefaultParagraphFont"/>
    <w:rsid w:val="007B0F13"/>
  </w:style>
  <w:style w:type="character" w:customStyle="1" w:styleId="ssit">
    <w:name w:val="ss_it"/>
    <w:basedOn w:val="DefaultParagraphFont"/>
    <w:rsid w:val="007B0F13"/>
  </w:style>
  <w:style w:type="character" w:styleId="UnresolvedMention">
    <w:name w:val="Unresolved Mention"/>
    <w:uiPriority w:val="99"/>
    <w:semiHidden/>
    <w:unhideWhenUsed/>
    <w:rsid w:val="007B0F13"/>
    <w:rPr>
      <w:color w:val="808080"/>
      <w:shd w:val="clear" w:color="auto" w:fill="E6E6E6"/>
    </w:rPr>
  </w:style>
  <w:style w:type="paragraph" w:styleId="CommentText">
    <w:name w:val="annotation text"/>
    <w:basedOn w:val="Normal"/>
    <w:link w:val="CommentTextChar"/>
    <w:uiPriority w:val="99"/>
    <w:semiHidden/>
    <w:unhideWhenUsed/>
    <w:rsid w:val="007B0F1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B0F13"/>
    <w:rPr>
      <w:rFonts w:ascii="Calibri" w:eastAsia="Calibri" w:hAnsi="Calibri" w:cs="Times New Roman"/>
      <w:sz w:val="20"/>
      <w:szCs w:val="20"/>
    </w:rPr>
  </w:style>
  <w:style w:type="character" w:customStyle="1" w:styleId="ssrfcpassagedeactivated">
    <w:name w:val="ss_rfcpassage_deactivated"/>
    <w:rsid w:val="007B0F13"/>
  </w:style>
  <w:style w:type="character" w:customStyle="1" w:styleId="ssrfcsection">
    <w:name w:val="ss_rfcsection"/>
    <w:rsid w:val="007B0F13"/>
  </w:style>
  <w:style w:type="character" w:styleId="FollowedHyperlink">
    <w:name w:val="FollowedHyperlink"/>
    <w:uiPriority w:val="99"/>
    <w:semiHidden/>
    <w:unhideWhenUsed/>
    <w:rsid w:val="007B0F13"/>
    <w:rPr>
      <w:color w:val="954F72"/>
      <w:u w:val="single"/>
    </w:rPr>
  </w:style>
  <w:style w:type="character" w:styleId="CommentReference">
    <w:name w:val="annotation reference"/>
    <w:basedOn w:val="DefaultParagraphFont"/>
    <w:uiPriority w:val="99"/>
    <w:semiHidden/>
    <w:unhideWhenUsed/>
    <w:rsid w:val="00F227EA"/>
    <w:rPr>
      <w:sz w:val="16"/>
      <w:szCs w:val="16"/>
    </w:rPr>
  </w:style>
  <w:style w:type="paragraph" w:styleId="CommentSubject">
    <w:name w:val="annotation subject"/>
    <w:basedOn w:val="CommentText"/>
    <w:next w:val="CommentText"/>
    <w:link w:val="CommentSubjectChar"/>
    <w:uiPriority w:val="99"/>
    <w:semiHidden/>
    <w:unhideWhenUsed/>
    <w:rsid w:val="00F227E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27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lu.org/blog/criminal-law-reform/reforming-police/if-youre-white-youre-customer-if-youre-black-youre"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leighnc.gov/safety/content/Police/Articles/PoliceDistricts.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nnect.ncdot.gov/projects/research/RNAProjDocs/2007-14AFinalReport.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dr.lib.unc.edu/concern/dissertations/8049g994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lu.org/blog/criminal-law-reform/reforming-police/if-youre-white-youre-customer-if-youre-black-youre" TargetMode="External"/><Relationship Id="rId2" Type="http://schemas.openxmlformats.org/officeDocument/2006/relationships/hyperlink" Target="https://cdr.lib.unc.edu/concern/dissertations/8049g994g" TargetMode="External"/><Relationship Id="rId1" Type="http://schemas.openxmlformats.org/officeDocument/2006/relationships/hyperlink" Target="https://raleighnc.gov/safety/content/Police/Articles/PoliceDistri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7B13-3CE4-4FFC-BEB9-00A9C304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8073</Words>
  <Characters>46018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VandenBerg, Kathryn L.</dc:creator>
  <cp:keywords/>
  <dc:description/>
  <cp:lastModifiedBy>Reiner, Heidi E.</cp:lastModifiedBy>
  <cp:revision>2</cp:revision>
  <cp:lastPrinted>2022-01-25T17:05:00Z</cp:lastPrinted>
  <dcterms:created xsi:type="dcterms:W3CDTF">2022-02-08T15:22:00Z</dcterms:created>
  <dcterms:modified xsi:type="dcterms:W3CDTF">2022-02-08T15:22:00Z</dcterms:modified>
</cp:coreProperties>
</file>