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0E66F" w14:textId="13417379" w:rsidR="00B542FE" w:rsidRPr="00177C93" w:rsidRDefault="00B542FE" w:rsidP="0021400E">
      <w:pPr>
        <w:pStyle w:val="WW-Default"/>
        <w:tabs>
          <w:tab w:val="right" w:pos="9360"/>
        </w:tabs>
        <w:rPr>
          <w:rFonts w:ascii="Century Schoolbook" w:hAnsi="Century Schoolbook" w:cs="Times New Roman"/>
          <w:color w:val="000000" w:themeColor="text1"/>
          <w:sz w:val="26"/>
          <w:szCs w:val="26"/>
        </w:rPr>
      </w:pPr>
      <w:bookmarkStart w:id="0" w:name="_Hlk81384116"/>
      <w:r w:rsidRPr="00177C93">
        <w:rPr>
          <w:rFonts w:ascii="Century Schoolbook" w:hAnsi="Century Schoolbook" w:cs="Times New Roman"/>
          <w:color w:val="000000" w:themeColor="text1"/>
          <w:sz w:val="26"/>
          <w:szCs w:val="26"/>
        </w:rPr>
        <w:t>No. COA</w:t>
      </w:r>
      <w:r w:rsidR="00B7136F">
        <w:rPr>
          <w:rFonts w:ascii="Century Schoolbook" w:hAnsi="Century Schoolbook" w:cs="Times New Roman"/>
          <w:color w:val="000000" w:themeColor="text1"/>
          <w:sz w:val="26"/>
          <w:szCs w:val="26"/>
        </w:rPr>
        <w:t>21-297</w:t>
      </w:r>
      <w:r w:rsidR="0057601C">
        <w:rPr>
          <w:rFonts w:ascii="Century Schoolbook" w:hAnsi="Century Schoolbook" w:cs="Times New Roman"/>
          <w:color w:val="000000" w:themeColor="text1"/>
          <w:sz w:val="26"/>
          <w:szCs w:val="26"/>
        </w:rPr>
        <w:tab/>
      </w:r>
      <w:r w:rsidR="00B7136F">
        <w:rPr>
          <w:rFonts w:ascii="Century Schoolbook" w:hAnsi="Century Schoolbook" w:cs="Times New Roman"/>
          <w:color w:val="000000" w:themeColor="text1"/>
          <w:sz w:val="26"/>
          <w:szCs w:val="26"/>
        </w:rPr>
        <w:t>THREE-B</w:t>
      </w:r>
      <w:r w:rsidR="0057601C" w:rsidRPr="00177C93">
        <w:rPr>
          <w:rFonts w:ascii="Century Schoolbook" w:hAnsi="Century Schoolbook" w:cs="Times New Roman"/>
          <w:color w:val="000000" w:themeColor="text1"/>
          <w:sz w:val="26"/>
          <w:szCs w:val="26"/>
        </w:rPr>
        <w:t xml:space="preserve"> DISTRICT</w:t>
      </w:r>
      <w:r w:rsidRPr="00177C93">
        <w:rPr>
          <w:rFonts w:ascii="Century Schoolbook" w:hAnsi="Century Schoolbook" w:cs="Times New Roman"/>
          <w:color w:val="000000" w:themeColor="text1"/>
          <w:sz w:val="26"/>
          <w:szCs w:val="26"/>
        </w:rPr>
        <w:t xml:space="preserve"> </w:t>
      </w:r>
    </w:p>
    <w:p w14:paraId="5BB521C4" w14:textId="77777777" w:rsidR="00B542FE" w:rsidRPr="00177C93" w:rsidRDefault="00B542FE" w:rsidP="00B542FE">
      <w:pPr>
        <w:pStyle w:val="WW-Default"/>
        <w:jc w:val="center"/>
        <w:rPr>
          <w:rFonts w:ascii="Century Schoolbook" w:hAnsi="Century Schoolbook" w:cs="Times New Roman"/>
          <w:color w:val="000000" w:themeColor="text1"/>
          <w:sz w:val="26"/>
          <w:szCs w:val="26"/>
        </w:rPr>
      </w:pPr>
    </w:p>
    <w:p w14:paraId="4EDD3657" w14:textId="77777777" w:rsidR="00B542FE" w:rsidRPr="00177C93" w:rsidRDefault="00B542FE" w:rsidP="00B542FE">
      <w:pPr>
        <w:pStyle w:val="WW-Default"/>
        <w:jc w:val="center"/>
        <w:rPr>
          <w:rFonts w:ascii="Century Schoolbook" w:hAnsi="Century Schoolbook" w:cs="Times New Roman"/>
          <w:color w:val="000000" w:themeColor="text1"/>
          <w:sz w:val="26"/>
          <w:szCs w:val="26"/>
        </w:rPr>
      </w:pPr>
      <w:r w:rsidRPr="00177C93">
        <w:rPr>
          <w:rFonts w:ascii="Century Schoolbook" w:hAnsi="Century Schoolbook" w:cs="Times New Roman"/>
          <w:color w:val="000000" w:themeColor="text1"/>
          <w:sz w:val="26"/>
          <w:szCs w:val="26"/>
        </w:rPr>
        <w:t>NORTH CAROLINA COURT OF APPEALS</w:t>
      </w:r>
    </w:p>
    <w:p w14:paraId="177A9527" w14:textId="77777777" w:rsidR="00B542FE" w:rsidRPr="00177C93" w:rsidRDefault="00B542FE" w:rsidP="00B542FE">
      <w:pPr>
        <w:pStyle w:val="WW-Default"/>
        <w:jc w:val="center"/>
        <w:rPr>
          <w:rFonts w:ascii="Century Schoolbook" w:hAnsi="Century Schoolbook" w:cs="Times New Roman"/>
          <w:color w:val="000000" w:themeColor="text1"/>
          <w:sz w:val="26"/>
          <w:szCs w:val="26"/>
        </w:rPr>
      </w:pPr>
    </w:p>
    <w:p w14:paraId="54B8C212" w14:textId="77777777" w:rsidR="00B542FE" w:rsidRPr="00177C93" w:rsidRDefault="00B542FE" w:rsidP="004F2756">
      <w:pPr>
        <w:pStyle w:val="WW-Default"/>
        <w:tabs>
          <w:tab w:val="left" w:pos="720"/>
          <w:tab w:val="left" w:pos="1440"/>
          <w:tab w:val="left" w:pos="2160"/>
          <w:tab w:val="left" w:pos="2880"/>
          <w:tab w:val="left" w:pos="4680"/>
          <w:tab w:val="left" w:pos="7200"/>
        </w:tabs>
        <w:jc w:val="center"/>
        <w:rPr>
          <w:rFonts w:ascii="Century Schoolbook" w:hAnsi="Century Schoolbook" w:cs="Times New Roman"/>
          <w:color w:val="000000" w:themeColor="text1"/>
          <w:sz w:val="26"/>
          <w:szCs w:val="26"/>
        </w:rPr>
      </w:pPr>
      <w:r w:rsidRPr="00177C93">
        <w:rPr>
          <w:rFonts w:ascii="Century Schoolbook" w:hAnsi="Century Schoolbook" w:cs="Times New Roman"/>
          <w:color w:val="000000" w:themeColor="text1"/>
          <w:sz w:val="26"/>
          <w:szCs w:val="26"/>
        </w:rPr>
        <w:t>****************************************************</w:t>
      </w:r>
    </w:p>
    <w:p w14:paraId="4EFA22A0" w14:textId="77777777" w:rsidR="00B542FE" w:rsidRPr="00177C93" w:rsidRDefault="00B542FE" w:rsidP="00B542FE">
      <w:pPr>
        <w:pStyle w:val="WW-Default"/>
        <w:jc w:val="center"/>
        <w:rPr>
          <w:rFonts w:ascii="Century Schoolbook" w:hAnsi="Century Schoolbook" w:cs="Times New Roman"/>
          <w:color w:val="000000" w:themeColor="text1"/>
          <w:sz w:val="26"/>
          <w:szCs w:val="26"/>
        </w:rPr>
      </w:pPr>
    </w:p>
    <w:p w14:paraId="6D0F3827" w14:textId="77777777" w:rsidR="00B542FE" w:rsidRPr="00177C93" w:rsidRDefault="00B542FE" w:rsidP="004F2756">
      <w:pPr>
        <w:pStyle w:val="WW-Default"/>
        <w:tabs>
          <w:tab w:val="left" w:pos="4680"/>
        </w:tabs>
        <w:rPr>
          <w:rFonts w:ascii="Century Schoolbook" w:hAnsi="Century Schoolbook" w:cs="Times New Roman"/>
          <w:color w:val="000000" w:themeColor="text1"/>
          <w:sz w:val="26"/>
          <w:szCs w:val="26"/>
        </w:rPr>
      </w:pPr>
      <w:r w:rsidRPr="00177C93">
        <w:rPr>
          <w:rFonts w:ascii="Century Schoolbook" w:hAnsi="Century Schoolbook" w:cs="Times New Roman"/>
          <w:color w:val="000000" w:themeColor="text1"/>
          <w:sz w:val="26"/>
          <w:szCs w:val="26"/>
        </w:rPr>
        <w:t>STATE OF NORTH CAROLINA</w:t>
      </w:r>
      <w:r w:rsidRPr="00177C93">
        <w:rPr>
          <w:rFonts w:ascii="Century Schoolbook" w:hAnsi="Century Schoolbook" w:cs="Times New Roman"/>
          <w:color w:val="000000" w:themeColor="text1"/>
          <w:sz w:val="26"/>
          <w:szCs w:val="26"/>
        </w:rPr>
        <w:tab/>
        <w:t>)</w:t>
      </w:r>
    </w:p>
    <w:p w14:paraId="7BEA1CD0" w14:textId="77777777" w:rsidR="00B542FE" w:rsidRPr="00177C93" w:rsidRDefault="00B542FE" w:rsidP="004F2756">
      <w:pPr>
        <w:pStyle w:val="WW-Default"/>
        <w:tabs>
          <w:tab w:val="left" w:pos="4680"/>
        </w:tabs>
        <w:rPr>
          <w:rFonts w:ascii="Century Schoolbook" w:hAnsi="Century Schoolbook" w:cs="Times New Roman"/>
          <w:color w:val="000000" w:themeColor="text1"/>
          <w:sz w:val="26"/>
          <w:szCs w:val="26"/>
        </w:rPr>
      </w:pPr>
      <w:r w:rsidRPr="00177C93">
        <w:rPr>
          <w:rFonts w:ascii="Century Schoolbook" w:hAnsi="Century Schoolbook" w:cs="Times New Roman"/>
          <w:color w:val="000000" w:themeColor="text1"/>
          <w:sz w:val="26"/>
          <w:szCs w:val="26"/>
        </w:rPr>
        <w:tab/>
        <w:t>)</w:t>
      </w:r>
    </w:p>
    <w:p w14:paraId="5F604016" w14:textId="54848EB4" w:rsidR="00B542FE" w:rsidRPr="000D423F" w:rsidRDefault="00B542FE" w:rsidP="004F2756">
      <w:pPr>
        <w:pStyle w:val="WW-Default"/>
        <w:tabs>
          <w:tab w:val="left" w:pos="4680"/>
          <w:tab w:val="left" w:pos="5760"/>
        </w:tabs>
        <w:ind w:firstLine="720"/>
        <w:jc w:val="both"/>
        <w:rPr>
          <w:rFonts w:ascii="Century Schoolbook" w:hAnsi="Century Schoolbook" w:cs="Times New Roman"/>
          <w:color w:val="000000" w:themeColor="text1"/>
          <w:sz w:val="26"/>
          <w:szCs w:val="26"/>
          <w:u w:val="single"/>
        </w:rPr>
      </w:pPr>
      <w:r w:rsidRPr="00177C93">
        <w:rPr>
          <w:rFonts w:ascii="Century Schoolbook" w:hAnsi="Century Schoolbook" w:cs="Times New Roman"/>
          <w:color w:val="000000" w:themeColor="text1"/>
          <w:sz w:val="26"/>
          <w:szCs w:val="26"/>
        </w:rPr>
        <w:t>v.</w:t>
      </w:r>
      <w:r w:rsidRPr="00177C93">
        <w:rPr>
          <w:rFonts w:ascii="Century Schoolbook" w:hAnsi="Century Schoolbook" w:cs="Times New Roman"/>
          <w:color w:val="000000" w:themeColor="text1"/>
          <w:sz w:val="26"/>
          <w:szCs w:val="26"/>
        </w:rPr>
        <w:tab/>
        <w:t>)</w:t>
      </w:r>
      <w:r w:rsidRPr="00177C93">
        <w:rPr>
          <w:rFonts w:ascii="Century Schoolbook" w:hAnsi="Century Schoolbook" w:cs="Times New Roman"/>
          <w:color w:val="000000" w:themeColor="text1"/>
          <w:sz w:val="26"/>
          <w:szCs w:val="26"/>
        </w:rPr>
        <w:tab/>
      </w:r>
      <w:r w:rsidRPr="000D423F">
        <w:rPr>
          <w:rFonts w:ascii="Century Schoolbook" w:hAnsi="Century Schoolbook" w:cs="Times New Roman"/>
          <w:color w:val="000000" w:themeColor="text1"/>
          <w:sz w:val="26"/>
          <w:szCs w:val="26"/>
          <w:u w:val="single"/>
        </w:rPr>
        <w:t xml:space="preserve">From </w:t>
      </w:r>
      <w:r w:rsidR="00CA00AB">
        <w:rPr>
          <w:rFonts w:ascii="Century Schoolbook" w:hAnsi="Century Schoolbook" w:cs="Times New Roman"/>
          <w:color w:val="000000" w:themeColor="text1"/>
          <w:sz w:val="26"/>
          <w:szCs w:val="26"/>
          <w:u w:val="single"/>
        </w:rPr>
        <w:t>Carteret</w:t>
      </w:r>
      <w:r w:rsidRPr="000D423F">
        <w:rPr>
          <w:rFonts w:ascii="Century Schoolbook" w:hAnsi="Century Schoolbook" w:cs="Times New Roman"/>
          <w:color w:val="000000" w:themeColor="text1"/>
          <w:sz w:val="26"/>
          <w:szCs w:val="26"/>
          <w:u w:val="single"/>
        </w:rPr>
        <w:t xml:space="preserve"> County</w:t>
      </w:r>
    </w:p>
    <w:p w14:paraId="0A8774D2" w14:textId="77777777" w:rsidR="00B542FE" w:rsidRPr="00177C93" w:rsidRDefault="00B542FE" w:rsidP="004F2756">
      <w:pPr>
        <w:pStyle w:val="WW-Default"/>
        <w:tabs>
          <w:tab w:val="left" w:pos="4680"/>
        </w:tabs>
        <w:jc w:val="both"/>
        <w:rPr>
          <w:rFonts w:ascii="Century Schoolbook" w:hAnsi="Century Schoolbook" w:cs="Times New Roman"/>
          <w:color w:val="000000" w:themeColor="text1"/>
          <w:sz w:val="26"/>
          <w:szCs w:val="26"/>
        </w:rPr>
      </w:pPr>
      <w:r w:rsidRPr="00177C93">
        <w:rPr>
          <w:rFonts w:ascii="Century Schoolbook" w:hAnsi="Century Schoolbook" w:cs="Times New Roman"/>
          <w:color w:val="000000" w:themeColor="text1"/>
          <w:sz w:val="26"/>
          <w:szCs w:val="26"/>
        </w:rPr>
        <w:tab/>
        <w:t>)</w:t>
      </w:r>
      <w:r w:rsidRPr="00177C93">
        <w:rPr>
          <w:rFonts w:ascii="Century Schoolbook" w:hAnsi="Century Schoolbook" w:cs="Times New Roman"/>
          <w:color w:val="000000" w:themeColor="text1"/>
          <w:sz w:val="26"/>
          <w:szCs w:val="26"/>
        </w:rPr>
        <w:tab/>
      </w:r>
      <w:r w:rsidRPr="00177C93">
        <w:rPr>
          <w:rFonts w:ascii="Century Schoolbook" w:hAnsi="Century Schoolbook" w:cs="Times New Roman"/>
          <w:color w:val="000000" w:themeColor="text1"/>
          <w:sz w:val="26"/>
          <w:szCs w:val="26"/>
        </w:rPr>
        <w:tab/>
      </w:r>
    </w:p>
    <w:p w14:paraId="09995430" w14:textId="42C51633" w:rsidR="00B542FE" w:rsidRPr="00177C93" w:rsidRDefault="00B7136F" w:rsidP="004F2756">
      <w:pPr>
        <w:pStyle w:val="WW-Default"/>
        <w:tabs>
          <w:tab w:val="left" w:pos="4680"/>
        </w:tabs>
        <w:rPr>
          <w:rFonts w:ascii="Century Schoolbook" w:hAnsi="Century Schoolbook" w:cs="Times New Roman"/>
          <w:color w:val="000000" w:themeColor="text1"/>
          <w:sz w:val="26"/>
          <w:szCs w:val="26"/>
        </w:rPr>
      </w:pPr>
      <w:r>
        <w:rPr>
          <w:rFonts w:ascii="Century Schoolbook" w:hAnsi="Century Schoolbook" w:cs="Times New Roman"/>
          <w:color w:val="000000" w:themeColor="text1"/>
          <w:sz w:val="26"/>
          <w:szCs w:val="26"/>
        </w:rPr>
        <w:t>JAMES MATTHEW KITCHEN</w:t>
      </w:r>
      <w:r w:rsidR="00B542FE" w:rsidRPr="00177C93">
        <w:rPr>
          <w:rFonts w:ascii="Century Schoolbook" w:hAnsi="Century Schoolbook" w:cs="Times New Roman"/>
          <w:color w:val="000000" w:themeColor="text1"/>
          <w:sz w:val="26"/>
          <w:szCs w:val="26"/>
        </w:rPr>
        <w:tab/>
        <w:t>)</w:t>
      </w:r>
    </w:p>
    <w:p w14:paraId="5A3F7C3E" w14:textId="77777777" w:rsidR="00B542FE" w:rsidRPr="00177C93" w:rsidRDefault="00B542FE" w:rsidP="00B542FE">
      <w:pPr>
        <w:pStyle w:val="WW-Default"/>
        <w:jc w:val="center"/>
        <w:rPr>
          <w:rFonts w:ascii="Century Schoolbook" w:hAnsi="Century Schoolbook" w:cs="Times New Roman"/>
          <w:color w:val="000000" w:themeColor="text1"/>
          <w:sz w:val="26"/>
          <w:szCs w:val="26"/>
        </w:rPr>
      </w:pPr>
    </w:p>
    <w:p w14:paraId="508E4950" w14:textId="77777777" w:rsidR="00B542FE" w:rsidRPr="00177C93" w:rsidRDefault="00B542FE" w:rsidP="00B542FE">
      <w:pPr>
        <w:pStyle w:val="WW-Default"/>
        <w:jc w:val="center"/>
        <w:rPr>
          <w:rFonts w:ascii="Century Schoolbook" w:hAnsi="Century Schoolbook" w:cs="Times New Roman"/>
          <w:color w:val="000000" w:themeColor="text1"/>
          <w:sz w:val="26"/>
          <w:szCs w:val="26"/>
        </w:rPr>
      </w:pPr>
      <w:r w:rsidRPr="00177C93">
        <w:rPr>
          <w:rFonts w:ascii="Century Schoolbook" w:hAnsi="Century Schoolbook" w:cs="Times New Roman"/>
          <w:color w:val="000000" w:themeColor="text1"/>
          <w:sz w:val="26"/>
          <w:szCs w:val="26"/>
        </w:rPr>
        <w:t>****************************************************</w:t>
      </w:r>
    </w:p>
    <w:bookmarkEnd w:id="0"/>
    <w:p w14:paraId="7D9F6663" w14:textId="77777777" w:rsidR="00B542FE" w:rsidRPr="00177C93" w:rsidRDefault="00B542FE" w:rsidP="00B542FE">
      <w:pPr>
        <w:pStyle w:val="WW-Default"/>
        <w:jc w:val="center"/>
        <w:rPr>
          <w:rFonts w:ascii="Century Schoolbook" w:hAnsi="Century Schoolbook" w:cs="Times New Roman"/>
          <w:color w:val="000000" w:themeColor="text1"/>
          <w:sz w:val="26"/>
          <w:szCs w:val="26"/>
          <w:u w:val="single"/>
        </w:rPr>
      </w:pPr>
    </w:p>
    <w:p w14:paraId="6727EC7B" w14:textId="77777777" w:rsidR="00B542FE" w:rsidRPr="00177C93" w:rsidRDefault="00B542FE" w:rsidP="00B542FE">
      <w:pPr>
        <w:pStyle w:val="WW-Default"/>
        <w:jc w:val="center"/>
        <w:rPr>
          <w:rFonts w:ascii="Century Schoolbook" w:hAnsi="Century Schoolbook" w:cs="Times New Roman"/>
          <w:b/>
          <w:color w:val="000000" w:themeColor="text1"/>
          <w:sz w:val="26"/>
          <w:szCs w:val="26"/>
        </w:rPr>
      </w:pPr>
      <w:r w:rsidRPr="00177C93">
        <w:rPr>
          <w:rFonts w:ascii="Century Schoolbook" w:hAnsi="Century Schoolbook" w:cs="Times New Roman"/>
          <w:b/>
          <w:color w:val="000000" w:themeColor="text1"/>
          <w:sz w:val="26"/>
          <w:szCs w:val="26"/>
          <w:u w:val="single"/>
        </w:rPr>
        <w:t>DEFENDANT-APPELLANT’S BRIEF</w:t>
      </w:r>
    </w:p>
    <w:p w14:paraId="01A82917" w14:textId="77777777" w:rsidR="00B542FE" w:rsidRPr="00177C93" w:rsidRDefault="00B542FE" w:rsidP="00B542FE">
      <w:pPr>
        <w:pStyle w:val="WW-Default"/>
        <w:jc w:val="center"/>
        <w:rPr>
          <w:rFonts w:ascii="Century Schoolbook" w:hAnsi="Century Schoolbook" w:cs="Times New Roman"/>
          <w:color w:val="000000" w:themeColor="text1"/>
          <w:sz w:val="26"/>
          <w:szCs w:val="26"/>
        </w:rPr>
      </w:pPr>
    </w:p>
    <w:p w14:paraId="2B3D1B3E" w14:textId="77777777" w:rsidR="00B542FE" w:rsidRPr="00177C93" w:rsidRDefault="00B542FE" w:rsidP="00B542FE">
      <w:pPr>
        <w:pStyle w:val="WW-Default"/>
        <w:jc w:val="center"/>
        <w:rPr>
          <w:rFonts w:ascii="Century Schoolbook" w:hAnsi="Century Schoolbook" w:cs="Times New Roman"/>
          <w:color w:val="000000" w:themeColor="text1"/>
          <w:sz w:val="26"/>
          <w:szCs w:val="26"/>
        </w:rPr>
      </w:pPr>
      <w:r w:rsidRPr="00177C93">
        <w:rPr>
          <w:rFonts w:ascii="Century Schoolbook" w:hAnsi="Century Schoolbook" w:cs="Times New Roman"/>
          <w:color w:val="000000" w:themeColor="text1"/>
          <w:sz w:val="26"/>
          <w:szCs w:val="26"/>
        </w:rPr>
        <w:t>****************************************************</w:t>
      </w:r>
    </w:p>
    <w:p w14:paraId="624AE2BA" w14:textId="77777777" w:rsidR="00B542FE" w:rsidRPr="00177C93" w:rsidRDefault="00B542FE" w:rsidP="00503187">
      <w:r w:rsidRPr="00177C93">
        <w:br w:type="page"/>
      </w:r>
    </w:p>
    <w:p w14:paraId="6DE8F0AB" w14:textId="77777777" w:rsidR="00E57803" w:rsidRPr="00177C93" w:rsidRDefault="00E57803" w:rsidP="00B542FE">
      <w:pPr>
        <w:pStyle w:val="WW-Default"/>
        <w:jc w:val="center"/>
        <w:rPr>
          <w:rFonts w:ascii="Century Schoolbook" w:hAnsi="Century Schoolbook" w:cs="Times New Roman"/>
          <w:b/>
          <w:bCs/>
          <w:color w:val="000000" w:themeColor="text1"/>
          <w:sz w:val="26"/>
          <w:szCs w:val="26"/>
          <w:u w:val="single"/>
        </w:rPr>
        <w:sectPr w:rsidR="00E57803" w:rsidRPr="00177C93" w:rsidSect="00BF0874">
          <w:headerReference w:type="default" r:id="rId8"/>
          <w:pgSz w:w="12240" w:h="15840"/>
          <w:pgMar w:top="1440" w:right="1440" w:bottom="1440" w:left="1440" w:header="720" w:footer="720" w:gutter="0"/>
          <w:cols w:space="720"/>
          <w:titlePg/>
          <w:docGrid w:linePitch="381"/>
        </w:sectPr>
      </w:pPr>
    </w:p>
    <w:p w14:paraId="1C65B248" w14:textId="77777777" w:rsidR="00B542FE" w:rsidRPr="00177C93" w:rsidRDefault="00B542FE" w:rsidP="00B542FE">
      <w:pPr>
        <w:pStyle w:val="WW-Default"/>
        <w:jc w:val="center"/>
        <w:rPr>
          <w:rFonts w:ascii="Century Schoolbook" w:hAnsi="Century Schoolbook" w:cs="Times New Roman"/>
          <w:b/>
          <w:bCs/>
          <w:color w:val="000000" w:themeColor="text1"/>
          <w:sz w:val="26"/>
          <w:szCs w:val="26"/>
          <w:u w:val="single"/>
        </w:rPr>
      </w:pPr>
      <w:r w:rsidRPr="00177C93">
        <w:rPr>
          <w:rFonts w:ascii="Century Schoolbook" w:hAnsi="Century Schoolbook" w:cs="Times New Roman"/>
          <w:b/>
          <w:bCs/>
          <w:color w:val="000000" w:themeColor="text1"/>
          <w:sz w:val="26"/>
          <w:szCs w:val="26"/>
          <w:u w:val="single"/>
        </w:rPr>
        <w:lastRenderedPageBreak/>
        <w:t>INDEX</w:t>
      </w:r>
    </w:p>
    <w:sdt>
      <w:sdtPr>
        <w:rPr>
          <w:rFonts w:ascii="Century Schoolbook" w:eastAsia="Times New Roman" w:hAnsi="Century Schoolbook" w:cs="Times New Roman"/>
          <w:color w:val="000000"/>
          <w:kern w:val="1"/>
          <w:sz w:val="26"/>
          <w:szCs w:val="28"/>
        </w:rPr>
        <w:id w:val="-1752196213"/>
        <w:docPartObj>
          <w:docPartGallery w:val="Table of Contents"/>
          <w:docPartUnique/>
        </w:docPartObj>
      </w:sdtPr>
      <w:sdtEndPr>
        <w:rPr>
          <w:b/>
          <w:bCs/>
          <w:noProof/>
        </w:rPr>
      </w:sdtEndPr>
      <w:sdtContent>
        <w:p w14:paraId="5AECED67" w14:textId="3C4BD5F4" w:rsidR="00221861" w:rsidRDefault="00221861">
          <w:pPr>
            <w:pStyle w:val="TOCHeading"/>
          </w:pPr>
        </w:p>
        <w:p w14:paraId="16E02E5B" w14:textId="2C58F56F" w:rsidR="00C15D82" w:rsidRDefault="00221861">
          <w:pPr>
            <w:pStyle w:val="TOC1"/>
            <w:rPr>
              <w:rFonts w:asciiTheme="minorHAnsi" w:eastAsiaTheme="minorEastAsia" w:hAnsiTheme="minorHAnsi" w:cstheme="minorBidi"/>
              <w:noProof/>
              <w:color w:val="auto"/>
              <w:kern w:val="0"/>
              <w:sz w:val="22"/>
              <w:szCs w:val="22"/>
            </w:rPr>
          </w:pPr>
          <w:r>
            <w:fldChar w:fldCharType="begin"/>
          </w:r>
          <w:r>
            <w:instrText xml:space="preserve"> TOC \o "1-3" \h \z \u </w:instrText>
          </w:r>
          <w:r>
            <w:fldChar w:fldCharType="separate"/>
          </w:r>
          <w:hyperlink w:anchor="_Toc81314862" w:history="1">
            <w:r w:rsidR="00C15D82" w:rsidRPr="00985352">
              <w:rPr>
                <w:rStyle w:val="Hyperlink"/>
                <w:noProof/>
              </w:rPr>
              <w:t>TABLE OF CASES AND AUTHORITIES</w:t>
            </w:r>
            <w:r w:rsidR="00C15D82">
              <w:rPr>
                <w:noProof/>
                <w:webHidden/>
              </w:rPr>
              <w:tab/>
            </w:r>
            <w:r w:rsidR="00C15D82">
              <w:rPr>
                <w:noProof/>
                <w:webHidden/>
              </w:rPr>
              <w:fldChar w:fldCharType="begin"/>
            </w:r>
            <w:r w:rsidR="00C15D82">
              <w:rPr>
                <w:noProof/>
                <w:webHidden/>
              </w:rPr>
              <w:instrText xml:space="preserve"> PAGEREF _Toc81314862 \h </w:instrText>
            </w:r>
            <w:r w:rsidR="00C15D82">
              <w:rPr>
                <w:noProof/>
                <w:webHidden/>
              </w:rPr>
            </w:r>
            <w:r w:rsidR="00C15D82">
              <w:rPr>
                <w:noProof/>
                <w:webHidden/>
              </w:rPr>
              <w:fldChar w:fldCharType="separate"/>
            </w:r>
            <w:r w:rsidR="008F01EC">
              <w:rPr>
                <w:noProof/>
                <w:webHidden/>
              </w:rPr>
              <w:t>ii</w:t>
            </w:r>
            <w:r w:rsidR="00C15D82">
              <w:rPr>
                <w:noProof/>
                <w:webHidden/>
              </w:rPr>
              <w:fldChar w:fldCharType="end"/>
            </w:r>
          </w:hyperlink>
        </w:p>
        <w:p w14:paraId="315F1993" w14:textId="28E184BD" w:rsidR="00C15D82" w:rsidRDefault="002A6FB1">
          <w:pPr>
            <w:pStyle w:val="TOC1"/>
            <w:rPr>
              <w:rFonts w:asciiTheme="minorHAnsi" w:eastAsiaTheme="minorEastAsia" w:hAnsiTheme="minorHAnsi" w:cstheme="minorBidi"/>
              <w:noProof/>
              <w:color w:val="auto"/>
              <w:kern w:val="0"/>
              <w:sz w:val="22"/>
              <w:szCs w:val="22"/>
            </w:rPr>
          </w:pPr>
          <w:hyperlink w:anchor="_Toc81314863" w:history="1">
            <w:r w:rsidR="00C15D82" w:rsidRPr="00985352">
              <w:rPr>
                <w:rStyle w:val="Hyperlink"/>
                <w:noProof/>
              </w:rPr>
              <w:t>ISSUE PRESENTED</w:t>
            </w:r>
            <w:r w:rsidR="00C15D82">
              <w:rPr>
                <w:noProof/>
                <w:webHidden/>
              </w:rPr>
              <w:tab/>
            </w:r>
            <w:r w:rsidR="00C15D82">
              <w:rPr>
                <w:noProof/>
                <w:webHidden/>
              </w:rPr>
              <w:fldChar w:fldCharType="begin"/>
            </w:r>
            <w:r w:rsidR="00C15D82">
              <w:rPr>
                <w:noProof/>
                <w:webHidden/>
              </w:rPr>
              <w:instrText xml:space="preserve"> PAGEREF _Toc81314863 \h </w:instrText>
            </w:r>
            <w:r w:rsidR="00C15D82">
              <w:rPr>
                <w:noProof/>
                <w:webHidden/>
              </w:rPr>
            </w:r>
            <w:r w:rsidR="00C15D82">
              <w:rPr>
                <w:noProof/>
                <w:webHidden/>
              </w:rPr>
              <w:fldChar w:fldCharType="separate"/>
            </w:r>
            <w:r w:rsidR="008F01EC">
              <w:rPr>
                <w:noProof/>
                <w:webHidden/>
              </w:rPr>
              <w:t>1</w:t>
            </w:r>
            <w:r w:rsidR="00C15D82">
              <w:rPr>
                <w:noProof/>
                <w:webHidden/>
              </w:rPr>
              <w:fldChar w:fldCharType="end"/>
            </w:r>
          </w:hyperlink>
        </w:p>
        <w:p w14:paraId="2864DEF1" w14:textId="160F7B5F" w:rsidR="00C15D82" w:rsidRDefault="002A6FB1">
          <w:pPr>
            <w:pStyle w:val="TOC1"/>
            <w:rPr>
              <w:rFonts w:asciiTheme="minorHAnsi" w:eastAsiaTheme="minorEastAsia" w:hAnsiTheme="minorHAnsi" w:cstheme="minorBidi"/>
              <w:noProof/>
              <w:color w:val="auto"/>
              <w:kern w:val="0"/>
              <w:sz w:val="22"/>
              <w:szCs w:val="22"/>
            </w:rPr>
          </w:pPr>
          <w:hyperlink w:anchor="_Toc81314864" w:history="1">
            <w:r w:rsidR="00C15D82" w:rsidRPr="00985352">
              <w:rPr>
                <w:rStyle w:val="Hyperlink"/>
                <w:noProof/>
              </w:rPr>
              <w:t>STATEMENT OF THE CASE</w:t>
            </w:r>
            <w:r w:rsidR="00C15D82">
              <w:rPr>
                <w:noProof/>
                <w:webHidden/>
              </w:rPr>
              <w:tab/>
            </w:r>
            <w:r w:rsidR="00C15D82">
              <w:rPr>
                <w:noProof/>
                <w:webHidden/>
              </w:rPr>
              <w:fldChar w:fldCharType="begin"/>
            </w:r>
            <w:r w:rsidR="00C15D82">
              <w:rPr>
                <w:noProof/>
                <w:webHidden/>
              </w:rPr>
              <w:instrText xml:space="preserve"> PAGEREF _Toc81314864 \h </w:instrText>
            </w:r>
            <w:r w:rsidR="00C15D82">
              <w:rPr>
                <w:noProof/>
                <w:webHidden/>
              </w:rPr>
            </w:r>
            <w:r w:rsidR="00C15D82">
              <w:rPr>
                <w:noProof/>
                <w:webHidden/>
              </w:rPr>
              <w:fldChar w:fldCharType="separate"/>
            </w:r>
            <w:r w:rsidR="008F01EC">
              <w:rPr>
                <w:noProof/>
                <w:webHidden/>
              </w:rPr>
              <w:t>2</w:t>
            </w:r>
            <w:r w:rsidR="00C15D82">
              <w:rPr>
                <w:noProof/>
                <w:webHidden/>
              </w:rPr>
              <w:fldChar w:fldCharType="end"/>
            </w:r>
          </w:hyperlink>
        </w:p>
        <w:p w14:paraId="40C9826A" w14:textId="7B2FDEFA" w:rsidR="00C15D82" w:rsidRDefault="002A6FB1">
          <w:pPr>
            <w:pStyle w:val="TOC1"/>
            <w:rPr>
              <w:rFonts w:asciiTheme="minorHAnsi" w:eastAsiaTheme="minorEastAsia" w:hAnsiTheme="minorHAnsi" w:cstheme="minorBidi"/>
              <w:noProof/>
              <w:color w:val="auto"/>
              <w:kern w:val="0"/>
              <w:sz w:val="22"/>
              <w:szCs w:val="22"/>
            </w:rPr>
          </w:pPr>
          <w:hyperlink w:anchor="_Toc81314865" w:history="1">
            <w:r w:rsidR="00C15D82" w:rsidRPr="00985352">
              <w:rPr>
                <w:rStyle w:val="Hyperlink"/>
                <w:noProof/>
              </w:rPr>
              <w:t>STATEMENT OF THE GROUNDS FOR APPELLATE REVIEW</w:t>
            </w:r>
            <w:r w:rsidR="00C15D82">
              <w:rPr>
                <w:noProof/>
                <w:webHidden/>
              </w:rPr>
              <w:tab/>
            </w:r>
            <w:r w:rsidR="00C15D82">
              <w:rPr>
                <w:noProof/>
                <w:webHidden/>
              </w:rPr>
              <w:fldChar w:fldCharType="begin"/>
            </w:r>
            <w:r w:rsidR="00C15D82">
              <w:rPr>
                <w:noProof/>
                <w:webHidden/>
              </w:rPr>
              <w:instrText xml:space="preserve"> PAGEREF _Toc81314865 \h </w:instrText>
            </w:r>
            <w:r w:rsidR="00C15D82">
              <w:rPr>
                <w:noProof/>
                <w:webHidden/>
              </w:rPr>
            </w:r>
            <w:r w:rsidR="00C15D82">
              <w:rPr>
                <w:noProof/>
                <w:webHidden/>
              </w:rPr>
              <w:fldChar w:fldCharType="separate"/>
            </w:r>
            <w:r w:rsidR="008F01EC">
              <w:rPr>
                <w:noProof/>
                <w:webHidden/>
              </w:rPr>
              <w:t>2</w:t>
            </w:r>
            <w:r w:rsidR="00C15D82">
              <w:rPr>
                <w:noProof/>
                <w:webHidden/>
              </w:rPr>
              <w:fldChar w:fldCharType="end"/>
            </w:r>
          </w:hyperlink>
        </w:p>
        <w:p w14:paraId="0D9D0590" w14:textId="4E95B727" w:rsidR="00C15D82" w:rsidRDefault="002A6FB1">
          <w:pPr>
            <w:pStyle w:val="TOC1"/>
            <w:rPr>
              <w:rFonts w:asciiTheme="minorHAnsi" w:eastAsiaTheme="minorEastAsia" w:hAnsiTheme="minorHAnsi" w:cstheme="minorBidi"/>
              <w:noProof/>
              <w:color w:val="auto"/>
              <w:kern w:val="0"/>
              <w:sz w:val="22"/>
              <w:szCs w:val="22"/>
            </w:rPr>
          </w:pPr>
          <w:hyperlink w:anchor="_Toc81314866" w:history="1">
            <w:r w:rsidR="00C15D82" w:rsidRPr="00985352">
              <w:rPr>
                <w:rStyle w:val="Hyperlink"/>
                <w:noProof/>
              </w:rPr>
              <w:t>STATEMENT OF THE FACTS</w:t>
            </w:r>
            <w:r w:rsidR="00C15D82">
              <w:rPr>
                <w:noProof/>
                <w:webHidden/>
              </w:rPr>
              <w:tab/>
            </w:r>
            <w:r w:rsidR="00C15D82">
              <w:rPr>
                <w:noProof/>
                <w:webHidden/>
              </w:rPr>
              <w:fldChar w:fldCharType="begin"/>
            </w:r>
            <w:r w:rsidR="00C15D82">
              <w:rPr>
                <w:noProof/>
                <w:webHidden/>
              </w:rPr>
              <w:instrText xml:space="preserve"> PAGEREF _Toc81314866 \h </w:instrText>
            </w:r>
            <w:r w:rsidR="00C15D82">
              <w:rPr>
                <w:noProof/>
                <w:webHidden/>
              </w:rPr>
            </w:r>
            <w:r w:rsidR="00C15D82">
              <w:rPr>
                <w:noProof/>
                <w:webHidden/>
              </w:rPr>
              <w:fldChar w:fldCharType="separate"/>
            </w:r>
            <w:r w:rsidR="008F01EC">
              <w:rPr>
                <w:noProof/>
                <w:webHidden/>
              </w:rPr>
              <w:t>2</w:t>
            </w:r>
            <w:r w:rsidR="00C15D82">
              <w:rPr>
                <w:noProof/>
                <w:webHidden/>
              </w:rPr>
              <w:fldChar w:fldCharType="end"/>
            </w:r>
          </w:hyperlink>
        </w:p>
        <w:p w14:paraId="5BEB0BC0" w14:textId="08F41D61" w:rsidR="00C15D82" w:rsidRDefault="002A6FB1">
          <w:pPr>
            <w:pStyle w:val="TOC1"/>
            <w:rPr>
              <w:rFonts w:asciiTheme="minorHAnsi" w:eastAsiaTheme="minorEastAsia" w:hAnsiTheme="minorHAnsi" w:cstheme="minorBidi"/>
              <w:noProof/>
              <w:color w:val="auto"/>
              <w:kern w:val="0"/>
              <w:sz w:val="22"/>
              <w:szCs w:val="22"/>
            </w:rPr>
          </w:pPr>
          <w:hyperlink w:anchor="_Toc81314867" w:history="1">
            <w:r w:rsidR="00C15D82" w:rsidRPr="00985352">
              <w:rPr>
                <w:rStyle w:val="Hyperlink"/>
                <w:noProof/>
              </w:rPr>
              <w:t>ARGUMENT</w:t>
            </w:r>
            <w:r w:rsidR="00C15D82">
              <w:rPr>
                <w:noProof/>
                <w:webHidden/>
              </w:rPr>
              <w:tab/>
            </w:r>
            <w:r w:rsidR="00C15D82">
              <w:rPr>
                <w:noProof/>
                <w:webHidden/>
              </w:rPr>
              <w:fldChar w:fldCharType="begin"/>
            </w:r>
            <w:r w:rsidR="00C15D82">
              <w:rPr>
                <w:noProof/>
                <w:webHidden/>
              </w:rPr>
              <w:instrText xml:space="preserve"> PAGEREF _Toc81314867 \h </w:instrText>
            </w:r>
            <w:r w:rsidR="00C15D82">
              <w:rPr>
                <w:noProof/>
                <w:webHidden/>
              </w:rPr>
            </w:r>
            <w:r w:rsidR="00C15D82">
              <w:rPr>
                <w:noProof/>
                <w:webHidden/>
              </w:rPr>
              <w:fldChar w:fldCharType="separate"/>
            </w:r>
            <w:r w:rsidR="008F01EC">
              <w:rPr>
                <w:noProof/>
                <w:webHidden/>
              </w:rPr>
              <w:t>4</w:t>
            </w:r>
            <w:r w:rsidR="00C15D82">
              <w:rPr>
                <w:noProof/>
                <w:webHidden/>
              </w:rPr>
              <w:fldChar w:fldCharType="end"/>
            </w:r>
          </w:hyperlink>
        </w:p>
        <w:p w14:paraId="632EA58E" w14:textId="51E8F720" w:rsidR="00C15D82" w:rsidRDefault="002A6FB1">
          <w:pPr>
            <w:pStyle w:val="TOC2"/>
            <w:tabs>
              <w:tab w:val="left" w:pos="1080"/>
            </w:tabs>
            <w:rPr>
              <w:rFonts w:asciiTheme="minorHAnsi" w:eastAsiaTheme="minorEastAsia" w:hAnsiTheme="minorHAnsi" w:cstheme="minorBidi"/>
              <w:noProof/>
              <w:color w:val="auto"/>
              <w:kern w:val="0"/>
              <w:sz w:val="22"/>
              <w:szCs w:val="22"/>
            </w:rPr>
          </w:pPr>
          <w:hyperlink w:anchor="_Toc81314868" w:history="1">
            <w:r w:rsidR="00C15D82" w:rsidRPr="00985352">
              <w:rPr>
                <w:rStyle w:val="Hyperlink"/>
                <w:noProof/>
              </w:rPr>
              <w:t>I.</w:t>
            </w:r>
            <w:r w:rsidR="00C15D82">
              <w:rPr>
                <w:rFonts w:asciiTheme="minorHAnsi" w:eastAsiaTheme="minorEastAsia" w:hAnsiTheme="minorHAnsi" w:cstheme="minorBidi"/>
                <w:noProof/>
                <w:color w:val="auto"/>
                <w:kern w:val="0"/>
                <w:sz w:val="22"/>
                <w:szCs w:val="22"/>
              </w:rPr>
              <w:tab/>
            </w:r>
            <w:r w:rsidR="00C15D82" w:rsidRPr="00985352">
              <w:rPr>
                <w:rStyle w:val="Hyperlink"/>
                <w:noProof/>
              </w:rPr>
              <w:t>THE TRIAL COURT ERRED BY DENYING MR. KITCHEN’S MOTION TO SUPPRESS THE RECORDS OF THE MEDICAL TREATMENT FORCED UPON HIM.</w:t>
            </w:r>
            <w:r w:rsidR="00C15D82">
              <w:rPr>
                <w:noProof/>
                <w:webHidden/>
              </w:rPr>
              <w:tab/>
            </w:r>
            <w:r w:rsidR="00C15D82">
              <w:rPr>
                <w:noProof/>
                <w:webHidden/>
              </w:rPr>
              <w:fldChar w:fldCharType="begin"/>
            </w:r>
            <w:r w:rsidR="00C15D82">
              <w:rPr>
                <w:noProof/>
                <w:webHidden/>
              </w:rPr>
              <w:instrText xml:space="preserve"> PAGEREF _Toc81314868 \h </w:instrText>
            </w:r>
            <w:r w:rsidR="00C15D82">
              <w:rPr>
                <w:noProof/>
                <w:webHidden/>
              </w:rPr>
            </w:r>
            <w:r w:rsidR="00C15D82">
              <w:rPr>
                <w:noProof/>
                <w:webHidden/>
              </w:rPr>
              <w:fldChar w:fldCharType="separate"/>
            </w:r>
            <w:r w:rsidR="008F01EC">
              <w:rPr>
                <w:noProof/>
                <w:webHidden/>
              </w:rPr>
              <w:t>4</w:t>
            </w:r>
            <w:r w:rsidR="00C15D82">
              <w:rPr>
                <w:noProof/>
                <w:webHidden/>
              </w:rPr>
              <w:fldChar w:fldCharType="end"/>
            </w:r>
          </w:hyperlink>
        </w:p>
        <w:p w14:paraId="700B3BF4" w14:textId="683D9D28" w:rsidR="00C15D82" w:rsidRDefault="002A6FB1">
          <w:pPr>
            <w:pStyle w:val="TOC1"/>
            <w:rPr>
              <w:rFonts w:asciiTheme="minorHAnsi" w:eastAsiaTheme="minorEastAsia" w:hAnsiTheme="minorHAnsi" w:cstheme="minorBidi"/>
              <w:noProof/>
              <w:color w:val="auto"/>
              <w:kern w:val="0"/>
              <w:sz w:val="22"/>
              <w:szCs w:val="22"/>
            </w:rPr>
          </w:pPr>
          <w:hyperlink w:anchor="_Toc81314876" w:history="1">
            <w:r w:rsidR="00C15D82" w:rsidRPr="00985352">
              <w:rPr>
                <w:rStyle w:val="Hyperlink"/>
                <w:noProof/>
              </w:rPr>
              <w:t>CONCLUSION</w:t>
            </w:r>
            <w:r w:rsidR="00C15D82">
              <w:rPr>
                <w:noProof/>
                <w:webHidden/>
              </w:rPr>
              <w:tab/>
            </w:r>
            <w:r w:rsidR="00C15D82">
              <w:rPr>
                <w:noProof/>
                <w:webHidden/>
              </w:rPr>
              <w:fldChar w:fldCharType="begin"/>
            </w:r>
            <w:r w:rsidR="00C15D82">
              <w:rPr>
                <w:noProof/>
                <w:webHidden/>
              </w:rPr>
              <w:instrText xml:space="preserve"> PAGEREF _Toc81314876 \h </w:instrText>
            </w:r>
            <w:r w:rsidR="00C15D82">
              <w:rPr>
                <w:noProof/>
                <w:webHidden/>
              </w:rPr>
            </w:r>
            <w:r w:rsidR="00C15D82">
              <w:rPr>
                <w:noProof/>
                <w:webHidden/>
              </w:rPr>
              <w:fldChar w:fldCharType="separate"/>
            </w:r>
            <w:r w:rsidR="008F01EC">
              <w:rPr>
                <w:noProof/>
                <w:webHidden/>
              </w:rPr>
              <w:t>16</w:t>
            </w:r>
            <w:r w:rsidR="00C15D82">
              <w:rPr>
                <w:noProof/>
                <w:webHidden/>
              </w:rPr>
              <w:fldChar w:fldCharType="end"/>
            </w:r>
          </w:hyperlink>
        </w:p>
        <w:p w14:paraId="7A07F786" w14:textId="33DBC518" w:rsidR="00C15D82" w:rsidRDefault="002A6FB1">
          <w:pPr>
            <w:pStyle w:val="TOC1"/>
            <w:rPr>
              <w:rFonts w:asciiTheme="minorHAnsi" w:eastAsiaTheme="minorEastAsia" w:hAnsiTheme="minorHAnsi" w:cstheme="minorBidi"/>
              <w:noProof/>
              <w:color w:val="auto"/>
              <w:kern w:val="0"/>
              <w:sz w:val="22"/>
              <w:szCs w:val="22"/>
            </w:rPr>
          </w:pPr>
          <w:hyperlink w:anchor="_Toc81314877" w:history="1">
            <w:r w:rsidR="00C15D82" w:rsidRPr="00985352">
              <w:rPr>
                <w:rStyle w:val="Hyperlink"/>
                <w:noProof/>
              </w:rPr>
              <w:t>CERTIFICATE OF COMPLIANCE WITH RULE 28(J)(2)</w:t>
            </w:r>
            <w:r w:rsidR="00C15D82">
              <w:rPr>
                <w:noProof/>
                <w:webHidden/>
              </w:rPr>
              <w:tab/>
            </w:r>
            <w:r w:rsidR="00C15D82">
              <w:rPr>
                <w:noProof/>
                <w:webHidden/>
              </w:rPr>
              <w:fldChar w:fldCharType="begin"/>
            </w:r>
            <w:r w:rsidR="00C15D82">
              <w:rPr>
                <w:noProof/>
                <w:webHidden/>
              </w:rPr>
              <w:instrText xml:space="preserve"> PAGEREF _Toc81314877 \h </w:instrText>
            </w:r>
            <w:r w:rsidR="00C15D82">
              <w:rPr>
                <w:noProof/>
                <w:webHidden/>
              </w:rPr>
            </w:r>
            <w:r w:rsidR="00C15D82">
              <w:rPr>
                <w:noProof/>
                <w:webHidden/>
              </w:rPr>
              <w:fldChar w:fldCharType="separate"/>
            </w:r>
            <w:r w:rsidR="008F01EC">
              <w:rPr>
                <w:noProof/>
                <w:webHidden/>
              </w:rPr>
              <w:t>17</w:t>
            </w:r>
            <w:r w:rsidR="00C15D82">
              <w:rPr>
                <w:noProof/>
                <w:webHidden/>
              </w:rPr>
              <w:fldChar w:fldCharType="end"/>
            </w:r>
          </w:hyperlink>
        </w:p>
        <w:p w14:paraId="1EAFC180" w14:textId="3A318E24" w:rsidR="00C15D82" w:rsidRDefault="002A6FB1">
          <w:pPr>
            <w:pStyle w:val="TOC1"/>
            <w:rPr>
              <w:rFonts w:asciiTheme="minorHAnsi" w:eastAsiaTheme="minorEastAsia" w:hAnsiTheme="minorHAnsi" w:cstheme="minorBidi"/>
              <w:noProof/>
              <w:color w:val="auto"/>
              <w:kern w:val="0"/>
              <w:sz w:val="22"/>
              <w:szCs w:val="22"/>
            </w:rPr>
          </w:pPr>
          <w:hyperlink w:anchor="_Toc81314878" w:history="1">
            <w:r w:rsidR="00C15D82" w:rsidRPr="00985352">
              <w:rPr>
                <w:rStyle w:val="Hyperlink"/>
                <w:noProof/>
              </w:rPr>
              <w:t>CERTIFICATE OF SERVICE</w:t>
            </w:r>
            <w:r w:rsidR="00C15D82">
              <w:rPr>
                <w:noProof/>
                <w:webHidden/>
              </w:rPr>
              <w:tab/>
            </w:r>
            <w:r w:rsidR="00C15D82">
              <w:rPr>
                <w:noProof/>
                <w:webHidden/>
              </w:rPr>
              <w:fldChar w:fldCharType="begin"/>
            </w:r>
            <w:r w:rsidR="00C15D82">
              <w:rPr>
                <w:noProof/>
                <w:webHidden/>
              </w:rPr>
              <w:instrText xml:space="preserve"> PAGEREF _Toc81314878 \h </w:instrText>
            </w:r>
            <w:r w:rsidR="00C15D82">
              <w:rPr>
                <w:noProof/>
                <w:webHidden/>
              </w:rPr>
            </w:r>
            <w:r w:rsidR="00C15D82">
              <w:rPr>
                <w:noProof/>
                <w:webHidden/>
              </w:rPr>
              <w:fldChar w:fldCharType="separate"/>
            </w:r>
            <w:r w:rsidR="008F01EC">
              <w:rPr>
                <w:noProof/>
                <w:webHidden/>
              </w:rPr>
              <w:t>18</w:t>
            </w:r>
            <w:r w:rsidR="00C15D82">
              <w:rPr>
                <w:noProof/>
                <w:webHidden/>
              </w:rPr>
              <w:fldChar w:fldCharType="end"/>
            </w:r>
          </w:hyperlink>
        </w:p>
        <w:p w14:paraId="4E5C6E65" w14:textId="579EFBAE" w:rsidR="00221861" w:rsidRDefault="00221861">
          <w:r>
            <w:rPr>
              <w:b/>
              <w:bCs/>
              <w:noProof/>
            </w:rPr>
            <w:fldChar w:fldCharType="end"/>
          </w:r>
        </w:p>
      </w:sdtContent>
    </w:sdt>
    <w:p w14:paraId="047525D6" w14:textId="77777777" w:rsidR="00DC668A" w:rsidRPr="00177C93" w:rsidRDefault="00DC668A" w:rsidP="00B542FE">
      <w:pPr>
        <w:pStyle w:val="WW-Default"/>
        <w:jc w:val="center"/>
        <w:rPr>
          <w:rFonts w:ascii="Century Schoolbook" w:hAnsi="Century Schoolbook" w:cs="Times New Roman"/>
          <w:color w:val="000000" w:themeColor="text1"/>
          <w:sz w:val="26"/>
          <w:szCs w:val="26"/>
        </w:rPr>
      </w:pPr>
    </w:p>
    <w:p w14:paraId="1D3946A1" w14:textId="77777777" w:rsidR="00DC668A" w:rsidRPr="00177C93" w:rsidRDefault="00BF0874" w:rsidP="0048414B">
      <w:pPr>
        <w:pStyle w:val="Heading1"/>
        <w:rPr>
          <w:rFonts w:eastAsiaTheme="majorEastAsia" w:cs="Mangal"/>
          <w:u w:val="none"/>
        </w:rPr>
      </w:pPr>
      <w:bookmarkStart w:id="1" w:name="_Toc503990235"/>
      <w:bookmarkStart w:id="2" w:name="_Toc505494697"/>
      <w:r w:rsidRPr="00177C93">
        <w:br w:type="page"/>
      </w:r>
      <w:bookmarkStart w:id="3" w:name="_Toc15393833"/>
      <w:bookmarkStart w:id="4" w:name="_Toc81314862"/>
      <w:r w:rsidR="00B542FE" w:rsidRPr="00177C93">
        <w:lastRenderedPageBreak/>
        <w:t xml:space="preserve">TABLE OF </w:t>
      </w:r>
      <w:r w:rsidR="000D423F">
        <w:t xml:space="preserve">CASES AND </w:t>
      </w:r>
      <w:r w:rsidR="00B542FE" w:rsidRPr="00177C93">
        <w:t>AUTHORITIES</w:t>
      </w:r>
      <w:bookmarkEnd w:id="1"/>
      <w:bookmarkEnd w:id="2"/>
      <w:bookmarkEnd w:id="3"/>
      <w:bookmarkEnd w:id="4"/>
    </w:p>
    <w:p w14:paraId="632EB0D2" w14:textId="77777777" w:rsidR="008F01EC" w:rsidRDefault="00C15D82">
      <w:pPr>
        <w:pStyle w:val="TOAHeading"/>
        <w:tabs>
          <w:tab w:val="clear" w:pos="7200"/>
          <w:tab w:val="right" w:leader="dot" w:pos="7190"/>
        </w:tabs>
        <w:rPr>
          <w:rFonts w:asciiTheme="minorHAnsi" w:eastAsiaTheme="minorEastAsia" w:hAnsiTheme="minorHAnsi" w:cstheme="minorBidi"/>
          <w:b w:val="0"/>
          <w:bCs w:val="0"/>
          <w:noProof/>
          <w:sz w:val="22"/>
          <w:szCs w:val="22"/>
        </w:rPr>
      </w:pPr>
      <w:r>
        <w:fldChar w:fldCharType="begin"/>
      </w:r>
      <w:r>
        <w:instrText xml:space="preserve"> TOA \h \c "1" \p </w:instrText>
      </w:r>
      <w:r>
        <w:fldChar w:fldCharType="separate"/>
      </w:r>
      <w:r w:rsidR="008F01EC">
        <w:rPr>
          <w:noProof/>
        </w:rPr>
        <w:t>Cases</w:t>
      </w:r>
    </w:p>
    <w:p w14:paraId="1142657F" w14:textId="77777777" w:rsidR="008F01EC" w:rsidRDefault="008F01EC">
      <w:pPr>
        <w:pStyle w:val="TableofAuthorities"/>
        <w:rPr>
          <w:noProof/>
        </w:rPr>
      </w:pPr>
      <w:r w:rsidRPr="007F2751">
        <w:rPr>
          <w:i/>
          <w:iCs/>
          <w:noProof/>
        </w:rPr>
        <w:t>Birchfield v. North Dakota</w:t>
      </w:r>
      <w:r>
        <w:rPr>
          <w:noProof/>
        </w:rPr>
        <w:t xml:space="preserve">, </w:t>
      </w:r>
      <w:r>
        <w:rPr>
          <w:noProof/>
        </w:rPr>
        <w:br/>
        <w:t>136 S. Ct. 2160 (2016)</w:t>
      </w:r>
      <w:r>
        <w:rPr>
          <w:noProof/>
        </w:rPr>
        <w:tab/>
        <w:t>11</w:t>
      </w:r>
    </w:p>
    <w:p w14:paraId="3B3C809E" w14:textId="77777777" w:rsidR="008F01EC" w:rsidRDefault="008F01EC">
      <w:pPr>
        <w:pStyle w:val="TableofAuthorities"/>
        <w:rPr>
          <w:noProof/>
        </w:rPr>
      </w:pPr>
      <w:r w:rsidRPr="007F2751">
        <w:rPr>
          <w:i/>
          <w:iCs/>
          <w:noProof/>
        </w:rPr>
        <w:t>Carpenter v. United States</w:t>
      </w:r>
      <w:r>
        <w:rPr>
          <w:noProof/>
        </w:rPr>
        <w:t xml:space="preserve">, </w:t>
      </w:r>
      <w:r>
        <w:rPr>
          <w:noProof/>
        </w:rPr>
        <w:br/>
        <w:t>138 S. Ct. 2206 (2018)</w:t>
      </w:r>
      <w:r>
        <w:rPr>
          <w:noProof/>
        </w:rPr>
        <w:tab/>
        <w:t>6, 8</w:t>
      </w:r>
    </w:p>
    <w:p w14:paraId="1B1F122E" w14:textId="77777777" w:rsidR="008F01EC" w:rsidRDefault="008F01EC">
      <w:pPr>
        <w:pStyle w:val="TableofAuthorities"/>
        <w:rPr>
          <w:noProof/>
        </w:rPr>
      </w:pPr>
      <w:r w:rsidRPr="007F2751">
        <w:rPr>
          <w:i/>
          <w:iCs/>
          <w:noProof/>
        </w:rPr>
        <w:t>Doe v. Broderick</w:t>
      </w:r>
      <w:r>
        <w:rPr>
          <w:noProof/>
        </w:rPr>
        <w:t xml:space="preserve">, </w:t>
      </w:r>
      <w:r>
        <w:rPr>
          <w:noProof/>
        </w:rPr>
        <w:br/>
        <w:t>225 F.3d 440 (4th Cir. 2000)</w:t>
      </w:r>
      <w:r>
        <w:rPr>
          <w:noProof/>
        </w:rPr>
        <w:tab/>
        <w:t>4, 9</w:t>
      </w:r>
    </w:p>
    <w:p w14:paraId="12092DF4" w14:textId="77777777" w:rsidR="008F01EC" w:rsidRDefault="008F01EC">
      <w:pPr>
        <w:pStyle w:val="TableofAuthorities"/>
        <w:rPr>
          <w:noProof/>
        </w:rPr>
      </w:pPr>
      <w:r w:rsidRPr="007F2751">
        <w:rPr>
          <w:i/>
          <w:iCs/>
          <w:noProof/>
        </w:rPr>
        <w:t>Ferguson v. City of Charleston</w:t>
      </w:r>
      <w:r>
        <w:rPr>
          <w:noProof/>
        </w:rPr>
        <w:t xml:space="preserve">, </w:t>
      </w:r>
      <w:r>
        <w:rPr>
          <w:noProof/>
        </w:rPr>
        <w:br/>
        <w:t>532 U.S. 67 (2001)</w:t>
      </w:r>
      <w:r>
        <w:rPr>
          <w:noProof/>
        </w:rPr>
        <w:tab/>
        <w:t>4, 7</w:t>
      </w:r>
    </w:p>
    <w:p w14:paraId="0534A8CF" w14:textId="77777777" w:rsidR="008F01EC" w:rsidRDefault="008F01EC">
      <w:pPr>
        <w:pStyle w:val="TableofAuthorities"/>
        <w:rPr>
          <w:noProof/>
        </w:rPr>
      </w:pPr>
      <w:r w:rsidRPr="007F2751">
        <w:rPr>
          <w:i/>
          <w:iCs/>
          <w:noProof/>
        </w:rPr>
        <w:t>In Re Superior Court Order</w:t>
      </w:r>
      <w:r>
        <w:rPr>
          <w:noProof/>
        </w:rPr>
        <w:t xml:space="preserve">, </w:t>
      </w:r>
      <w:r>
        <w:rPr>
          <w:noProof/>
        </w:rPr>
        <w:br/>
        <w:t>315 N.C. 378, 338 S.E.2d 307 (1986)</w:t>
      </w:r>
      <w:r>
        <w:rPr>
          <w:noProof/>
        </w:rPr>
        <w:tab/>
        <w:t>12</w:t>
      </w:r>
    </w:p>
    <w:p w14:paraId="503CC565" w14:textId="77777777" w:rsidR="008F01EC" w:rsidRDefault="008F01EC">
      <w:pPr>
        <w:pStyle w:val="TableofAuthorities"/>
        <w:rPr>
          <w:noProof/>
        </w:rPr>
      </w:pPr>
      <w:r w:rsidRPr="007F2751">
        <w:rPr>
          <w:i/>
          <w:iCs/>
          <w:noProof/>
        </w:rPr>
        <w:t>Missouri v. McNeely</w:t>
      </w:r>
      <w:r>
        <w:rPr>
          <w:noProof/>
        </w:rPr>
        <w:t xml:space="preserve">, </w:t>
      </w:r>
      <w:r>
        <w:rPr>
          <w:noProof/>
        </w:rPr>
        <w:br/>
        <w:t>569 U.S. 141 (2013)</w:t>
      </w:r>
      <w:r>
        <w:rPr>
          <w:noProof/>
        </w:rPr>
        <w:tab/>
        <w:t>10</w:t>
      </w:r>
    </w:p>
    <w:p w14:paraId="466D965F" w14:textId="77777777" w:rsidR="008F01EC" w:rsidRDefault="008F01EC">
      <w:pPr>
        <w:pStyle w:val="TableofAuthorities"/>
        <w:rPr>
          <w:noProof/>
        </w:rPr>
      </w:pPr>
      <w:r w:rsidRPr="007F2751">
        <w:rPr>
          <w:i/>
          <w:iCs/>
          <w:noProof/>
        </w:rPr>
        <w:t>Riley v. California</w:t>
      </w:r>
      <w:r>
        <w:rPr>
          <w:noProof/>
        </w:rPr>
        <w:t xml:space="preserve">, </w:t>
      </w:r>
      <w:r>
        <w:rPr>
          <w:noProof/>
        </w:rPr>
        <w:br/>
        <w:t>573 U.S. 373 (2014)</w:t>
      </w:r>
      <w:r>
        <w:rPr>
          <w:noProof/>
        </w:rPr>
        <w:tab/>
        <w:t>8, 9</w:t>
      </w:r>
    </w:p>
    <w:p w14:paraId="752E9CD1" w14:textId="77777777" w:rsidR="008F01EC" w:rsidRDefault="008F01EC">
      <w:pPr>
        <w:pStyle w:val="TableofAuthorities"/>
        <w:rPr>
          <w:noProof/>
        </w:rPr>
      </w:pPr>
      <w:r w:rsidRPr="007F2751">
        <w:rPr>
          <w:i/>
          <w:iCs/>
          <w:noProof/>
        </w:rPr>
        <w:t>Smith v. Maryland</w:t>
      </w:r>
      <w:r>
        <w:rPr>
          <w:noProof/>
        </w:rPr>
        <w:t xml:space="preserve">, </w:t>
      </w:r>
      <w:r>
        <w:rPr>
          <w:noProof/>
        </w:rPr>
        <w:br/>
        <w:t>442 U.S. 735 (1979)</w:t>
      </w:r>
      <w:r>
        <w:rPr>
          <w:noProof/>
        </w:rPr>
        <w:tab/>
        <w:t>6, 10</w:t>
      </w:r>
    </w:p>
    <w:p w14:paraId="1842E3C2" w14:textId="77777777" w:rsidR="008F01EC" w:rsidRDefault="008F01EC">
      <w:pPr>
        <w:pStyle w:val="TableofAuthorities"/>
        <w:rPr>
          <w:noProof/>
        </w:rPr>
      </w:pPr>
      <w:r w:rsidRPr="007F2751">
        <w:rPr>
          <w:i/>
          <w:iCs/>
          <w:noProof/>
        </w:rPr>
        <w:t>State v. Arrington</w:t>
      </w:r>
      <w:r>
        <w:rPr>
          <w:noProof/>
        </w:rPr>
        <w:t xml:space="preserve">, </w:t>
      </w:r>
      <w:r>
        <w:rPr>
          <w:noProof/>
        </w:rPr>
        <w:br/>
        <w:t>311 N.C. 633, 319 S.E.2d 254, (1984)</w:t>
      </w:r>
      <w:r>
        <w:rPr>
          <w:noProof/>
        </w:rPr>
        <w:tab/>
        <w:t>14</w:t>
      </w:r>
    </w:p>
    <w:p w14:paraId="59283742" w14:textId="77777777" w:rsidR="008F01EC" w:rsidRDefault="008F01EC">
      <w:pPr>
        <w:pStyle w:val="TableofAuthorities"/>
        <w:rPr>
          <w:noProof/>
        </w:rPr>
      </w:pPr>
      <w:r w:rsidRPr="007F2751">
        <w:rPr>
          <w:i/>
          <w:iCs/>
          <w:noProof/>
        </w:rPr>
        <w:t>State v. Carter</w:t>
      </w:r>
      <w:r>
        <w:rPr>
          <w:noProof/>
        </w:rPr>
        <w:t xml:space="preserve">, </w:t>
      </w:r>
      <w:r>
        <w:rPr>
          <w:noProof/>
        </w:rPr>
        <w:br/>
        <w:t>322 N.C. 709, 370 S.E.2d 553 (1988)</w:t>
      </w:r>
      <w:r>
        <w:rPr>
          <w:noProof/>
        </w:rPr>
        <w:tab/>
        <w:t>12, 13</w:t>
      </w:r>
    </w:p>
    <w:p w14:paraId="76DCB823" w14:textId="77777777" w:rsidR="008F01EC" w:rsidRDefault="008F01EC">
      <w:pPr>
        <w:pStyle w:val="TableofAuthorities"/>
        <w:rPr>
          <w:noProof/>
        </w:rPr>
      </w:pPr>
      <w:r w:rsidRPr="007F2751">
        <w:rPr>
          <w:i/>
          <w:iCs/>
          <w:noProof/>
        </w:rPr>
        <w:t>State v. Elder</w:t>
      </w:r>
      <w:r>
        <w:rPr>
          <w:noProof/>
        </w:rPr>
        <w:t xml:space="preserve">, </w:t>
      </w:r>
      <w:r>
        <w:rPr>
          <w:noProof/>
        </w:rPr>
        <w:br/>
        <w:t>232 N.C. App. 80, 753 S.E.2d 504 (2014)</w:t>
      </w:r>
      <w:r>
        <w:rPr>
          <w:noProof/>
        </w:rPr>
        <w:tab/>
        <w:t>13</w:t>
      </w:r>
    </w:p>
    <w:p w14:paraId="0C911CC4" w14:textId="77777777" w:rsidR="008F01EC" w:rsidRDefault="008F01EC">
      <w:pPr>
        <w:pStyle w:val="TableofAuthorities"/>
        <w:rPr>
          <w:noProof/>
        </w:rPr>
      </w:pPr>
      <w:r w:rsidRPr="007F2751">
        <w:rPr>
          <w:i/>
          <w:iCs/>
          <w:noProof/>
        </w:rPr>
        <w:t>State v. Elder</w:t>
      </w:r>
      <w:r>
        <w:rPr>
          <w:noProof/>
        </w:rPr>
        <w:t xml:space="preserve">, </w:t>
      </w:r>
      <w:r>
        <w:rPr>
          <w:noProof/>
        </w:rPr>
        <w:br/>
        <w:t>368 N.C. 70, 773 S.E.2d 51 (2015)</w:t>
      </w:r>
      <w:r>
        <w:rPr>
          <w:noProof/>
        </w:rPr>
        <w:tab/>
        <w:t>14</w:t>
      </w:r>
    </w:p>
    <w:p w14:paraId="36093D08" w14:textId="77777777" w:rsidR="008F01EC" w:rsidRDefault="008F01EC">
      <w:pPr>
        <w:pStyle w:val="TableofAuthorities"/>
        <w:rPr>
          <w:noProof/>
        </w:rPr>
      </w:pPr>
      <w:r w:rsidRPr="007F2751">
        <w:rPr>
          <w:i/>
          <w:iCs/>
          <w:noProof/>
        </w:rPr>
        <w:t>State v. Grooms</w:t>
      </w:r>
      <w:r>
        <w:rPr>
          <w:noProof/>
        </w:rPr>
        <w:t xml:space="preserve">, </w:t>
      </w:r>
      <w:r>
        <w:rPr>
          <w:noProof/>
        </w:rPr>
        <w:br/>
        <w:t>353 N.C. 50, 540 S.E.2d 713 (2000)</w:t>
      </w:r>
      <w:r>
        <w:rPr>
          <w:noProof/>
        </w:rPr>
        <w:tab/>
        <w:t>5</w:t>
      </w:r>
    </w:p>
    <w:p w14:paraId="1B772DBB" w14:textId="77777777" w:rsidR="008F01EC" w:rsidRDefault="008F01EC">
      <w:pPr>
        <w:pStyle w:val="TableofAuthorities"/>
        <w:rPr>
          <w:noProof/>
        </w:rPr>
      </w:pPr>
      <w:r w:rsidRPr="007F2751">
        <w:rPr>
          <w:i/>
          <w:iCs/>
          <w:noProof/>
        </w:rPr>
        <w:lastRenderedPageBreak/>
        <w:t xml:space="preserve">State v. Hughes, </w:t>
      </w:r>
      <w:r w:rsidRPr="007F2751">
        <w:rPr>
          <w:i/>
          <w:iCs/>
          <w:noProof/>
        </w:rPr>
        <w:br/>
      </w:r>
      <w:r>
        <w:rPr>
          <w:noProof/>
        </w:rPr>
        <w:t>353 N.C. 200, 539 S.E.2d 625 (2000)</w:t>
      </w:r>
      <w:r>
        <w:rPr>
          <w:noProof/>
        </w:rPr>
        <w:tab/>
        <w:t>5</w:t>
      </w:r>
    </w:p>
    <w:p w14:paraId="46221FE5" w14:textId="77777777" w:rsidR="008F01EC" w:rsidRDefault="008F01EC">
      <w:pPr>
        <w:pStyle w:val="TableofAuthorities"/>
        <w:rPr>
          <w:noProof/>
        </w:rPr>
      </w:pPr>
      <w:r w:rsidRPr="007F2751">
        <w:rPr>
          <w:i/>
          <w:iCs/>
          <w:noProof/>
        </w:rPr>
        <w:t>State v. Jackson</w:t>
      </w:r>
      <w:r>
        <w:rPr>
          <w:noProof/>
        </w:rPr>
        <w:t xml:space="preserve">, </w:t>
      </w:r>
      <w:r>
        <w:rPr>
          <w:noProof/>
        </w:rPr>
        <w:br/>
        <w:t>348 N.C. 644, 503 S.E.2d 101 (1998)</w:t>
      </w:r>
      <w:r>
        <w:rPr>
          <w:noProof/>
        </w:rPr>
        <w:tab/>
        <w:t>14</w:t>
      </w:r>
    </w:p>
    <w:p w14:paraId="262E808A" w14:textId="77777777" w:rsidR="008F01EC" w:rsidRDefault="008F01EC">
      <w:pPr>
        <w:pStyle w:val="TableofAuthorities"/>
        <w:rPr>
          <w:noProof/>
        </w:rPr>
      </w:pPr>
      <w:r w:rsidRPr="007F2751">
        <w:rPr>
          <w:i/>
          <w:iCs/>
          <w:noProof/>
        </w:rPr>
        <w:t xml:space="preserve">State v. Parson, </w:t>
      </w:r>
      <w:r w:rsidRPr="007F2751">
        <w:rPr>
          <w:i/>
          <w:iCs/>
          <w:noProof/>
        </w:rPr>
        <w:br/>
      </w:r>
      <w:r>
        <w:rPr>
          <w:noProof/>
        </w:rPr>
        <w:t>250 N.C. App. 142, 791 S.E.2d 528 (2016)</w:t>
      </w:r>
      <w:r>
        <w:rPr>
          <w:noProof/>
        </w:rPr>
        <w:tab/>
        <w:t>13</w:t>
      </w:r>
    </w:p>
    <w:p w14:paraId="6105FAA2" w14:textId="77777777" w:rsidR="008F01EC" w:rsidRDefault="008F01EC">
      <w:pPr>
        <w:pStyle w:val="TableofAuthorities"/>
        <w:rPr>
          <w:noProof/>
        </w:rPr>
      </w:pPr>
      <w:r w:rsidRPr="007F2751">
        <w:rPr>
          <w:i/>
          <w:iCs/>
          <w:noProof/>
        </w:rPr>
        <w:t>State v. Perry</w:t>
      </w:r>
      <w:r>
        <w:rPr>
          <w:noProof/>
        </w:rPr>
        <w:t xml:space="preserve">, </w:t>
      </w:r>
      <w:r>
        <w:rPr>
          <w:noProof/>
        </w:rPr>
        <w:br/>
        <w:t>243 N.C. App. 156, 776 S.E.2d 528 (2015)</w:t>
      </w:r>
      <w:r>
        <w:rPr>
          <w:noProof/>
        </w:rPr>
        <w:tab/>
        <w:t>13</w:t>
      </w:r>
    </w:p>
    <w:p w14:paraId="3D6D0426" w14:textId="77777777" w:rsidR="008F01EC" w:rsidRDefault="008F01EC">
      <w:pPr>
        <w:pStyle w:val="TableofAuthorities"/>
        <w:rPr>
          <w:noProof/>
        </w:rPr>
      </w:pPr>
      <w:r w:rsidRPr="007F2751">
        <w:rPr>
          <w:i/>
          <w:iCs/>
          <w:noProof/>
        </w:rPr>
        <w:t>State v. Romano</w:t>
      </w:r>
      <w:r>
        <w:rPr>
          <w:noProof/>
        </w:rPr>
        <w:t xml:space="preserve">, </w:t>
      </w:r>
      <w:r>
        <w:rPr>
          <w:noProof/>
        </w:rPr>
        <w:br/>
        <w:t>369 N.C. 678, 800 S.E.2d 644 (2017)</w:t>
      </w:r>
      <w:r>
        <w:rPr>
          <w:noProof/>
        </w:rPr>
        <w:tab/>
        <w:t>10, 11, 14</w:t>
      </w:r>
    </w:p>
    <w:p w14:paraId="1A4503D8" w14:textId="77777777" w:rsidR="008F01EC" w:rsidRDefault="008F01EC">
      <w:pPr>
        <w:pStyle w:val="TableofAuthorities"/>
        <w:rPr>
          <w:noProof/>
        </w:rPr>
      </w:pPr>
      <w:r w:rsidRPr="007F2751">
        <w:rPr>
          <w:i/>
          <w:iCs/>
          <w:noProof/>
        </w:rPr>
        <w:t>State v. Williams</w:t>
      </w:r>
      <w:r>
        <w:rPr>
          <w:noProof/>
        </w:rPr>
        <w:t xml:space="preserve">, </w:t>
      </w:r>
      <w:r>
        <w:rPr>
          <w:noProof/>
        </w:rPr>
        <w:br/>
        <w:t>362 N.C. 628, 669 S.E.2d 290 (2008)</w:t>
      </w:r>
      <w:r>
        <w:rPr>
          <w:noProof/>
        </w:rPr>
        <w:tab/>
        <w:t>5</w:t>
      </w:r>
    </w:p>
    <w:p w14:paraId="64B1275E" w14:textId="77777777" w:rsidR="008F01EC" w:rsidRDefault="008F01EC">
      <w:pPr>
        <w:pStyle w:val="TableofAuthorities"/>
        <w:rPr>
          <w:noProof/>
        </w:rPr>
      </w:pPr>
      <w:r w:rsidRPr="007F2751">
        <w:rPr>
          <w:i/>
          <w:iCs/>
          <w:noProof/>
        </w:rPr>
        <w:t>United States v. Miller</w:t>
      </w:r>
      <w:r>
        <w:rPr>
          <w:noProof/>
        </w:rPr>
        <w:t>,</w:t>
      </w:r>
      <w:r>
        <w:rPr>
          <w:noProof/>
        </w:rPr>
        <w:br/>
        <w:t xml:space="preserve"> 425 U.S. 435 (1976)</w:t>
      </w:r>
      <w:r>
        <w:rPr>
          <w:noProof/>
        </w:rPr>
        <w:tab/>
        <w:t>5</w:t>
      </w:r>
    </w:p>
    <w:p w14:paraId="0C3DF866" w14:textId="77777777" w:rsidR="00B35389" w:rsidRDefault="00C15D82">
      <w:pPr>
        <w:pStyle w:val="TOAHeading"/>
        <w:tabs>
          <w:tab w:val="clear" w:pos="7200"/>
          <w:tab w:val="right" w:leader="dot" w:pos="7190"/>
        </w:tabs>
        <w:rPr>
          <w:rFonts w:asciiTheme="minorHAnsi" w:eastAsiaTheme="minorEastAsia" w:hAnsiTheme="minorHAnsi" w:cstheme="minorBidi"/>
          <w:b w:val="0"/>
          <w:bCs w:val="0"/>
          <w:noProof/>
          <w:sz w:val="22"/>
          <w:szCs w:val="22"/>
        </w:rPr>
      </w:pPr>
      <w:r>
        <w:fldChar w:fldCharType="end"/>
      </w:r>
      <w:r>
        <w:fldChar w:fldCharType="begin"/>
      </w:r>
      <w:r>
        <w:instrText xml:space="preserve"> TOA \h \c "2" \p </w:instrText>
      </w:r>
      <w:r>
        <w:fldChar w:fldCharType="separate"/>
      </w:r>
      <w:r w:rsidR="00B35389">
        <w:rPr>
          <w:noProof/>
        </w:rPr>
        <w:t>Statutes</w:t>
      </w:r>
    </w:p>
    <w:p w14:paraId="63FE7B45" w14:textId="77777777" w:rsidR="00B35389" w:rsidRDefault="00B35389" w:rsidP="00B35389">
      <w:pPr>
        <w:pStyle w:val="TableofAuthorities"/>
        <w:rPr>
          <w:noProof/>
        </w:rPr>
      </w:pPr>
      <w:r>
        <w:rPr>
          <w:noProof/>
        </w:rPr>
        <w:t>N.C.G.S. § 7A-27</w:t>
      </w:r>
      <w:r>
        <w:rPr>
          <w:noProof/>
        </w:rPr>
        <w:tab/>
        <w:t>2</w:t>
      </w:r>
    </w:p>
    <w:p w14:paraId="34CBE0E1" w14:textId="77777777" w:rsidR="00B35389" w:rsidRDefault="00B35389" w:rsidP="00B35389">
      <w:pPr>
        <w:pStyle w:val="TableofAuthorities"/>
        <w:rPr>
          <w:noProof/>
        </w:rPr>
      </w:pPr>
      <w:r>
        <w:rPr>
          <w:noProof/>
        </w:rPr>
        <w:t>N.C.G.S. § 8-53</w:t>
      </w:r>
      <w:r>
        <w:rPr>
          <w:noProof/>
        </w:rPr>
        <w:tab/>
        <w:t>3, 4, 11, 12</w:t>
      </w:r>
    </w:p>
    <w:p w14:paraId="3EC98C9B" w14:textId="77777777" w:rsidR="00B35389" w:rsidRDefault="00B35389">
      <w:pPr>
        <w:pStyle w:val="TableofAuthorities"/>
        <w:rPr>
          <w:noProof/>
        </w:rPr>
      </w:pPr>
      <w:r>
        <w:rPr>
          <w:noProof/>
        </w:rPr>
        <w:t>N.C.G.S. § 15A-244</w:t>
      </w:r>
      <w:r>
        <w:rPr>
          <w:noProof/>
        </w:rPr>
        <w:tab/>
        <w:t>12</w:t>
      </w:r>
    </w:p>
    <w:p w14:paraId="5523DBD7" w14:textId="77777777" w:rsidR="00B35389" w:rsidRDefault="00B35389">
      <w:pPr>
        <w:pStyle w:val="TableofAuthorities"/>
        <w:rPr>
          <w:noProof/>
        </w:rPr>
      </w:pPr>
      <w:r>
        <w:rPr>
          <w:noProof/>
        </w:rPr>
        <w:t>N.C.G.S. § 15A-974</w:t>
      </w:r>
      <w:r>
        <w:rPr>
          <w:noProof/>
        </w:rPr>
        <w:tab/>
        <w:t>12</w:t>
      </w:r>
    </w:p>
    <w:p w14:paraId="79C73CB6" w14:textId="77777777" w:rsidR="00B35389" w:rsidRDefault="00B35389" w:rsidP="00B35389">
      <w:pPr>
        <w:pStyle w:val="TableofAuthorities"/>
        <w:rPr>
          <w:noProof/>
        </w:rPr>
      </w:pPr>
      <w:r>
        <w:rPr>
          <w:noProof/>
        </w:rPr>
        <w:t>N.C.G.S. § 15A-1443</w:t>
      </w:r>
      <w:r>
        <w:rPr>
          <w:noProof/>
        </w:rPr>
        <w:tab/>
        <w:t>15</w:t>
      </w:r>
    </w:p>
    <w:p w14:paraId="6B710308" w14:textId="77777777" w:rsidR="00B35389" w:rsidRDefault="00B35389" w:rsidP="00B35389">
      <w:pPr>
        <w:pStyle w:val="TableofAuthorities"/>
        <w:rPr>
          <w:noProof/>
        </w:rPr>
      </w:pPr>
      <w:r>
        <w:rPr>
          <w:noProof/>
        </w:rPr>
        <w:t>N.C.G.S. § 15A-1444</w:t>
      </w:r>
      <w:r>
        <w:rPr>
          <w:noProof/>
        </w:rPr>
        <w:tab/>
        <w:t>2</w:t>
      </w:r>
    </w:p>
    <w:p w14:paraId="5BB5B686" w14:textId="77777777" w:rsidR="00B35389" w:rsidRDefault="00B35389">
      <w:pPr>
        <w:pStyle w:val="TableofAuthorities"/>
        <w:rPr>
          <w:noProof/>
        </w:rPr>
      </w:pPr>
      <w:r>
        <w:rPr>
          <w:noProof/>
        </w:rPr>
        <w:t>N.C.G.S. § 20-16.2</w:t>
      </w:r>
      <w:r>
        <w:rPr>
          <w:noProof/>
        </w:rPr>
        <w:tab/>
        <w:t>10</w:t>
      </w:r>
    </w:p>
    <w:p w14:paraId="6F2614B7" w14:textId="3BC6AAB9" w:rsidR="00C15D82" w:rsidRDefault="00C15D82">
      <w:pPr>
        <w:pStyle w:val="TOAHeading"/>
        <w:tabs>
          <w:tab w:val="clear" w:pos="7200"/>
          <w:tab w:val="right" w:leader="dot" w:pos="7190"/>
        </w:tabs>
        <w:rPr>
          <w:rFonts w:asciiTheme="minorHAnsi" w:eastAsiaTheme="minorEastAsia" w:hAnsiTheme="minorHAnsi" w:cstheme="minorBidi"/>
          <w:b w:val="0"/>
          <w:bCs w:val="0"/>
          <w:noProof/>
          <w:sz w:val="22"/>
          <w:szCs w:val="22"/>
        </w:rPr>
      </w:pPr>
      <w:r>
        <w:fldChar w:fldCharType="end"/>
      </w:r>
      <w:r>
        <w:fldChar w:fldCharType="begin"/>
      </w:r>
      <w:r>
        <w:instrText xml:space="preserve"> TOA \h \c "3" \p </w:instrText>
      </w:r>
      <w:r>
        <w:fldChar w:fldCharType="separate"/>
      </w:r>
      <w:r>
        <w:rPr>
          <w:noProof/>
        </w:rPr>
        <w:t>Other Authorities</w:t>
      </w:r>
    </w:p>
    <w:p w14:paraId="22F59257" w14:textId="77777777" w:rsidR="00C15D82" w:rsidRDefault="00C15D82">
      <w:pPr>
        <w:pStyle w:val="TableofAuthorities"/>
        <w:rPr>
          <w:noProof/>
        </w:rPr>
      </w:pPr>
      <w:r>
        <w:rPr>
          <w:noProof/>
        </w:rPr>
        <w:t>S.L. 2011-6 (H.B. 3)</w:t>
      </w:r>
      <w:r>
        <w:rPr>
          <w:noProof/>
        </w:rPr>
        <w:tab/>
        <w:t>13</w:t>
      </w:r>
    </w:p>
    <w:p w14:paraId="41FBCFC6" w14:textId="77777777" w:rsidR="00C15D82" w:rsidRDefault="00C15D82">
      <w:pPr>
        <w:pStyle w:val="TableofAuthorities"/>
        <w:rPr>
          <w:noProof/>
        </w:rPr>
      </w:pPr>
      <w:r>
        <w:rPr>
          <w:noProof/>
        </w:rPr>
        <w:t xml:space="preserve">Standards for Privacy of Individually Identifiable Health Information, 65 Fed. Reg. 82,462 (Dec. 28, </w:t>
      </w:r>
      <w:r>
        <w:rPr>
          <w:noProof/>
        </w:rPr>
        <w:lastRenderedPageBreak/>
        <w:t>2000)</w:t>
      </w:r>
      <w:r>
        <w:rPr>
          <w:noProof/>
        </w:rPr>
        <w:tab/>
        <w:t>7</w:t>
      </w:r>
    </w:p>
    <w:p w14:paraId="147D4B5F" w14:textId="77777777" w:rsidR="00C15D82" w:rsidRDefault="00C15D82">
      <w:pPr>
        <w:pStyle w:val="TOAHeading"/>
        <w:tabs>
          <w:tab w:val="clear" w:pos="7200"/>
          <w:tab w:val="right" w:leader="dot" w:pos="7190"/>
        </w:tabs>
        <w:rPr>
          <w:rFonts w:asciiTheme="minorHAnsi" w:eastAsiaTheme="minorEastAsia" w:hAnsiTheme="minorHAnsi" w:cstheme="minorBidi"/>
          <w:b w:val="0"/>
          <w:bCs w:val="0"/>
          <w:noProof/>
          <w:sz w:val="22"/>
          <w:szCs w:val="22"/>
        </w:rPr>
      </w:pPr>
      <w:r>
        <w:fldChar w:fldCharType="end"/>
      </w:r>
      <w:r>
        <w:fldChar w:fldCharType="begin"/>
      </w:r>
      <w:r>
        <w:instrText xml:space="preserve"> TOA \h \c "4" \p </w:instrText>
      </w:r>
      <w:r>
        <w:fldChar w:fldCharType="separate"/>
      </w:r>
      <w:r>
        <w:rPr>
          <w:noProof/>
        </w:rPr>
        <w:t>Rules</w:t>
      </w:r>
    </w:p>
    <w:p w14:paraId="25C13402" w14:textId="77777777" w:rsidR="00C15D82" w:rsidRDefault="00C15D82">
      <w:pPr>
        <w:pStyle w:val="TableofAuthorities"/>
        <w:rPr>
          <w:noProof/>
        </w:rPr>
      </w:pPr>
      <w:r>
        <w:rPr>
          <w:noProof/>
        </w:rPr>
        <w:t>N.C. R. App. P. 10</w:t>
      </w:r>
      <w:r>
        <w:rPr>
          <w:noProof/>
        </w:rPr>
        <w:tab/>
        <w:t>5</w:t>
      </w:r>
    </w:p>
    <w:p w14:paraId="7CC946D2" w14:textId="77777777" w:rsidR="00C15D82" w:rsidRDefault="00C15D82">
      <w:pPr>
        <w:pStyle w:val="TOAHeading"/>
        <w:tabs>
          <w:tab w:val="clear" w:pos="7200"/>
          <w:tab w:val="right" w:leader="dot" w:pos="7190"/>
        </w:tabs>
        <w:rPr>
          <w:rFonts w:asciiTheme="minorHAnsi" w:eastAsiaTheme="minorEastAsia" w:hAnsiTheme="minorHAnsi" w:cstheme="minorBidi"/>
          <w:b w:val="0"/>
          <w:bCs w:val="0"/>
          <w:noProof/>
          <w:sz w:val="22"/>
          <w:szCs w:val="22"/>
        </w:rPr>
      </w:pPr>
      <w:r>
        <w:fldChar w:fldCharType="end"/>
      </w:r>
      <w:r>
        <w:fldChar w:fldCharType="begin"/>
      </w:r>
      <w:r>
        <w:instrText xml:space="preserve"> TOA \h \c "7" \p </w:instrText>
      </w:r>
      <w:r>
        <w:fldChar w:fldCharType="separate"/>
      </w:r>
      <w:r>
        <w:rPr>
          <w:noProof/>
        </w:rPr>
        <w:t>Constitutional Provisions</w:t>
      </w:r>
    </w:p>
    <w:p w14:paraId="50AEDD46" w14:textId="01ED0284" w:rsidR="00C15D82" w:rsidRDefault="00C15D82">
      <w:pPr>
        <w:pStyle w:val="TableofAuthorities"/>
        <w:rPr>
          <w:noProof/>
        </w:rPr>
      </w:pPr>
      <w:r>
        <w:rPr>
          <w:noProof/>
        </w:rPr>
        <w:t>N.C. Const. art. I, §</w:t>
      </w:r>
      <w:r w:rsidR="008F01EC">
        <w:rPr>
          <w:noProof/>
        </w:rPr>
        <w:t> 20</w:t>
      </w:r>
      <w:r>
        <w:rPr>
          <w:noProof/>
        </w:rPr>
        <w:tab/>
        <w:t>4, 5, 12, 14</w:t>
      </w:r>
    </w:p>
    <w:p w14:paraId="5F6BB15A" w14:textId="77777777" w:rsidR="00C15D82" w:rsidRDefault="00C15D82">
      <w:pPr>
        <w:pStyle w:val="TableofAuthorities"/>
        <w:rPr>
          <w:noProof/>
        </w:rPr>
      </w:pPr>
      <w:r>
        <w:rPr>
          <w:noProof/>
        </w:rPr>
        <w:t>U.S. Const. amend. IV.</w:t>
      </w:r>
      <w:r>
        <w:rPr>
          <w:noProof/>
        </w:rPr>
        <w:tab/>
        <w:t>4, 5, 12, 14</w:t>
      </w:r>
    </w:p>
    <w:p w14:paraId="417FAB41" w14:textId="77777777" w:rsidR="00C15D82" w:rsidRDefault="00C15D82">
      <w:pPr>
        <w:pStyle w:val="TableofAuthorities"/>
        <w:rPr>
          <w:noProof/>
        </w:rPr>
      </w:pPr>
      <w:r>
        <w:rPr>
          <w:noProof/>
        </w:rPr>
        <w:t>U.S. Const. amend. XIV.</w:t>
      </w:r>
      <w:r>
        <w:rPr>
          <w:noProof/>
        </w:rPr>
        <w:tab/>
        <w:t>4</w:t>
      </w:r>
    </w:p>
    <w:p w14:paraId="3D17A71A" w14:textId="59D9A31F" w:rsidR="00DC668A" w:rsidRPr="00177C93" w:rsidRDefault="00C15D82" w:rsidP="003E5501">
      <w:pPr>
        <w:pStyle w:val="TableofAuthorities"/>
      </w:pPr>
      <w:r>
        <w:fldChar w:fldCharType="end"/>
      </w:r>
    </w:p>
    <w:p w14:paraId="4F72583A" w14:textId="77777777" w:rsidR="00DC668A" w:rsidRPr="00177C93" w:rsidRDefault="00DC668A" w:rsidP="00776C8C">
      <w:pPr>
        <w:pStyle w:val="WW-Default"/>
        <w:rPr>
          <w:rFonts w:ascii="Century Schoolbook" w:hAnsi="Century Schoolbook" w:cs="Times New Roman"/>
          <w:color w:val="000000" w:themeColor="text1"/>
          <w:sz w:val="26"/>
          <w:szCs w:val="26"/>
        </w:rPr>
        <w:sectPr w:rsidR="00DC668A" w:rsidRPr="00177C93" w:rsidSect="00BF0874">
          <w:pgSz w:w="12240" w:h="15840"/>
          <w:pgMar w:top="1440" w:right="2520" w:bottom="1440" w:left="2520" w:header="720" w:footer="720" w:gutter="0"/>
          <w:pgNumType w:fmt="lowerRoman" w:start="1"/>
          <w:cols w:space="720"/>
          <w:titlePg/>
          <w:docGrid w:linePitch="381"/>
        </w:sectPr>
      </w:pPr>
    </w:p>
    <w:p w14:paraId="2DFD9AE1" w14:textId="50F7A74C" w:rsidR="00B7136F" w:rsidRPr="00177C93" w:rsidRDefault="00B7136F" w:rsidP="00B7136F">
      <w:pPr>
        <w:pStyle w:val="WW-Default"/>
        <w:tabs>
          <w:tab w:val="right" w:pos="9360"/>
        </w:tabs>
        <w:rPr>
          <w:rFonts w:ascii="Century Schoolbook" w:hAnsi="Century Schoolbook" w:cs="Times New Roman"/>
          <w:color w:val="000000" w:themeColor="text1"/>
          <w:sz w:val="26"/>
          <w:szCs w:val="26"/>
        </w:rPr>
      </w:pPr>
      <w:r w:rsidRPr="00177C93">
        <w:rPr>
          <w:rFonts w:ascii="Century Schoolbook" w:hAnsi="Century Schoolbook" w:cs="Times New Roman"/>
          <w:color w:val="000000" w:themeColor="text1"/>
          <w:sz w:val="26"/>
          <w:szCs w:val="26"/>
        </w:rPr>
        <w:lastRenderedPageBreak/>
        <w:t>No. COA</w:t>
      </w:r>
      <w:r>
        <w:rPr>
          <w:rFonts w:ascii="Century Schoolbook" w:hAnsi="Century Schoolbook" w:cs="Times New Roman"/>
          <w:color w:val="000000" w:themeColor="text1"/>
          <w:sz w:val="26"/>
          <w:szCs w:val="26"/>
        </w:rPr>
        <w:t>21-297</w:t>
      </w:r>
      <w:r>
        <w:rPr>
          <w:rFonts w:ascii="Century Schoolbook" w:hAnsi="Century Schoolbook" w:cs="Times New Roman"/>
          <w:color w:val="000000" w:themeColor="text1"/>
          <w:sz w:val="26"/>
          <w:szCs w:val="26"/>
        </w:rPr>
        <w:tab/>
        <w:t>THREE-B</w:t>
      </w:r>
      <w:r w:rsidRPr="00177C93">
        <w:rPr>
          <w:rFonts w:ascii="Century Schoolbook" w:hAnsi="Century Schoolbook" w:cs="Times New Roman"/>
          <w:color w:val="000000" w:themeColor="text1"/>
          <w:sz w:val="26"/>
          <w:szCs w:val="26"/>
        </w:rPr>
        <w:t xml:space="preserve"> DISTRICT </w:t>
      </w:r>
    </w:p>
    <w:p w14:paraId="752B81DA" w14:textId="77777777" w:rsidR="00B7136F" w:rsidRPr="00177C93" w:rsidRDefault="00B7136F" w:rsidP="00B7136F">
      <w:pPr>
        <w:pStyle w:val="WW-Default"/>
        <w:jc w:val="center"/>
        <w:rPr>
          <w:rFonts w:ascii="Century Schoolbook" w:hAnsi="Century Schoolbook" w:cs="Times New Roman"/>
          <w:color w:val="000000" w:themeColor="text1"/>
          <w:sz w:val="26"/>
          <w:szCs w:val="26"/>
        </w:rPr>
      </w:pPr>
    </w:p>
    <w:p w14:paraId="2121796A" w14:textId="77777777" w:rsidR="00B7136F" w:rsidRPr="00177C93" w:rsidRDefault="00B7136F" w:rsidP="00B7136F">
      <w:pPr>
        <w:pStyle w:val="WW-Default"/>
        <w:jc w:val="center"/>
        <w:rPr>
          <w:rFonts w:ascii="Century Schoolbook" w:hAnsi="Century Schoolbook" w:cs="Times New Roman"/>
          <w:color w:val="000000" w:themeColor="text1"/>
          <w:sz w:val="26"/>
          <w:szCs w:val="26"/>
        </w:rPr>
      </w:pPr>
      <w:r w:rsidRPr="00177C93">
        <w:rPr>
          <w:rFonts w:ascii="Century Schoolbook" w:hAnsi="Century Schoolbook" w:cs="Times New Roman"/>
          <w:color w:val="000000" w:themeColor="text1"/>
          <w:sz w:val="26"/>
          <w:szCs w:val="26"/>
        </w:rPr>
        <w:t>NORTH CAROLINA COURT OF APPEALS</w:t>
      </w:r>
    </w:p>
    <w:p w14:paraId="1C3B9CAB" w14:textId="77777777" w:rsidR="00B7136F" w:rsidRPr="00177C93" w:rsidRDefault="00B7136F" w:rsidP="00B7136F">
      <w:pPr>
        <w:pStyle w:val="WW-Default"/>
        <w:jc w:val="center"/>
        <w:rPr>
          <w:rFonts w:ascii="Century Schoolbook" w:hAnsi="Century Schoolbook" w:cs="Times New Roman"/>
          <w:color w:val="000000" w:themeColor="text1"/>
          <w:sz w:val="26"/>
          <w:szCs w:val="26"/>
        </w:rPr>
      </w:pPr>
    </w:p>
    <w:p w14:paraId="35F618B3" w14:textId="77777777" w:rsidR="00B7136F" w:rsidRPr="00177C93" w:rsidRDefault="00B7136F" w:rsidP="00B7136F">
      <w:pPr>
        <w:pStyle w:val="WW-Default"/>
        <w:tabs>
          <w:tab w:val="left" w:pos="720"/>
          <w:tab w:val="left" w:pos="1440"/>
          <w:tab w:val="left" w:pos="2160"/>
          <w:tab w:val="left" w:pos="2880"/>
          <w:tab w:val="left" w:pos="4680"/>
          <w:tab w:val="left" w:pos="7200"/>
        </w:tabs>
        <w:jc w:val="center"/>
        <w:rPr>
          <w:rFonts w:ascii="Century Schoolbook" w:hAnsi="Century Schoolbook" w:cs="Times New Roman"/>
          <w:color w:val="000000" w:themeColor="text1"/>
          <w:sz w:val="26"/>
          <w:szCs w:val="26"/>
        </w:rPr>
      </w:pPr>
      <w:r w:rsidRPr="00177C93">
        <w:rPr>
          <w:rFonts w:ascii="Century Schoolbook" w:hAnsi="Century Schoolbook" w:cs="Times New Roman"/>
          <w:color w:val="000000" w:themeColor="text1"/>
          <w:sz w:val="26"/>
          <w:szCs w:val="26"/>
        </w:rPr>
        <w:t>****************************************************</w:t>
      </w:r>
    </w:p>
    <w:p w14:paraId="3D1E56EE" w14:textId="77777777" w:rsidR="00B7136F" w:rsidRPr="00177C93" w:rsidRDefault="00B7136F" w:rsidP="00B7136F">
      <w:pPr>
        <w:pStyle w:val="WW-Default"/>
        <w:jc w:val="center"/>
        <w:rPr>
          <w:rFonts w:ascii="Century Schoolbook" w:hAnsi="Century Schoolbook" w:cs="Times New Roman"/>
          <w:color w:val="000000" w:themeColor="text1"/>
          <w:sz w:val="26"/>
          <w:szCs w:val="26"/>
        </w:rPr>
      </w:pPr>
    </w:p>
    <w:p w14:paraId="4FF9C260" w14:textId="77777777" w:rsidR="00B7136F" w:rsidRPr="00177C93" w:rsidRDefault="00B7136F" w:rsidP="00B7136F">
      <w:pPr>
        <w:pStyle w:val="WW-Default"/>
        <w:tabs>
          <w:tab w:val="left" w:pos="4680"/>
        </w:tabs>
        <w:rPr>
          <w:rFonts w:ascii="Century Schoolbook" w:hAnsi="Century Schoolbook" w:cs="Times New Roman"/>
          <w:color w:val="000000" w:themeColor="text1"/>
          <w:sz w:val="26"/>
          <w:szCs w:val="26"/>
        </w:rPr>
      </w:pPr>
      <w:r w:rsidRPr="00177C93">
        <w:rPr>
          <w:rFonts w:ascii="Century Schoolbook" w:hAnsi="Century Schoolbook" w:cs="Times New Roman"/>
          <w:color w:val="000000" w:themeColor="text1"/>
          <w:sz w:val="26"/>
          <w:szCs w:val="26"/>
        </w:rPr>
        <w:t>STATE OF NORTH CAROLINA</w:t>
      </w:r>
      <w:r w:rsidRPr="00177C93">
        <w:rPr>
          <w:rFonts w:ascii="Century Schoolbook" w:hAnsi="Century Schoolbook" w:cs="Times New Roman"/>
          <w:color w:val="000000" w:themeColor="text1"/>
          <w:sz w:val="26"/>
          <w:szCs w:val="26"/>
        </w:rPr>
        <w:tab/>
        <w:t>)</w:t>
      </w:r>
    </w:p>
    <w:p w14:paraId="3BA2B584" w14:textId="77777777" w:rsidR="00B7136F" w:rsidRPr="00177C93" w:rsidRDefault="00B7136F" w:rsidP="00B7136F">
      <w:pPr>
        <w:pStyle w:val="WW-Default"/>
        <w:tabs>
          <w:tab w:val="left" w:pos="4680"/>
        </w:tabs>
        <w:rPr>
          <w:rFonts w:ascii="Century Schoolbook" w:hAnsi="Century Schoolbook" w:cs="Times New Roman"/>
          <w:color w:val="000000" w:themeColor="text1"/>
          <w:sz w:val="26"/>
          <w:szCs w:val="26"/>
        </w:rPr>
      </w:pPr>
      <w:r w:rsidRPr="00177C93">
        <w:rPr>
          <w:rFonts w:ascii="Century Schoolbook" w:hAnsi="Century Schoolbook" w:cs="Times New Roman"/>
          <w:color w:val="000000" w:themeColor="text1"/>
          <w:sz w:val="26"/>
          <w:szCs w:val="26"/>
        </w:rPr>
        <w:tab/>
        <w:t>)</w:t>
      </w:r>
    </w:p>
    <w:p w14:paraId="6C1A5E38" w14:textId="74895401" w:rsidR="00B7136F" w:rsidRPr="000D423F" w:rsidRDefault="00B7136F" w:rsidP="00B7136F">
      <w:pPr>
        <w:pStyle w:val="WW-Default"/>
        <w:tabs>
          <w:tab w:val="left" w:pos="4680"/>
          <w:tab w:val="left" w:pos="5760"/>
        </w:tabs>
        <w:ind w:firstLine="720"/>
        <w:jc w:val="both"/>
        <w:rPr>
          <w:rFonts w:ascii="Century Schoolbook" w:hAnsi="Century Schoolbook" w:cs="Times New Roman"/>
          <w:color w:val="000000" w:themeColor="text1"/>
          <w:sz w:val="26"/>
          <w:szCs w:val="26"/>
          <w:u w:val="single"/>
        </w:rPr>
      </w:pPr>
      <w:r w:rsidRPr="00177C93">
        <w:rPr>
          <w:rFonts w:ascii="Century Schoolbook" w:hAnsi="Century Schoolbook" w:cs="Times New Roman"/>
          <w:color w:val="000000" w:themeColor="text1"/>
          <w:sz w:val="26"/>
          <w:szCs w:val="26"/>
        </w:rPr>
        <w:t>v.</w:t>
      </w:r>
      <w:r w:rsidRPr="00177C93">
        <w:rPr>
          <w:rFonts w:ascii="Century Schoolbook" w:hAnsi="Century Schoolbook" w:cs="Times New Roman"/>
          <w:color w:val="000000" w:themeColor="text1"/>
          <w:sz w:val="26"/>
          <w:szCs w:val="26"/>
        </w:rPr>
        <w:tab/>
        <w:t>)</w:t>
      </w:r>
      <w:r w:rsidRPr="00177C93">
        <w:rPr>
          <w:rFonts w:ascii="Century Schoolbook" w:hAnsi="Century Schoolbook" w:cs="Times New Roman"/>
          <w:color w:val="000000" w:themeColor="text1"/>
          <w:sz w:val="26"/>
          <w:szCs w:val="26"/>
        </w:rPr>
        <w:tab/>
      </w:r>
      <w:r w:rsidRPr="000D423F">
        <w:rPr>
          <w:rFonts w:ascii="Century Schoolbook" w:hAnsi="Century Schoolbook" w:cs="Times New Roman"/>
          <w:color w:val="000000" w:themeColor="text1"/>
          <w:sz w:val="26"/>
          <w:szCs w:val="26"/>
          <w:u w:val="single"/>
        </w:rPr>
        <w:t xml:space="preserve">From </w:t>
      </w:r>
      <w:r w:rsidR="000A3725">
        <w:rPr>
          <w:rFonts w:ascii="Century Schoolbook" w:hAnsi="Century Schoolbook" w:cs="Times New Roman"/>
          <w:color w:val="000000" w:themeColor="text1"/>
          <w:sz w:val="26"/>
          <w:szCs w:val="26"/>
          <w:u w:val="single"/>
        </w:rPr>
        <w:t>Carteret</w:t>
      </w:r>
      <w:r w:rsidRPr="000D423F">
        <w:rPr>
          <w:rFonts w:ascii="Century Schoolbook" w:hAnsi="Century Schoolbook" w:cs="Times New Roman"/>
          <w:color w:val="000000" w:themeColor="text1"/>
          <w:sz w:val="26"/>
          <w:szCs w:val="26"/>
          <w:u w:val="single"/>
        </w:rPr>
        <w:t xml:space="preserve"> County</w:t>
      </w:r>
    </w:p>
    <w:p w14:paraId="4A9D7F4E" w14:textId="77777777" w:rsidR="00B7136F" w:rsidRPr="00177C93" w:rsidRDefault="00B7136F" w:rsidP="00B7136F">
      <w:pPr>
        <w:pStyle w:val="WW-Default"/>
        <w:tabs>
          <w:tab w:val="left" w:pos="4680"/>
        </w:tabs>
        <w:jc w:val="both"/>
        <w:rPr>
          <w:rFonts w:ascii="Century Schoolbook" w:hAnsi="Century Schoolbook" w:cs="Times New Roman"/>
          <w:color w:val="000000" w:themeColor="text1"/>
          <w:sz w:val="26"/>
          <w:szCs w:val="26"/>
        </w:rPr>
      </w:pPr>
      <w:r w:rsidRPr="00177C93">
        <w:rPr>
          <w:rFonts w:ascii="Century Schoolbook" w:hAnsi="Century Schoolbook" w:cs="Times New Roman"/>
          <w:color w:val="000000" w:themeColor="text1"/>
          <w:sz w:val="26"/>
          <w:szCs w:val="26"/>
        </w:rPr>
        <w:tab/>
        <w:t>)</w:t>
      </w:r>
      <w:r w:rsidRPr="00177C93">
        <w:rPr>
          <w:rFonts w:ascii="Century Schoolbook" w:hAnsi="Century Schoolbook" w:cs="Times New Roman"/>
          <w:color w:val="000000" w:themeColor="text1"/>
          <w:sz w:val="26"/>
          <w:szCs w:val="26"/>
        </w:rPr>
        <w:tab/>
      </w:r>
      <w:r w:rsidRPr="00177C93">
        <w:rPr>
          <w:rFonts w:ascii="Century Schoolbook" w:hAnsi="Century Schoolbook" w:cs="Times New Roman"/>
          <w:color w:val="000000" w:themeColor="text1"/>
          <w:sz w:val="26"/>
          <w:szCs w:val="26"/>
        </w:rPr>
        <w:tab/>
      </w:r>
    </w:p>
    <w:p w14:paraId="1729C202" w14:textId="77777777" w:rsidR="00B7136F" w:rsidRPr="00177C93" w:rsidRDefault="00B7136F" w:rsidP="00B7136F">
      <w:pPr>
        <w:pStyle w:val="WW-Default"/>
        <w:tabs>
          <w:tab w:val="left" w:pos="4680"/>
        </w:tabs>
        <w:rPr>
          <w:rFonts w:ascii="Century Schoolbook" w:hAnsi="Century Schoolbook" w:cs="Times New Roman"/>
          <w:color w:val="000000" w:themeColor="text1"/>
          <w:sz w:val="26"/>
          <w:szCs w:val="26"/>
        </w:rPr>
      </w:pPr>
      <w:r>
        <w:rPr>
          <w:rFonts w:ascii="Century Schoolbook" w:hAnsi="Century Schoolbook" w:cs="Times New Roman"/>
          <w:color w:val="000000" w:themeColor="text1"/>
          <w:sz w:val="26"/>
          <w:szCs w:val="26"/>
        </w:rPr>
        <w:t>JAMES MATTHEW KITCHEN</w:t>
      </w:r>
      <w:r w:rsidRPr="00177C93">
        <w:rPr>
          <w:rFonts w:ascii="Century Schoolbook" w:hAnsi="Century Schoolbook" w:cs="Times New Roman"/>
          <w:color w:val="000000" w:themeColor="text1"/>
          <w:sz w:val="26"/>
          <w:szCs w:val="26"/>
        </w:rPr>
        <w:tab/>
        <w:t>)</w:t>
      </w:r>
    </w:p>
    <w:p w14:paraId="38048511" w14:textId="77777777" w:rsidR="00B7136F" w:rsidRPr="00177C93" w:rsidRDefault="00B7136F" w:rsidP="00B7136F">
      <w:pPr>
        <w:pStyle w:val="WW-Default"/>
        <w:jc w:val="center"/>
        <w:rPr>
          <w:rFonts w:ascii="Century Schoolbook" w:hAnsi="Century Schoolbook" w:cs="Times New Roman"/>
          <w:color w:val="000000" w:themeColor="text1"/>
          <w:sz w:val="26"/>
          <w:szCs w:val="26"/>
        </w:rPr>
      </w:pPr>
    </w:p>
    <w:p w14:paraId="2071BBD0" w14:textId="77777777" w:rsidR="00B7136F" w:rsidRPr="00177C93" w:rsidRDefault="00B7136F" w:rsidP="00B7136F">
      <w:pPr>
        <w:pStyle w:val="WW-Default"/>
        <w:jc w:val="center"/>
        <w:rPr>
          <w:rFonts w:ascii="Century Schoolbook" w:hAnsi="Century Schoolbook" w:cs="Times New Roman"/>
          <w:color w:val="000000" w:themeColor="text1"/>
          <w:sz w:val="26"/>
          <w:szCs w:val="26"/>
        </w:rPr>
      </w:pPr>
      <w:r w:rsidRPr="00177C93">
        <w:rPr>
          <w:rFonts w:ascii="Century Schoolbook" w:hAnsi="Century Schoolbook" w:cs="Times New Roman"/>
          <w:color w:val="000000" w:themeColor="text1"/>
          <w:sz w:val="26"/>
          <w:szCs w:val="26"/>
        </w:rPr>
        <w:t>****************************************************</w:t>
      </w:r>
    </w:p>
    <w:p w14:paraId="3C281C12" w14:textId="77777777" w:rsidR="00776C8C" w:rsidRPr="00177C93" w:rsidRDefault="00776C8C" w:rsidP="00776C8C">
      <w:pPr>
        <w:pStyle w:val="WW-Default"/>
        <w:jc w:val="center"/>
        <w:rPr>
          <w:rFonts w:ascii="Century Schoolbook" w:hAnsi="Century Schoolbook" w:cs="Times New Roman"/>
          <w:color w:val="000000" w:themeColor="text1"/>
          <w:sz w:val="26"/>
          <w:szCs w:val="26"/>
          <w:u w:val="single"/>
        </w:rPr>
      </w:pPr>
    </w:p>
    <w:p w14:paraId="69C9AA11" w14:textId="77777777" w:rsidR="00776C8C" w:rsidRPr="00177C93" w:rsidRDefault="00776C8C" w:rsidP="00776C8C">
      <w:pPr>
        <w:pStyle w:val="WW-Default"/>
        <w:jc w:val="center"/>
        <w:rPr>
          <w:rFonts w:ascii="Century Schoolbook" w:hAnsi="Century Schoolbook" w:cs="Times New Roman"/>
          <w:b/>
          <w:color w:val="000000" w:themeColor="text1"/>
          <w:sz w:val="26"/>
          <w:szCs w:val="26"/>
        </w:rPr>
      </w:pPr>
      <w:r w:rsidRPr="00177C93">
        <w:rPr>
          <w:rFonts w:ascii="Century Schoolbook" w:hAnsi="Century Schoolbook" w:cs="Times New Roman"/>
          <w:b/>
          <w:color w:val="000000" w:themeColor="text1"/>
          <w:sz w:val="26"/>
          <w:szCs w:val="26"/>
          <w:u w:val="single"/>
        </w:rPr>
        <w:t>DEFENDANT-APPELLANT’S BRIEF</w:t>
      </w:r>
    </w:p>
    <w:p w14:paraId="788E2B9C" w14:textId="77777777" w:rsidR="00776C8C" w:rsidRPr="00177C93" w:rsidRDefault="00776C8C" w:rsidP="00776C8C">
      <w:pPr>
        <w:pStyle w:val="WW-Default"/>
        <w:jc w:val="center"/>
        <w:rPr>
          <w:rFonts w:ascii="Century Schoolbook" w:hAnsi="Century Schoolbook" w:cs="Times New Roman"/>
          <w:color w:val="000000" w:themeColor="text1"/>
          <w:sz w:val="26"/>
          <w:szCs w:val="26"/>
        </w:rPr>
      </w:pPr>
    </w:p>
    <w:p w14:paraId="012BECEC" w14:textId="77777777" w:rsidR="00B542FE" w:rsidRPr="00177C93" w:rsidRDefault="00776C8C" w:rsidP="00776C8C">
      <w:pPr>
        <w:pStyle w:val="WW-Default"/>
        <w:jc w:val="center"/>
        <w:rPr>
          <w:rFonts w:ascii="Century Schoolbook" w:hAnsi="Century Schoolbook" w:cs="Times New Roman"/>
          <w:color w:val="000000" w:themeColor="text1"/>
          <w:sz w:val="26"/>
          <w:szCs w:val="26"/>
        </w:rPr>
      </w:pPr>
      <w:r w:rsidRPr="00177C93">
        <w:rPr>
          <w:rFonts w:ascii="Century Schoolbook" w:hAnsi="Century Schoolbook" w:cs="Times New Roman"/>
          <w:color w:val="000000" w:themeColor="text1"/>
          <w:sz w:val="26"/>
          <w:szCs w:val="26"/>
        </w:rPr>
        <w:t>****************************************************</w:t>
      </w:r>
    </w:p>
    <w:p w14:paraId="0D2CC6EB" w14:textId="2106468F" w:rsidR="00B542FE" w:rsidRPr="00177C93" w:rsidRDefault="00B542FE" w:rsidP="0048414B">
      <w:pPr>
        <w:pStyle w:val="Heading1"/>
      </w:pPr>
      <w:bookmarkStart w:id="5" w:name="_Toc390204024"/>
      <w:bookmarkStart w:id="6" w:name="_Toc503990236"/>
      <w:bookmarkStart w:id="7" w:name="_Toc505494698"/>
      <w:bookmarkStart w:id="8" w:name="_Toc15393834"/>
      <w:bookmarkStart w:id="9" w:name="_Toc81314863"/>
      <w:r w:rsidRPr="00177C93">
        <w:t>ISSUE</w:t>
      </w:r>
      <w:r w:rsidR="00C15D82">
        <w:t xml:space="preserve"> </w:t>
      </w:r>
      <w:r w:rsidRPr="00177C93">
        <w:t>PRESENTED</w:t>
      </w:r>
      <w:bookmarkEnd w:id="5"/>
      <w:bookmarkEnd w:id="6"/>
      <w:bookmarkEnd w:id="7"/>
      <w:bookmarkEnd w:id="8"/>
      <w:bookmarkEnd w:id="9"/>
    </w:p>
    <w:p w14:paraId="09D7ED28" w14:textId="02D29B5C" w:rsidR="00B542FE" w:rsidRPr="00C15D82" w:rsidRDefault="00C15D82" w:rsidP="00C15D82">
      <w:pPr>
        <w:pStyle w:val="ListParagraph"/>
        <w:numPr>
          <w:ilvl w:val="0"/>
          <w:numId w:val="9"/>
        </w:numPr>
        <w:spacing w:line="240" w:lineRule="auto"/>
        <w:ind w:left="720"/>
      </w:pPr>
      <w:bookmarkStart w:id="10" w:name="_Toc390203679"/>
      <w:bookmarkEnd w:id="10"/>
      <w:r w:rsidRPr="00C15D82">
        <w:t>Whether the trial court erred by denying Mr. Kitchen’s motion to suppress the medical records of his involuntary commitment obtained without a search warrant?</w:t>
      </w:r>
    </w:p>
    <w:p w14:paraId="3BB1D6F5" w14:textId="77777777" w:rsidR="00B542FE" w:rsidRPr="00177C93" w:rsidRDefault="00B542FE" w:rsidP="00503187"/>
    <w:p w14:paraId="309058C6" w14:textId="77777777" w:rsidR="00B542FE" w:rsidRPr="00177C93" w:rsidRDefault="00B542FE" w:rsidP="0048414B">
      <w:pPr>
        <w:pStyle w:val="Heading1"/>
      </w:pPr>
      <w:r w:rsidRPr="00177C93">
        <w:br w:type="page"/>
      </w:r>
      <w:bookmarkStart w:id="11" w:name="_Toc503990237"/>
      <w:bookmarkStart w:id="12" w:name="_Toc505494699"/>
      <w:bookmarkStart w:id="13" w:name="_Toc15393835"/>
      <w:bookmarkStart w:id="14" w:name="_Toc81314864"/>
      <w:r w:rsidRPr="0048414B">
        <w:lastRenderedPageBreak/>
        <w:t>STATEMENT</w:t>
      </w:r>
      <w:r w:rsidRPr="00177C93">
        <w:t xml:space="preserve"> OF THE CASE</w:t>
      </w:r>
      <w:bookmarkEnd w:id="11"/>
      <w:bookmarkEnd w:id="12"/>
      <w:bookmarkEnd w:id="13"/>
      <w:bookmarkEnd w:id="14"/>
    </w:p>
    <w:p w14:paraId="2BC16F86" w14:textId="4EE8BA1B" w:rsidR="000A3725" w:rsidRPr="003F25C0" w:rsidRDefault="000A3725" w:rsidP="000A3725">
      <w:pPr>
        <w:overflowPunct w:val="0"/>
        <w:autoSpaceDE w:val="0"/>
        <w:autoSpaceDN w:val="0"/>
        <w:adjustRightInd w:val="0"/>
        <w:textAlignment w:val="baseline"/>
        <w:rPr>
          <w:szCs w:val="26"/>
        </w:rPr>
      </w:pPr>
      <w:bookmarkStart w:id="15" w:name="_Toc390204029"/>
      <w:r w:rsidRPr="009330DF">
        <w:rPr>
          <w:szCs w:val="26"/>
        </w:rPr>
        <w:t xml:space="preserve">This case was tried at the </w:t>
      </w:r>
      <w:r w:rsidR="009955A6">
        <w:rPr>
          <w:szCs w:val="26"/>
        </w:rPr>
        <w:t>9 November 2020</w:t>
      </w:r>
      <w:r w:rsidRPr="009330DF">
        <w:rPr>
          <w:szCs w:val="26"/>
        </w:rPr>
        <w:t xml:space="preserve"> session of Carteret County Superior Court, before the Honorable Joshua Willey, Jr., on indictments alleging habitual driving while impaired and habitual felon.</w:t>
      </w:r>
      <w:r>
        <w:rPr>
          <w:szCs w:val="26"/>
        </w:rPr>
        <w:t xml:space="preserve"> (R pp 2-8, T p 1). </w:t>
      </w:r>
      <w:r w:rsidRPr="009330DF">
        <w:rPr>
          <w:szCs w:val="26"/>
        </w:rPr>
        <w:t xml:space="preserve">On </w:t>
      </w:r>
      <w:r w:rsidR="005D612E">
        <w:rPr>
          <w:szCs w:val="26"/>
        </w:rPr>
        <w:t>12 November 2020</w:t>
      </w:r>
      <w:r w:rsidRPr="009330DF">
        <w:rPr>
          <w:szCs w:val="26"/>
        </w:rPr>
        <w:t xml:space="preserve">, the jury convicted Mr. Kitchen of habitual driving while impaired and he pleaded guilty to having attained the status of habitual felon. </w:t>
      </w:r>
      <w:r>
        <w:rPr>
          <w:szCs w:val="26"/>
        </w:rPr>
        <w:t>(R pp 89-93).</w:t>
      </w:r>
      <w:r w:rsidRPr="009330DF">
        <w:rPr>
          <w:szCs w:val="26"/>
        </w:rPr>
        <w:t xml:space="preserve"> The trial court imposed a term of 144 to 185 months imprisonment.  </w:t>
      </w:r>
      <w:r>
        <w:rPr>
          <w:szCs w:val="26"/>
        </w:rPr>
        <w:t xml:space="preserve">(R pp 98-99). </w:t>
      </w:r>
      <w:r w:rsidRPr="009330DF">
        <w:rPr>
          <w:szCs w:val="26"/>
        </w:rPr>
        <w:t>From judgment entered, Mr. Kitchen gave oral notice of appeal in open court</w:t>
      </w:r>
      <w:r>
        <w:rPr>
          <w:szCs w:val="26"/>
        </w:rPr>
        <w:t xml:space="preserve"> and filed written notice of appeal</w:t>
      </w:r>
      <w:r w:rsidRPr="009330DF">
        <w:rPr>
          <w:szCs w:val="26"/>
        </w:rPr>
        <w:t>.</w:t>
      </w:r>
      <w:r w:rsidRPr="003F25C0">
        <w:rPr>
          <w:szCs w:val="26"/>
        </w:rPr>
        <w:t xml:space="preserve"> </w:t>
      </w:r>
      <w:r>
        <w:rPr>
          <w:szCs w:val="26"/>
        </w:rPr>
        <w:t xml:space="preserve">(R pp 100-02). </w:t>
      </w:r>
    </w:p>
    <w:p w14:paraId="2CAA64F8" w14:textId="77777777" w:rsidR="00B542FE" w:rsidRPr="00177C93" w:rsidRDefault="00B542FE" w:rsidP="00503187"/>
    <w:p w14:paraId="1FF04B0C" w14:textId="77777777" w:rsidR="00B542FE" w:rsidRPr="00177C93" w:rsidRDefault="000D423F" w:rsidP="0048414B">
      <w:pPr>
        <w:pStyle w:val="Heading1"/>
      </w:pPr>
      <w:bookmarkStart w:id="16" w:name="_Toc503990238"/>
      <w:bookmarkStart w:id="17" w:name="_Toc505494700"/>
      <w:bookmarkStart w:id="18" w:name="_Toc15393836"/>
      <w:bookmarkStart w:id="19" w:name="_Toc81314865"/>
      <w:r>
        <w:t xml:space="preserve">STATEMENT OF THE </w:t>
      </w:r>
      <w:r w:rsidR="00B542FE" w:rsidRPr="00177C93">
        <w:t xml:space="preserve">GROUNDS </w:t>
      </w:r>
      <w:bookmarkEnd w:id="15"/>
      <w:r w:rsidR="00B542FE" w:rsidRPr="00177C93">
        <w:t>FOR APPELLATE REVIEW</w:t>
      </w:r>
      <w:bookmarkEnd w:id="16"/>
      <w:bookmarkEnd w:id="17"/>
      <w:bookmarkEnd w:id="18"/>
      <w:bookmarkEnd w:id="19"/>
    </w:p>
    <w:p w14:paraId="607BD3BD" w14:textId="2608102C" w:rsidR="00B542FE" w:rsidRDefault="000A3725" w:rsidP="00503187">
      <w:r>
        <w:t>Appeal from final judgment of Carteret County Superior Court. N.C.G.S. §</w:t>
      </w:r>
      <w:r w:rsidR="008F01EC">
        <w:t> 7</w:t>
      </w:r>
      <w:r>
        <w:t>A-27</w:t>
      </w:r>
      <w:r w:rsidR="00221861">
        <w:fldChar w:fldCharType="begin"/>
      </w:r>
      <w:r w:rsidR="00221861">
        <w:instrText xml:space="preserve"> TA \l "</w:instrText>
      </w:r>
      <w:r w:rsidR="00221861" w:rsidRPr="001D2F2E">
        <w:instrText>N.C.G.S. §</w:instrText>
      </w:r>
      <w:r w:rsidR="008F01EC">
        <w:instrText> 7</w:instrText>
      </w:r>
      <w:r w:rsidR="00221861" w:rsidRPr="001D2F2E">
        <w:instrText>A-27</w:instrText>
      </w:r>
      <w:r w:rsidR="00221861">
        <w:instrText>" \s "N.C.G.S. §</w:instrText>
      </w:r>
      <w:r w:rsidR="008F01EC">
        <w:instrText> 7</w:instrText>
      </w:r>
      <w:r w:rsidR="00221861">
        <w:instrText xml:space="preserve">A-27" \c 2 </w:instrText>
      </w:r>
      <w:r w:rsidR="00221861">
        <w:fldChar w:fldCharType="end"/>
      </w:r>
      <w:r>
        <w:t>(b)</w:t>
      </w:r>
      <w:r w:rsidR="00B35389">
        <w:t xml:space="preserve"> </w:t>
      </w:r>
      <w:r w:rsidR="00B35389" w:rsidRPr="00DF4CFC">
        <w:rPr>
          <w:color w:val="auto"/>
        </w:rPr>
        <w:t xml:space="preserve">and </w:t>
      </w:r>
      <w:r w:rsidR="00B35389">
        <w:rPr>
          <w:color w:val="auto"/>
        </w:rPr>
        <w:fldChar w:fldCharType="begin"/>
      </w:r>
      <w:r w:rsidR="00B35389">
        <w:instrText xml:space="preserve"> TA \l "</w:instrText>
      </w:r>
      <w:r w:rsidR="00B35389" w:rsidRPr="00673AE8">
        <w:rPr>
          <w:color w:val="auto"/>
        </w:rPr>
        <w:instrText>N.C.G.S. § 15A-1444</w:instrText>
      </w:r>
      <w:r w:rsidR="00B35389">
        <w:instrText xml:space="preserve">" \s "N.C.G.S. § 15A-1444" \c 2 </w:instrText>
      </w:r>
      <w:r w:rsidR="00B35389">
        <w:rPr>
          <w:color w:val="auto"/>
        </w:rPr>
        <w:fldChar w:fldCharType="end"/>
      </w:r>
      <w:r w:rsidR="00B35389" w:rsidRPr="00DF4CFC">
        <w:rPr>
          <w:color w:val="auto"/>
        </w:rPr>
        <w:t>N.C.</w:t>
      </w:r>
      <w:r w:rsidR="00B35389">
        <w:rPr>
          <w:color w:val="auto"/>
        </w:rPr>
        <w:t xml:space="preserve">G.S. </w:t>
      </w:r>
      <w:r w:rsidR="00B35389" w:rsidRPr="00DF4CFC">
        <w:rPr>
          <w:color w:val="auto"/>
        </w:rPr>
        <w:t>§</w:t>
      </w:r>
      <w:r w:rsidR="00B35389">
        <w:rPr>
          <w:color w:val="auto"/>
        </w:rPr>
        <w:t> 15</w:t>
      </w:r>
      <w:r w:rsidR="00B35389" w:rsidRPr="00DF4CFC">
        <w:rPr>
          <w:color w:val="auto"/>
        </w:rPr>
        <w:t>A-1444(a)</w:t>
      </w:r>
      <w:r w:rsidR="00B35389">
        <w:rPr>
          <w:color w:val="auto"/>
        </w:rPr>
        <w:fldChar w:fldCharType="begin"/>
      </w:r>
      <w:r w:rsidR="00B35389">
        <w:instrText xml:space="preserve"> TA \s "N.C.G.S. § 15A-1444" </w:instrText>
      </w:r>
      <w:r w:rsidR="00B35389">
        <w:rPr>
          <w:color w:val="auto"/>
        </w:rPr>
        <w:fldChar w:fldCharType="end"/>
      </w:r>
      <w:r w:rsidR="00B35389" w:rsidRPr="00DF4CFC">
        <w:rPr>
          <w:color w:val="auto"/>
        </w:rPr>
        <w:t>.</w:t>
      </w:r>
      <w:r w:rsidR="00B35389">
        <w:rPr>
          <w:color w:val="auto"/>
        </w:rPr>
        <w:t xml:space="preserve"> Out of an abundance of caution, should this Court find the oral and written notices of appeal were deficient, undersigned counsel has also filed a petition for a writ of certiorari contemporaneous with this brief. </w:t>
      </w:r>
    </w:p>
    <w:p w14:paraId="641D93B1" w14:textId="77777777" w:rsidR="007E6D06" w:rsidRPr="00177C93" w:rsidRDefault="007E6D06" w:rsidP="00503187"/>
    <w:p w14:paraId="55388189" w14:textId="6BBEC480" w:rsidR="000F47D3" w:rsidRDefault="00B542FE" w:rsidP="007E6D06">
      <w:pPr>
        <w:pStyle w:val="Heading1"/>
      </w:pPr>
      <w:bookmarkStart w:id="20" w:name="_Toc503990239"/>
      <w:bookmarkStart w:id="21" w:name="_Toc505494701"/>
      <w:bookmarkStart w:id="22" w:name="_Toc15393837"/>
      <w:bookmarkStart w:id="23" w:name="_Toc81314866"/>
      <w:r w:rsidRPr="00177C93">
        <w:t>STATEMENT OF THE FACTS</w:t>
      </w:r>
      <w:bookmarkEnd w:id="20"/>
      <w:bookmarkEnd w:id="21"/>
      <w:bookmarkEnd w:id="22"/>
      <w:bookmarkEnd w:id="23"/>
    </w:p>
    <w:p w14:paraId="3148C865" w14:textId="063C8399" w:rsidR="00E57803" w:rsidRDefault="00EA668A" w:rsidP="00503187">
      <w:r>
        <w:t xml:space="preserve">On </w:t>
      </w:r>
      <w:r w:rsidR="00155250">
        <w:t>1</w:t>
      </w:r>
      <w:r w:rsidR="008F01EC">
        <w:t> </w:t>
      </w:r>
      <w:r w:rsidR="00155250">
        <w:t>May</w:t>
      </w:r>
      <w:r w:rsidR="008F01EC">
        <w:t> </w:t>
      </w:r>
      <w:r w:rsidR="00155250">
        <w:t>2017</w:t>
      </w:r>
      <w:r>
        <w:t xml:space="preserve">, Mr. Kitchen was arrested on suspicion of driving while impaired. </w:t>
      </w:r>
      <w:r w:rsidR="00155250">
        <w:t>(T p 245)</w:t>
      </w:r>
      <w:r>
        <w:t xml:space="preserve">. Throughout the entire encounter with officers, Mr. Kitchen acted erratically. </w:t>
      </w:r>
      <w:r w:rsidR="00155250">
        <w:t>(T pp 246</w:t>
      </w:r>
      <w:r w:rsidR="00A06003">
        <w:t xml:space="preserve">, </w:t>
      </w:r>
      <w:r w:rsidR="00DF410D" w:rsidRPr="000F47D3">
        <w:t xml:space="preserve">254-55, </w:t>
      </w:r>
      <w:r w:rsidR="00A06003" w:rsidRPr="000F47D3">
        <w:t>265, 266)</w:t>
      </w:r>
      <w:r w:rsidRPr="000F47D3">
        <w:t>. When</w:t>
      </w:r>
      <w:r>
        <w:t xml:space="preserve"> Mr. Kitchen was brought </w:t>
      </w:r>
      <w:r>
        <w:lastRenderedPageBreak/>
        <w:t xml:space="preserve">to the jail, in handcuffs and under arrest, the jail insisted he be taken to the hospital and evaluated prior to being processed, due to his erratic behavior. </w:t>
      </w:r>
      <w:r w:rsidR="00A06003">
        <w:t>(T p 264).</w:t>
      </w:r>
      <w:r>
        <w:t xml:space="preserve"> Still in handcuffs and </w:t>
      </w:r>
      <w:r w:rsidR="00221861">
        <w:t xml:space="preserve">still </w:t>
      </w:r>
      <w:r>
        <w:t>under arrest</w:t>
      </w:r>
      <w:r w:rsidR="00221861">
        <w:t>, police took him</w:t>
      </w:r>
      <w:r>
        <w:t xml:space="preserve"> to the hospital. </w:t>
      </w:r>
      <w:r w:rsidR="00A06003">
        <w:t>(T p 266)</w:t>
      </w:r>
      <w:r>
        <w:t xml:space="preserve">. </w:t>
      </w:r>
      <w:r w:rsidR="00DF410D">
        <w:t xml:space="preserve">The hospital “had [to give] him some medicine to calm him down.” (T p 267). </w:t>
      </w:r>
      <w:r>
        <w:t>Mr. Kitchen was involuntarily committed</w:t>
      </w:r>
      <w:r w:rsidR="007F7CFF">
        <w:t xml:space="preserve"> after a magistrate found there was evidence to support Mr. Kitchen being mentally ill and dangerous to himself or others</w:t>
      </w:r>
      <w:r>
        <w:t xml:space="preserve">. </w:t>
      </w:r>
      <w:r w:rsidR="00DF410D">
        <w:t>(St. Ex. 11A).</w:t>
      </w:r>
      <w:r>
        <w:t xml:space="preserve"> Mr. Kitchen did not sign any of the paperwork </w:t>
      </w:r>
      <w:r w:rsidR="00B00755">
        <w:t>authorizing his treatment. (St. Ex. 11</w:t>
      </w:r>
      <w:r w:rsidR="00DF410D">
        <w:t>A</w:t>
      </w:r>
      <w:r w:rsidR="00B00755">
        <w:t xml:space="preserve">). </w:t>
      </w:r>
      <w:r w:rsidR="002E0AFB">
        <w:t>Mr. Kitchen was restrained while at the hospital under the control of officers. (St. Ex. 11</w:t>
      </w:r>
      <w:r w:rsidR="00DF410D">
        <w:t>A</w:t>
      </w:r>
      <w:r w:rsidR="002E0AFB">
        <w:t xml:space="preserve">). </w:t>
      </w:r>
    </w:p>
    <w:p w14:paraId="17A70113" w14:textId="2A1DDA6B" w:rsidR="008D39AA" w:rsidRDefault="008D39AA" w:rsidP="00503187">
      <w:r>
        <w:t>On</w:t>
      </w:r>
      <w:r w:rsidR="00BA154E">
        <w:t xml:space="preserve"> 19</w:t>
      </w:r>
      <w:r w:rsidR="008F01EC">
        <w:t> </w:t>
      </w:r>
      <w:r w:rsidR="00BA154E">
        <w:t>June</w:t>
      </w:r>
      <w:r w:rsidR="008F01EC">
        <w:t> </w:t>
      </w:r>
      <w:r w:rsidR="00BA154E">
        <w:t>2020 and 22</w:t>
      </w:r>
      <w:r w:rsidR="008F01EC">
        <w:t> </w:t>
      </w:r>
      <w:r w:rsidR="00BA154E">
        <w:t>June</w:t>
      </w:r>
      <w:r w:rsidR="008F01EC">
        <w:t> </w:t>
      </w:r>
      <w:r w:rsidR="00BA154E">
        <w:t>2020,</w:t>
      </w:r>
      <w:r>
        <w:t xml:space="preserve"> the State </w:t>
      </w:r>
      <w:r w:rsidR="0017763A">
        <w:t>filed motion</w:t>
      </w:r>
      <w:r w:rsidR="00BA154E">
        <w:t>s</w:t>
      </w:r>
      <w:r w:rsidR="0017763A">
        <w:t xml:space="preserve"> under </w:t>
      </w:r>
      <w:r w:rsidR="00221861">
        <w:fldChar w:fldCharType="begin"/>
      </w:r>
      <w:r w:rsidR="00221861">
        <w:instrText xml:space="preserve"> TA \l "</w:instrText>
      </w:r>
      <w:r w:rsidR="00221861" w:rsidRPr="002D5223">
        <w:instrText>N.C.G.S. §</w:instrText>
      </w:r>
      <w:r w:rsidR="008F01EC">
        <w:instrText> 8</w:instrText>
      </w:r>
      <w:r w:rsidR="00221861" w:rsidRPr="002D5223">
        <w:instrText>-53</w:instrText>
      </w:r>
      <w:r w:rsidR="00221861">
        <w:instrText>" \s "N.C.G.S. §</w:instrText>
      </w:r>
      <w:r w:rsidR="008F01EC">
        <w:instrText> 8</w:instrText>
      </w:r>
      <w:r w:rsidR="00221861">
        <w:instrText xml:space="preserve">-53" \c 2 </w:instrText>
      </w:r>
      <w:r w:rsidR="00221861">
        <w:fldChar w:fldCharType="end"/>
      </w:r>
      <w:r w:rsidR="00DF410D">
        <w:t>N.C.G.S. §</w:t>
      </w:r>
      <w:r w:rsidR="008F01EC">
        <w:t> 8</w:t>
      </w:r>
      <w:r w:rsidR="00DF410D">
        <w:t>-53</w:t>
      </w:r>
      <w:r w:rsidR="0017763A">
        <w:t xml:space="preserve"> for Mr. Kitchen’s medical records for the purpose of obtaining the test results showing his alcohol level.</w:t>
      </w:r>
      <w:r w:rsidR="00BA154E">
        <w:t xml:space="preserve"> (R pp 12-17).</w:t>
      </w:r>
      <w:r w:rsidR="0017763A">
        <w:t xml:space="preserve"> </w:t>
      </w:r>
    </w:p>
    <w:p w14:paraId="565530E8" w14:textId="4C0598E8" w:rsidR="0050596C" w:rsidRDefault="0050596C" w:rsidP="00503187">
      <w:r>
        <w:t xml:space="preserve">The 60-plus pages of medical records from Mr. Kitchen’s involuntary commitment—detailing psychological assessments, past diagnoses, and details about every part of Mr. Kitchen’s physical and mental state—were ordered released to the State based on their motion and a finding the records were “necessary to the administration of justice.” </w:t>
      </w:r>
      <w:r w:rsidR="007E6D06">
        <w:t>(R pp 12-18).</w:t>
      </w:r>
    </w:p>
    <w:p w14:paraId="304AA23A" w14:textId="2EF9531E" w:rsidR="00D56926" w:rsidRDefault="00D56926" w:rsidP="00503187">
      <w:r>
        <w:t xml:space="preserve">Mr. Kitchen filed a motion to suppress the medical records based on 1) the failure of the State to submit an affidavit to provide the evidentiary support for the motion for the records, and 2) that obtaining the records required probable cause under both the United States Constitution and the North </w:t>
      </w:r>
      <w:r>
        <w:lastRenderedPageBreak/>
        <w:t>Carolina Constitution. (R pp 26-</w:t>
      </w:r>
      <w:r w:rsidR="00BA154E">
        <w:t xml:space="preserve">29). </w:t>
      </w:r>
    </w:p>
    <w:p w14:paraId="2DF67FE4" w14:textId="1F120E6C" w:rsidR="00BA154E" w:rsidRPr="00177C93" w:rsidRDefault="00BA154E" w:rsidP="00503187">
      <w:r>
        <w:t>The trial court denied the defendant’s motion to suppress</w:t>
      </w:r>
      <w:r w:rsidR="007F7CFF">
        <w:t xml:space="preserve">. </w:t>
      </w:r>
      <w:r w:rsidR="00DF410D">
        <w:t xml:space="preserve">(T p 35). </w:t>
      </w:r>
      <w:r w:rsidR="007F7CFF">
        <w:t xml:space="preserve"> The medical records were</w:t>
      </w:r>
      <w:r w:rsidR="006B60B4">
        <w:t xml:space="preserve"> admitted and noted an alcohol level of 151 mg/dL. Expert Paul Glover testified</w:t>
      </w:r>
      <w:r w:rsidR="002E0AFB">
        <w:t xml:space="preserve"> this amount is properly converted to .12 grams per 100 mL of whole blood. (T p 386; St. Ex. 12). The medical records further noted that Mr. Kitchen was “positive” for marijuana and that he admitted to drinking. (St. Ex. 11</w:t>
      </w:r>
      <w:r w:rsidR="00DF410D">
        <w:t>A</w:t>
      </w:r>
      <w:r w:rsidR="002E0AFB">
        <w:t xml:space="preserve">). </w:t>
      </w:r>
    </w:p>
    <w:p w14:paraId="503C8E5A" w14:textId="77777777" w:rsidR="00B542FE" w:rsidRPr="00177C93" w:rsidRDefault="00B542FE" w:rsidP="0048414B">
      <w:pPr>
        <w:pStyle w:val="Heading1"/>
      </w:pPr>
      <w:bookmarkStart w:id="24" w:name="_Toc505494702"/>
      <w:bookmarkStart w:id="25" w:name="_Toc15393838"/>
      <w:bookmarkStart w:id="26" w:name="_Toc81314867"/>
      <w:r w:rsidRPr="00D33A37">
        <w:t>ARGUMENT</w:t>
      </w:r>
      <w:bookmarkEnd w:id="24"/>
      <w:bookmarkEnd w:id="25"/>
      <w:bookmarkEnd w:id="26"/>
    </w:p>
    <w:p w14:paraId="3E2DED5C" w14:textId="64F2F34F" w:rsidR="00B542FE" w:rsidRDefault="00513146" w:rsidP="0059638D">
      <w:pPr>
        <w:pStyle w:val="Heading2"/>
      </w:pPr>
      <w:bookmarkStart w:id="27" w:name="_Toc81314868"/>
      <w:r>
        <w:t xml:space="preserve">THE TRIAL COURT ERRED BY DENYING MR. KITCHEN’S MOTION TO SUPPRESS THE RECORDS OF THE MEDICAL TREATMENT </w:t>
      </w:r>
      <w:r w:rsidR="00AF492E">
        <w:t>FORCED UPON HIM.</w:t>
      </w:r>
      <w:bookmarkEnd w:id="27"/>
      <w:r w:rsidR="00AF492E">
        <w:t xml:space="preserve"> </w:t>
      </w:r>
      <w:r>
        <w:t xml:space="preserve"> </w:t>
      </w:r>
    </w:p>
    <w:p w14:paraId="1E7F46B3" w14:textId="2BC87A0E" w:rsidR="007E6D06" w:rsidRPr="007E6D06" w:rsidRDefault="007E6D06" w:rsidP="007E6D06">
      <w:bookmarkStart w:id="28" w:name="_Toc503990242"/>
      <w:bookmarkStart w:id="29" w:name="_Toc505494704"/>
      <w:bookmarkStart w:id="30" w:name="_Toc15393840"/>
      <w:bookmarkStart w:id="31" w:name="_Toc81230835"/>
      <w:r>
        <w:t xml:space="preserve">The United </w:t>
      </w:r>
      <w:r w:rsidR="008F01EC">
        <w:t>States</w:t>
      </w:r>
      <w:r>
        <w:t xml:space="preserve"> Supreme Court has recognized there is a reasonable expectation of privacy in </w:t>
      </w:r>
      <w:r w:rsidR="008E6111">
        <w:t xml:space="preserve">medical records, as has the Fourth Circuit. </w:t>
      </w:r>
      <w:r w:rsidR="008E6111">
        <w:rPr>
          <w:i/>
          <w:iCs/>
          <w:noProof/>
        </w:rPr>
        <w:fldChar w:fldCharType="begin"/>
      </w:r>
      <w:r w:rsidR="008E6111">
        <w:instrText xml:space="preserve"> TA \l "</w:instrText>
      </w:r>
      <w:r w:rsidR="008E6111" w:rsidRPr="00214F3B">
        <w:rPr>
          <w:i/>
          <w:iCs/>
        </w:rPr>
        <w:instrText>Ferguson v. City of Charleston</w:instrText>
      </w:r>
      <w:r w:rsidR="008E6111" w:rsidRPr="00214F3B">
        <w:instrText xml:space="preserve">, </w:instrText>
      </w:r>
      <w:r w:rsidR="008E6111" w:rsidRPr="00214F3B">
        <w:br/>
        <w:instrText>532 U.S. 67 (2001)</w:instrText>
      </w:r>
      <w:r w:rsidR="008E6111">
        <w:instrText xml:space="preserve">" \s "Ferguson" \c 1 </w:instrText>
      </w:r>
      <w:r w:rsidR="008E6111">
        <w:rPr>
          <w:i/>
          <w:iCs/>
          <w:noProof/>
        </w:rPr>
        <w:fldChar w:fldCharType="end"/>
      </w:r>
      <w:r w:rsidR="008E6111" w:rsidRPr="00161947">
        <w:rPr>
          <w:i/>
          <w:iCs/>
          <w:noProof/>
        </w:rPr>
        <w:t>Ferguson v. City of Charleston</w:t>
      </w:r>
      <w:r w:rsidR="008E6111">
        <w:rPr>
          <w:noProof/>
        </w:rPr>
        <w:t>, 532 U.S. 67 (2001);</w:t>
      </w:r>
      <w:r w:rsidR="008E6111">
        <w:t xml:space="preserve"> </w:t>
      </w:r>
      <w:r w:rsidR="008E6111">
        <w:rPr>
          <w:i/>
          <w:iCs/>
        </w:rPr>
        <w:fldChar w:fldCharType="begin"/>
      </w:r>
      <w:r w:rsidR="008E6111">
        <w:instrText xml:space="preserve"> TA \l "</w:instrText>
      </w:r>
      <w:r w:rsidR="008E6111" w:rsidRPr="00F46D82">
        <w:rPr>
          <w:i/>
          <w:iCs/>
        </w:rPr>
        <w:instrText>Doe v. Broderick</w:instrText>
      </w:r>
      <w:r w:rsidR="008E6111" w:rsidRPr="00F46D82">
        <w:instrText xml:space="preserve">, </w:instrText>
      </w:r>
      <w:r w:rsidR="008E6111" w:rsidRPr="00F46D82">
        <w:br/>
        <w:instrText>225 F.3d 440 (4th Cir. 2000)</w:instrText>
      </w:r>
      <w:r w:rsidR="008E6111">
        <w:instrText xml:space="preserve">" \s "Doe" \c 1 </w:instrText>
      </w:r>
      <w:r w:rsidR="008E6111">
        <w:rPr>
          <w:i/>
          <w:iCs/>
        </w:rPr>
        <w:fldChar w:fldCharType="end"/>
      </w:r>
      <w:r w:rsidR="008E6111" w:rsidRPr="00DC3250">
        <w:rPr>
          <w:i/>
          <w:iCs/>
        </w:rPr>
        <w:t>Doe v. Broderick</w:t>
      </w:r>
      <w:r w:rsidR="008E6111" w:rsidRPr="00DC3250">
        <w:t>,</w:t>
      </w:r>
      <w:r w:rsidR="008E6111" w:rsidRPr="009431B3">
        <w:t xml:space="preserve"> 225 F.3d 440, 451 (4th Cir. 2000)</w:t>
      </w:r>
      <w:r w:rsidR="008E6111">
        <w:t>. Mr. Kitchen’s medical records were obtained by the State through the use of a motion and order under N.C.G.S. §</w:t>
      </w:r>
      <w:r w:rsidR="008F01EC">
        <w:t> 8</w:t>
      </w:r>
      <w:r w:rsidR="008E6111">
        <w:t>-53</w:t>
      </w:r>
      <w:r w:rsidR="008E6111">
        <w:fldChar w:fldCharType="begin"/>
      </w:r>
      <w:r w:rsidR="008E6111">
        <w:instrText xml:space="preserve"> TA \s "N.C.G.S. §</w:instrText>
      </w:r>
      <w:r w:rsidR="008F01EC">
        <w:instrText> 8</w:instrText>
      </w:r>
      <w:r w:rsidR="008E6111">
        <w:instrText xml:space="preserve">-53" </w:instrText>
      </w:r>
      <w:r w:rsidR="008E6111">
        <w:fldChar w:fldCharType="end"/>
      </w:r>
      <w:r w:rsidR="008E6111">
        <w:t xml:space="preserve">, which requires only a finding that the records are “necessary in the proper administration of justice.” This was despite his privacy interests in the records and the specific facts that the records were only created as a direct result of the police forcibly taking Mr. Kitchen to the hospital, and then a magistrate determining he should be involuntarily committed. These actions violated Mr. Kitchen’s rights under the </w:t>
      </w:r>
      <w:r w:rsidR="008E6111">
        <w:fldChar w:fldCharType="begin"/>
      </w:r>
      <w:r w:rsidR="008E6111">
        <w:instrText xml:space="preserve"> TA \l "</w:instrText>
      </w:r>
      <w:r w:rsidR="008E6111" w:rsidRPr="00F44807">
        <w:instrText>U.S. Const. amend. IV.</w:instrText>
      </w:r>
      <w:r w:rsidR="008E6111">
        <w:instrText xml:space="preserve">" \s "U.S. Const. amend. IV." \c 7 </w:instrText>
      </w:r>
      <w:r w:rsidR="008E6111">
        <w:fldChar w:fldCharType="end"/>
      </w:r>
      <w:r w:rsidR="008E6111">
        <w:t xml:space="preserve">Fourth Amendment to the United </w:t>
      </w:r>
      <w:r w:rsidR="008F01EC">
        <w:t>States</w:t>
      </w:r>
      <w:r w:rsidR="008E6111">
        <w:t xml:space="preserve"> Constitution, made </w:t>
      </w:r>
      <w:r w:rsidR="008E6111">
        <w:lastRenderedPageBreak/>
        <w:t>applicable to the States through the Fourteenth Amendment</w:t>
      </w:r>
      <w:r w:rsidR="008E6111">
        <w:fldChar w:fldCharType="begin"/>
      </w:r>
      <w:r w:rsidR="008E6111">
        <w:instrText xml:space="preserve"> TA \l "</w:instrText>
      </w:r>
      <w:r w:rsidR="008E6111" w:rsidRPr="00805A9D">
        <w:instrText>U.S. Const. amend. XIV.</w:instrText>
      </w:r>
      <w:r w:rsidR="008E6111">
        <w:instrText xml:space="preserve">" \s "Fourteenth Amendment" \c 7 </w:instrText>
      </w:r>
      <w:r w:rsidR="008E6111">
        <w:fldChar w:fldCharType="end"/>
      </w:r>
      <w:r w:rsidR="008E6111">
        <w:t xml:space="preserve">, and </w:t>
      </w:r>
      <w:r w:rsidR="00C15D82">
        <w:fldChar w:fldCharType="begin"/>
      </w:r>
      <w:r w:rsidR="00C15D82">
        <w:instrText xml:space="preserve"> TA \l "</w:instrText>
      </w:r>
      <w:r w:rsidR="00C15D82" w:rsidRPr="0052190E">
        <w:instrText>N.C. Const. art. I, §</w:instrText>
      </w:r>
      <w:r w:rsidR="008F01EC">
        <w:instrText> 20</w:instrText>
      </w:r>
      <w:r w:rsidR="00C15D82">
        <w:instrText>" \s "N.C. Const. art. I, §</w:instrText>
      </w:r>
      <w:r w:rsidR="008F01EC">
        <w:instrText> 20</w:instrText>
      </w:r>
      <w:r w:rsidR="00C15D82">
        <w:instrText xml:space="preserve">" \c 7 </w:instrText>
      </w:r>
      <w:r w:rsidR="00C15D82">
        <w:fldChar w:fldCharType="end"/>
      </w:r>
      <w:r w:rsidR="008E6111">
        <w:t xml:space="preserve">Article I, Section 20 of the North Carolina Constitution. </w:t>
      </w:r>
    </w:p>
    <w:p w14:paraId="02F7B406" w14:textId="5DB7E76F" w:rsidR="00776C8C" w:rsidRDefault="00B542FE" w:rsidP="0059638D">
      <w:pPr>
        <w:pStyle w:val="Heading3"/>
      </w:pPr>
      <w:bookmarkStart w:id="32" w:name="_Toc81314869"/>
      <w:r w:rsidRPr="00177C93">
        <w:t>Standard of Review</w:t>
      </w:r>
      <w:bookmarkEnd w:id="28"/>
      <w:bookmarkEnd w:id="29"/>
      <w:bookmarkEnd w:id="30"/>
      <w:r w:rsidR="000A3725">
        <w:t xml:space="preserve"> and Preservation</w:t>
      </w:r>
      <w:bookmarkEnd w:id="31"/>
      <w:bookmarkEnd w:id="32"/>
    </w:p>
    <w:p w14:paraId="59FF190D" w14:textId="3A33B46E" w:rsidR="00513146" w:rsidRDefault="00841C85" w:rsidP="00513146">
      <w:r w:rsidRPr="004E0EB6">
        <w:t xml:space="preserve">A trial court's conclusions of law in ruling on a motion to suppress evidence are reviewable </w:t>
      </w:r>
      <w:r w:rsidRPr="004E0EB6">
        <w:rPr>
          <w:i/>
          <w:iCs/>
        </w:rPr>
        <w:t>de novo</w:t>
      </w:r>
      <w:r w:rsidRPr="004E0EB6">
        <w:t xml:space="preserve">. </w:t>
      </w:r>
      <w:r w:rsidRPr="004E0EB6">
        <w:rPr>
          <w:i/>
          <w:iCs/>
        </w:rPr>
        <w:t xml:space="preserve">See </w:t>
      </w:r>
      <w:r w:rsidR="004E0EB6" w:rsidRPr="004E0EB6">
        <w:rPr>
          <w:i/>
          <w:iCs/>
        </w:rPr>
        <w:t xml:space="preserve">State v. Hughes, </w:t>
      </w:r>
      <w:r w:rsidR="004E0EB6" w:rsidRPr="004E0EB6">
        <w:t>353 N.C. 200, 208, 539 S.E.2d 625, 631 (2000)</w:t>
      </w:r>
      <w:r w:rsidR="00221861">
        <w:fldChar w:fldCharType="begin"/>
      </w:r>
      <w:r w:rsidR="00221861">
        <w:instrText xml:space="preserve"> TA \l "</w:instrText>
      </w:r>
      <w:r w:rsidR="00221861" w:rsidRPr="00FB18FD">
        <w:rPr>
          <w:i/>
          <w:iCs/>
        </w:rPr>
        <w:instrText xml:space="preserve">State v. Hughes, </w:instrText>
      </w:r>
      <w:r w:rsidR="00221861" w:rsidRPr="00FB18FD">
        <w:rPr>
          <w:i/>
          <w:iCs/>
        </w:rPr>
        <w:br/>
      </w:r>
      <w:r w:rsidR="00221861" w:rsidRPr="00FB18FD">
        <w:instrText>353 N.C. 200, 539 S.E.2d 625 (2000)</w:instrText>
      </w:r>
      <w:r w:rsidR="00221861">
        <w:instrText xml:space="preserve">" \s "Hughes" \c 1 </w:instrText>
      </w:r>
      <w:r w:rsidR="00221861">
        <w:fldChar w:fldCharType="end"/>
      </w:r>
      <w:r w:rsidR="004E0EB6" w:rsidRPr="004E0EB6">
        <w:t>.</w:t>
      </w:r>
      <w:r w:rsidR="004E0EB6" w:rsidRPr="004E0EB6">
        <w:rPr>
          <w:i/>
          <w:iCs/>
        </w:rPr>
        <w:t xml:space="preserve"> </w:t>
      </w:r>
      <w:r w:rsidRPr="004E0EB6">
        <w:t xml:space="preserve">"Under a </w:t>
      </w:r>
      <w:r w:rsidRPr="004E0EB6">
        <w:rPr>
          <w:i/>
          <w:iCs/>
        </w:rPr>
        <w:t>de novo</w:t>
      </w:r>
      <w:r w:rsidRPr="004E0EB6">
        <w:t xml:space="preserve"> review, the court considers the matter anew and freely substitutes its own judgment" for that of the trial court. </w:t>
      </w:r>
      <w:r w:rsidRPr="004E0EB6">
        <w:rPr>
          <w:i/>
          <w:iCs/>
        </w:rPr>
        <w:t>State v. Williams</w:t>
      </w:r>
      <w:r w:rsidRPr="004E0EB6">
        <w:t>, 362 N.C. 628, 632-33, 669 S.E.2d 290, 294 (2008)</w:t>
      </w:r>
      <w:r w:rsidR="00221861">
        <w:fldChar w:fldCharType="begin"/>
      </w:r>
      <w:r w:rsidR="00221861">
        <w:instrText xml:space="preserve"> TA \l "</w:instrText>
      </w:r>
      <w:r w:rsidR="00221861" w:rsidRPr="00DE5B7B">
        <w:rPr>
          <w:i/>
          <w:iCs/>
        </w:rPr>
        <w:instrText>State v. Williams</w:instrText>
      </w:r>
      <w:r w:rsidR="00221861" w:rsidRPr="00DE5B7B">
        <w:instrText xml:space="preserve">, </w:instrText>
      </w:r>
      <w:r w:rsidR="00221861" w:rsidRPr="00DE5B7B">
        <w:br/>
        <w:instrText>362 N.C. 628, 669 S.E.2d 290 (2008)</w:instrText>
      </w:r>
      <w:r w:rsidR="00221861">
        <w:instrText xml:space="preserve">" \s "Williams" \c 1 </w:instrText>
      </w:r>
      <w:r w:rsidR="00221861">
        <w:fldChar w:fldCharType="end"/>
      </w:r>
      <w:r w:rsidRPr="004E0EB6">
        <w:t>.</w:t>
      </w:r>
    </w:p>
    <w:p w14:paraId="3F3F6A8F" w14:textId="48A52A75" w:rsidR="000A3725" w:rsidRPr="00513146" w:rsidRDefault="000A3725" w:rsidP="007E6D06">
      <w:r>
        <w:t>Mr. Kitchen filed a pretrial motion to suppress and objected to the evidence being admitted during the trial. (R pp 26-36, T pp 22-</w:t>
      </w:r>
      <w:r w:rsidR="00922EC1">
        <w:t xml:space="preserve">35, 373). Therefore, the issue is preserved. </w:t>
      </w:r>
      <w:r w:rsidR="007E6D06">
        <w:t>N.C. R. App. P. 10</w:t>
      </w:r>
      <w:r w:rsidR="007E6D06">
        <w:fldChar w:fldCharType="begin"/>
      </w:r>
      <w:r w:rsidR="007E6D06">
        <w:instrText xml:space="preserve"> TA \l "</w:instrText>
      </w:r>
      <w:r w:rsidR="007E6D06" w:rsidRPr="00FC2947">
        <w:instrText>N.C. R. App. P. 10</w:instrText>
      </w:r>
      <w:r w:rsidR="007E6D06">
        <w:instrText xml:space="preserve">" \s "N.C. R. App. P. 10" \c 4 </w:instrText>
      </w:r>
      <w:r w:rsidR="007E6D06">
        <w:fldChar w:fldCharType="end"/>
      </w:r>
      <w:r w:rsidR="007E6D06">
        <w:t xml:space="preserve">(a)(1), </w:t>
      </w:r>
      <w:r w:rsidR="007E6D06" w:rsidRPr="007E6D06">
        <w:rPr>
          <w:i/>
          <w:iCs/>
        </w:rPr>
        <w:t>State v. Grooms</w:t>
      </w:r>
      <w:r w:rsidR="007E6D06">
        <w:t>, 353 N.C. 50, 65, 540 S.E.2d 713, 723 (2000)</w:t>
      </w:r>
      <w:r w:rsidR="007E6D06">
        <w:fldChar w:fldCharType="begin"/>
      </w:r>
      <w:r w:rsidR="007E6D06">
        <w:instrText xml:space="preserve"> TA \l "</w:instrText>
      </w:r>
      <w:r w:rsidR="007E6D06" w:rsidRPr="008D7F21">
        <w:rPr>
          <w:i/>
          <w:iCs/>
        </w:rPr>
        <w:instrText>State v. Grooms</w:instrText>
      </w:r>
      <w:r w:rsidR="007E6D06" w:rsidRPr="008D7F21">
        <w:instrText xml:space="preserve">, </w:instrText>
      </w:r>
      <w:r w:rsidR="007E6D06" w:rsidRPr="008D7F21">
        <w:br/>
        <w:instrText>353 N.C. 50, 540 S.E.2d 713 (2000)</w:instrText>
      </w:r>
      <w:r w:rsidR="007E6D06">
        <w:instrText xml:space="preserve">" \s "Grooms" \c 1 </w:instrText>
      </w:r>
      <w:r w:rsidR="007E6D06">
        <w:fldChar w:fldCharType="end"/>
      </w:r>
      <w:r w:rsidR="007E6D06">
        <w:t>.</w:t>
      </w:r>
    </w:p>
    <w:p w14:paraId="7214D784" w14:textId="639FE275" w:rsidR="00F010D8" w:rsidRDefault="00F010D8" w:rsidP="00F010D8">
      <w:pPr>
        <w:pStyle w:val="Heading3"/>
        <w:numPr>
          <w:ilvl w:val="0"/>
          <w:numId w:val="0"/>
        </w:numPr>
      </w:pPr>
    </w:p>
    <w:p w14:paraId="73C1F63C" w14:textId="6DB12808" w:rsidR="00B542FE" w:rsidRDefault="003A04ED" w:rsidP="0059638D">
      <w:pPr>
        <w:pStyle w:val="Heading3"/>
      </w:pPr>
      <w:bookmarkStart w:id="33" w:name="_Toc81230836"/>
      <w:bookmarkStart w:id="34" w:name="_Toc81314870"/>
      <w:r>
        <w:t>Allowing the State to Obtain Private Medical Records Without a Warrant Violates the Fourth Amendment</w:t>
      </w:r>
      <w:r w:rsidR="00717AE0">
        <w:t xml:space="preserve"> and Article 1,</w:t>
      </w:r>
      <w:r w:rsidR="009F61B2">
        <w:t xml:space="preserve"> Section 20 of the North Carolina Constitution.</w:t>
      </w:r>
      <w:bookmarkEnd w:id="33"/>
      <w:bookmarkEnd w:id="34"/>
      <w:r w:rsidR="009F61B2">
        <w:t xml:space="preserve"> </w:t>
      </w:r>
    </w:p>
    <w:p w14:paraId="211E39C8" w14:textId="07817E6F" w:rsidR="007F2519" w:rsidRDefault="00CB5DF8" w:rsidP="007F2519">
      <w:r w:rsidRPr="00C41B14">
        <w:t>The Fourth Amendment guarantees “[t]he right of the people to be secure in their persons, houses, papers, and effects, against unreasonable searches and seizures.” U.S. Const. amend. IV.</w:t>
      </w:r>
      <w:r w:rsidR="008E6111">
        <w:fldChar w:fldCharType="begin"/>
      </w:r>
      <w:r w:rsidR="008E6111">
        <w:instrText xml:space="preserve"> TA \s "U.S. Const. amend. IV." </w:instrText>
      </w:r>
      <w:r w:rsidR="008E6111">
        <w:fldChar w:fldCharType="end"/>
      </w:r>
      <w:r w:rsidR="00922EC1">
        <w:t xml:space="preserve"> </w:t>
      </w:r>
      <w:r w:rsidR="005473A4">
        <w:t>Similarly, Article I, Section 20 of the North Carolina Constitution</w:t>
      </w:r>
      <w:r w:rsidR="00C15D82">
        <w:fldChar w:fldCharType="begin"/>
      </w:r>
      <w:r w:rsidR="00C15D82">
        <w:instrText xml:space="preserve"> TA \s "N.C. Const. art. I, §</w:instrText>
      </w:r>
      <w:r w:rsidR="008F01EC">
        <w:instrText> 20</w:instrText>
      </w:r>
      <w:r w:rsidR="00C15D82">
        <w:instrText xml:space="preserve">" </w:instrText>
      </w:r>
      <w:r w:rsidR="00C15D82">
        <w:fldChar w:fldCharType="end"/>
      </w:r>
      <w:r w:rsidR="005473A4">
        <w:t xml:space="preserve"> prohibits searches “without evidence.” </w:t>
      </w:r>
      <w:r w:rsidR="00A75433">
        <w:t xml:space="preserve">Generally, the Fourth Amendment is not implicated when “the issuance of a subpoena to a </w:t>
      </w:r>
      <w:r w:rsidR="00A75433" w:rsidRPr="00A75433">
        <w:rPr>
          <w:u w:val="single"/>
        </w:rPr>
        <w:t>third party</w:t>
      </w:r>
      <w:r w:rsidR="00A75433">
        <w:t xml:space="preserve">” is used, “even if a criminal prosecution is contemplated at the </w:t>
      </w:r>
      <w:r w:rsidR="00A75433">
        <w:lastRenderedPageBreak/>
        <w:t xml:space="preserve">time of the subpoena is issued.” </w:t>
      </w:r>
      <w:r w:rsidR="00A75433" w:rsidRPr="00A75433">
        <w:rPr>
          <w:i/>
          <w:iCs/>
        </w:rPr>
        <w:t>United States v. Miller</w:t>
      </w:r>
      <w:r w:rsidR="00A75433">
        <w:t>, 425 U.S. 435, 444 (1976)</w:t>
      </w:r>
      <w:r w:rsidR="00922EC1">
        <w:fldChar w:fldCharType="begin"/>
      </w:r>
      <w:r w:rsidR="00922EC1">
        <w:instrText xml:space="preserve"> TA \l "</w:instrText>
      </w:r>
      <w:r w:rsidR="00922EC1" w:rsidRPr="00157BD6">
        <w:rPr>
          <w:i/>
          <w:iCs/>
        </w:rPr>
        <w:instrText>United States v. Miller</w:instrText>
      </w:r>
      <w:r w:rsidR="00922EC1" w:rsidRPr="00157BD6">
        <w:instrText>,</w:instrText>
      </w:r>
      <w:r w:rsidR="00922EC1">
        <w:br/>
      </w:r>
      <w:r w:rsidR="00922EC1" w:rsidRPr="00157BD6">
        <w:instrText xml:space="preserve"> 425 U.S. 435 (1976)</w:instrText>
      </w:r>
      <w:r w:rsidR="00922EC1">
        <w:instrText>" \s "</w:instrText>
      </w:r>
      <w:r w:rsidR="00922EC1" w:rsidRPr="00922EC1">
        <w:rPr>
          <w:i/>
          <w:iCs/>
        </w:rPr>
        <w:instrText>Miller</w:instrText>
      </w:r>
      <w:r w:rsidR="00922EC1">
        <w:instrText xml:space="preserve">" \c 1 </w:instrText>
      </w:r>
      <w:r w:rsidR="00922EC1">
        <w:fldChar w:fldCharType="end"/>
      </w:r>
      <w:r w:rsidR="00A75433">
        <w:t xml:space="preserve"> (emphasis added). This is </w:t>
      </w:r>
      <w:r w:rsidR="005473A4">
        <w:t>commonly</w:t>
      </w:r>
      <w:r w:rsidR="00A75433">
        <w:t xml:space="preserve"> referred to as the </w:t>
      </w:r>
      <w:r w:rsidR="002B576B">
        <w:t>third</w:t>
      </w:r>
      <w:r w:rsidR="008F01EC">
        <w:t xml:space="preserve"> </w:t>
      </w:r>
      <w:r w:rsidR="002B576B">
        <w:t>party</w:t>
      </w:r>
      <w:r w:rsidR="00A75433">
        <w:t xml:space="preserve"> doctrine. </w:t>
      </w:r>
      <w:r w:rsidR="002B576B">
        <w:t xml:space="preserve">In most circumstances, “a person has no legitimate expectation of privacy in information he voluntarily turns over to third parties.” </w:t>
      </w:r>
      <w:r w:rsidR="002B576B" w:rsidRPr="002B576B">
        <w:rPr>
          <w:i/>
          <w:iCs/>
        </w:rPr>
        <w:t>Smith v. Maryland</w:t>
      </w:r>
      <w:r w:rsidR="002B576B">
        <w:t>, 442 U.S. 735, 743–44 (1979)</w:t>
      </w:r>
      <w:r w:rsidR="00922EC1">
        <w:fldChar w:fldCharType="begin"/>
      </w:r>
      <w:r w:rsidR="00922EC1">
        <w:instrText xml:space="preserve"> TA \l "</w:instrText>
      </w:r>
      <w:r w:rsidR="00922EC1" w:rsidRPr="00E6368F">
        <w:rPr>
          <w:i/>
          <w:iCs/>
        </w:rPr>
        <w:instrText>Smith v. Maryland</w:instrText>
      </w:r>
      <w:r w:rsidR="00922EC1" w:rsidRPr="00E6368F">
        <w:instrText xml:space="preserve">, </w:instrText>
      </w:r>
      <w:r w:rsidR="00922EC1" w:rsidRPr="00E6368F">
        <w:br/>
        <w:instrText>442 U.S. 735 (1979)</w:instrText>
      </w:r>
      <w:r w:rsidR="00922EC1">
        <w:instrText xml:space="preserve">" \s "Smith v. Maryland" \c 1 </w:instrText>
      </w:r>
      <w:r w:rsidR="00922EC1">
        <w:fldChar w:fldCharType="end"/>
      </w:r>
      <w:r w:rsidR="002B576B">
        <w:t xml:space="preserve">. </w:t>
      </w:r>
    </w:p>
    <w:p w14:paraId="63355E20" w14:textId="583520F1" w:rsidR="007F2519" w:rsidRDefault="00501C36" w:rsidP="00501C36">
      <w:r>
        <w:t xml:space="preserve">However, “[w]hen an individual ‘seeks to preserve something as private,’ and his expectation of privacy is ‘one that society is prepared to recognize as reasonable,’ we have held that official intrusion into that private sphere generally qualifies as a search and requires a warrant supported by probable cause.” </w:t>
      </w:r>
      <w:r w:rsidRPr="00F072D1">
        <w:rPr>
          <w:i/>
          <w:iCs/>
        </w:rPr>
        <w:t>Carpenter v. United States</w:t>
      </w:r>
      <w:r>
        <w:t>, 138 S. Ct. 2206, 2213 (2018)</w:t>
      </w:r>
      <w:r w:rsidR="00922EC1">
        <w:fldChar w:fldCharType="begin"/>
      </w:r>
      <w:r w:rsidR="00922EC1">
        <w:instrText xml:space="preserve"> TA \l "</w:instrText>
      </w:r>
      <w:r w:rsidR="00922EC1" w:rsidRPr="0099242D">
        <w:rPr>
          <w:i/>
          <w:iCs/>
        </w:rPr>
        <w:instrText>Carpenter v. United States</w:instrText>
      </w:r>
      <w:r w:rsidR="00922EC1" w:rsidRPr="0099242D">
        <w:instrText xml:space="preserve">, </w:instrText>
      </w:r>
      <w:r w:rsidR="00922EC1" w:rsidRPr="0099242D">
        <w:br/>
        <w:instrText>138 S. Ct. 2206 (2018)</w:instrText>
      </w:r>
      <w:r w:rsidR="00922EC1">
        <w:instrText xml:space="preserve">" \s "Carpenter" \c 1 </w:instrText>
      </w:r>
      <w:r w:rsidR="00922EC1">
        <w:fldChar w:fldCharType="end"/>
      </w:r>
      <w:r>
        <w:t xml:space="preserve"> (quoting </w:t>
      </w:r>
      <w:r w:rsidRPr="00F072D1">
        <w:rPr>
          <w:i/>
          <w:iCs/>
        </w:rPr>
        <w:t>Smith</w:t>
      </w:r>
      <w:r w:rsidR="00922EC1">
        <w:rPr>
          <w:i/>
          <w:iCs/>
        </w:rPr>
        <w:fldChar w:fldCharType="begin"/>
      </w:r>
      <w:r w:rsidR="00922EC1">
        <w:instrText xml:space="preserve"> TA \s "Smith v. Maryland" </w:instrText>
      </w:r>
      <w:r w:rsidR="00922EC1">
        <w:rPr>
          <w:i/>
          <w:iCs/>
        </w:rPr>
        <w:fldChar w:fldCharType="end"/>
      </w:r>
      <w:r w:rsidR="00922EC1">
        <w:rPr>
          <w:i/>
          <w:iCs/>
        </w:rPr>
        <w:t xml:space="preserve">, </w:t>
      </w:r>
      <w:r>
        <w:t xml:space="preserve">442 U.S. </w:t>
      </w:r>
      <w:r w:rsidR="00922EC1">
        <w:t>at</w:t>
      </w:r>
      <w:r w:rsidR="008F01EC">
        <w:t> 740</w:t>
      </w:r>
      <w:r>
        <w:t xml:space="preserve">). In </w:t>
      </w:r>
      <w:r>
        <w:rPr>
          <w:i/>
          <w:iCs/>
        </w:rPr>
        <w:t>Carpenter</w:t>
      </w:r>
      <w:r w:rsidR="00922EC1">
        <w:rPr>
          <w:i/>
          <w:iCs/>
        </w:rPr>
        <w:fldChar w:fldCharType="begin"/>
      </w:r>
      <w:r w:rsidR="00922EC1">
        <w:instrText xml:space="preserve"> TA \s "Carpenter" </w:instrText>
      </w:r>
      <w:r w:rsidR="00922EC1">
        <w:rPr>
          <w:i/>
          <w:iCs/>
        </w:rPr>
        <w:fldChar w:fldCharType="end"/>
      </w:r>
      <w:r>
        <w:rPr>
          <w:i/>
          <w:iCs/>
        </w:rPr>
        <w:t xml:space="preserve">, </w:t>
      </w:r>
      <w:r>
        <w:t xml:space="preserve">the </w:t>
      </w:r>
      <w:r w:rsidR="007F2519">
        <w:t xml:space="preserve">Supreme Court of the United States recently held that the </w:t>
      </w:r>
      <w:r w:rsidR="00943817">
        <w:t>third</w:t>
      </w:r>
      <w:r w:rsidR="008F01EC">
        <w:t xml:space="preserve"> </w:t>
      </w:r>
      <w:r w:rsidR="00943817">
        <w:t>party</w:t>
      </w:r>
      <w:r w:rsidR="007F2519">
        <w:t xml:space="preserve"> doctrine does not apply </w:t>
      </w:r>
      <w:r w:rsidR="00943817">
        <w:t xml:space="preserve">“where the suspect has a legitimate privacy interest in records held by a third party.” 138 S. Ct. </w:t>
      </w:r>
      <w:r w:rsidR="00922EC1">
        <w:t>at</w:t>
      </w:r>
      <w:r w:rsidR="008F01EC">
        <w:t> 2222</w:t>
      </w:r>
      <w:r w:rsidR="00943817">
        <w:t xml:space="preserve">. </w:t>
      </w:r>
      <w:r w:rsidR="00205940">
        <w:t>The</w:t>
      </w:r>
      <w:r w:rsidR="00943817">
        <w:t xml:space="preserve"> </w:t>
      </w:r>
      <w:r w:rsidR="00943817">
        <w:rPr>
          <w:i/>
          <w:iCs/>
        </w:rPr>
        <w:t>Carpenter</w:t>
      </w:r>
      <w:r w:rsidR="00922EC1">
        <w:rPr>
          <w:i/>
          <w:iCs/>
        </w:rPr>
        <w:fldChar w:fldCharType="begin"/>
      </w:r>
      <w:r w:rsidR="00922EC1">
        <w:instrText xml:space="preserve"> TA \s "Carpenter" </w:instrText>
      </w:r>
      <w:r w:rsidR="00922EC1">
        <w:rPr>
          <w:i/>
          <w:iCs/>
        </w:rPr>
        <w:fldChar w:fldCharType="end"/>
      </w:r>
      <w:r w:rsidR="00943817">
        <w:t xml:space="preserve"> </w:t>
      </w:r>
      <w:r w:rsidR="00205940">
        <w:t>C</w:t>
      </w:r>
      <w:r w:rsidR="00943817">
        <w:t xml:space="preserve">ourt found that “the unique nature of cell phone location information” ultimately “provides an intimate window into a person’s life.” </w:t>
      </w:r>
      <w:r w:rsidR="00A87DEA">
        <w:rPr>
          <w:i/>
          <w:iCs/>
        </w:rPr>
        <w:t>Id.</w:t>
      </w:r>
      <w:r w:rsidR="00922EC1">
        <w:rPr>
          <w:i/>
          <w:iCs/>
        </w:rPr>
        <w:fldChar w:fldCharType="begin"/>
      </w:r>
      <w:r w:rsidR="00922EC1">
        <w:instrText xml:space="preserve"> TA \s "Carpenter" </w:instrText>
      </w:r>
      <w:r w:rsidR="00922EC1">
        <w:rPr>
          <w:i/>
          <w:iCs/>
        </w:rPr>
        <w:fldChar w:fldCharType="end"/>
      </w:r>
      <w:r w:rsidR="00943817">
        <w:t xml:space="preserve"> at</w:t>
      </w:r>
      <w:r w:rsidR="008F01EC">
        <w:t> 2220</w:t>
      </w:r>
      <w:r w:rsidR="00943817">
        <w:t xml:space="preserve">, 2217. The Court held that the historical cell site location </w:t>
      </w:r>
      <w:r w:rsidR="00BA5DA8">
        <w:t xml:space="preserve">information in cell phone records </w:t>
      </w:r>
      <w:r w:rsidR="00943817">
        <w:t xml:space="preserve">was subject to Fourth Amendment protections. </w:t>
      </w:r>
      <w:r w:rsidR="00A87DEA">
        <w:rPr>
          <w:i/>
          <w:iCs/>
        </w:rPr>
        <w:t>Id.</w:t>
      </w:r>
      <w:r w:rsidR="00922EC1">
        <w:rPr>
          <w:i/>
          <w:iCs/>
        </w:rPr>
        <w:fldChar w:fldCharType="begin"/>
      </w:r>
      <w:r w:rsidR="00922EC1">
        <w:instrText xml:space="preserve"> TA \s "Carpenter" </w:instrText>
      </w:r>
      <w:r w:rsidR="00922EC1">
        <w:rPr>
          <w:i/>
          <w:iCs/>
        </w:rPr>
        <w:fldChar w:fldCharType="end"/>
      </w:r>
      <w:r w:rsidR="00A87DEA">
        <w:rPr>
          <w:i/>
          <w:iCs/>
        </w:rPr>
        <w:t xml:space="preserve"> </w:t>
      </w:r>
      <w:r w:rsidR="00A87DEA">
        <w:t>at</w:t>
      </w:r>
      <w:r w:rsidR="008F01EC">
        <w:t> 2223</w:t>
      </w:r>
      <w:r w:rsidR="00A87DEA">
        <w:t>.</w:t>
      </w:r>
      <w:r w:rsidR="00BA5DA8">
        <w:t xml:space="preserve"> The Court differentiated this type of data from other types of data held by third parties using some specific factors. </w:t>
      </w:r>
      <w:r w:rsidR="00BA5DA8">
        <w:rPr>
          <w:rFonts w:ascii="Times New Roman" w:eastAsiaTheme="minorHAnsi" w:hAnsi="Times New Roman"/>
          <w:i/>
          <w:iCs/>
          <w:color w:val="auto"/>
          <w:kern w:val="0"/>
          <w:sz w:val="28"/>
        </w:rPr>
        <w:t>Id</w:t>
      </w:r>
      <w:r w:rsidR="00BA5DA8">
        <w:rPr>
          <w:rFonts w:ascii="Times New Roman" w:eastAsiaTheme="minorHAnsi" w:hAnsi="Times New Roman"/>
          <w:color w:val="auto"/>
          <w:kern w:val="0"/>
          <w:sz w:val="28"/>
        </w:rPr>
        <w:t>.</w:t>
      </w:r>
      <w:r w:rsidR="00922EC1">
        <w:rPr>
          <w:rFonts w:ascii="Times New Roman" w:eastAsiaTheme="minorHAnsi" w:hAnsi="Times New Roman"/>
          <w:color w:val="auto"/>
          <w:kern w:val="0"/>
          <w:sz w:val="28"/>
        </w:rPr>
        <w:fldChar w:fldCharType="begin"/>
      </w:r>
      <w:r w:rsidR="00922EC1">
        <w:instrText xml:space="preserve"> TA \s "Carpenter" </w:instrText>
      </w:r>
      <w:r w:rsidR="00922EC1">
        <w:rPr>
          <w:rFonts w:ascii="Times New Roman" w:eastAsiaTheme="minorHAnsi" w:hAnsi="Times New Roman"/>
          <w:color w:val="auto"/>
          <w:kern w:val="0"/>
          <w:sz w:val="28"/>
        </w:rPr>
        <w:fldChar w:fldCharType="end"/>
      </w:r>
      <w:r w:rsidR="00BA5DA8">
        <w:rPr>
          <w:rFonts w:ascii="Times New Roman" w:eastAsiaTheme="minorHAnsi" w:hAnsi="Times New Roman"/>
          <w:color w:val="auto"/>
          <w:kern w:val="0"/>
          <w:sz w:val="28"/>
        </w:rPr>
        <w:t xml:space="preserve"> at</w:t>
      </w:r>
      <w:r w:rsidR="008F01EC">
        <w:rPr>
          <w:rFonts w:ascii="Times New Roman" w:eastAsiaTheme="minorHAnsi" w:hAnsi="Times New Roman"/>
          <w:color w:val="auto"/>
          <w:kern w:val="0"/>
          <w:sz w:val="28"/>
        </w:rPr>
        <w:t> 2217</w:t>
      </w:r>
      <w:r w:rsidR="00BA5DA8" w:rsidRPr="000A3725">
        <w:rPr>
          <w:rFonts w:ascii="Times New Roman" w:eastAsiaTheme="minorHAnsi" w:hAnsi="Times New Roman"/>
          <w:color w:val="auto"/>
          <w:kern w:val="0"/>
          <w:sz w:val="28"/>
        </w:rPr>
        <w:t>–20, 2223.</w:t>
      </w:r>
      <w:r w:rsidR="00BA5DA8">
        <w:rPr>
          <w:rFonts w:ascii="Times New Roman" w:eastAsiaTheme="minorHAnsi" w:hAnsi="Times New Roman"/>
          <w:color w:val="auto"/>
          <w:kern w:val="0"/>
          <w:sz w:val="28"/>
        </w:rPr>
        <w:t xml:space="preserve"> </w:t>
      </w:r>
      <w:r w:rsidR="00BA5DA8">
        <w:t>Those factors clearly apply to medical records</w:t>
      </w:r>
      <w:r w:rsidR="00205940">
        <w:t xml:space="preserve"> as well</w:t>
      </w:r>
      <w:r w:rsidR="00BA5DA8">
        <w:t xml:space="preserve">. </w:t>
      </w:r>
    </w:p>
    <w:p w14:paraId="093D9A77" w14:textId="77777777" w:rsidR="00ED535A" w:rsidRDefault="00ED535A" w:rsidP="00501C36"/>
    <w:p w14:paraId="180FC80F" w14:textId="1D5BC3C6" w:rsidR="00CB5DF8" w:rsidRPr="001E6B11" w:rsidRDefault="00BA5DA8" w:rsidP="001E6B11">
      <w:pPr>
        <w:pStyle w:val="ListParagraph"/>
        <w:numPr>
          <w:ilvl w:val="0"/>
          <w:numId w:val="8"/>
        </w:numPr>
        <w:jc w:val="center"/>
        <w:rPr>
          <w:b/>
          <w:bCs/>
          <w:i/>
          <w:iCs/>
        </w:rPr>
      </w:pPr>
      <w:r w:rsidRPr="001E6B11">
        <w:rPr>
          <w:b/>
          <w:bCs/>
        </w:rPr>
        <w:lastRenderedPageBreak/>
        <w:t>Medical Records Are of a “Deeply Revealing Nature</w:t>
      </w:r>
      <w:r w:rsidR="008D6E77" w:rsidRPr="001E6B11">
        <w:rPr>
          <w:b/>
          <w:bCs/>
        </w:rPr>
        <w:t>.</w:t>
      </w:r>
      <w:r w:rsidRPr="001E6B11">
        <w:rPr>
          <w:b/>
          <w:bCs/>
        </w:rPr>
        <w:t>”</w:t>
      </w:r>
      <w:r w:rsidR="00072FA2" w:rsidRPr="001E6B11">
        <w:rPr>
          <w:b/>
          <w:bCs/>
        </w:rPr>
        <w:t xml:space="preserve"> </w:t>
      </w:r>
    </w:p>
    <w:p w14:paraId="7605832A" w14:textId="736D2252" w:rsidR="00CF0879" w:rsidRPr="00CF0879" w:rsidRDefault="00CF0879" w:rsidP="00CF0879">
      <w:r>
        <w:t xml:space="preserve">Well before </w:t>
      </w:r>
      <w:r>
        <w:rPr>
          <w:i/>
          <w:iCs/>
        </w:rPr>
        <w:t>Carpenter</w:t>
      </w:r>
      <w:r w:rsidR="00922EC1">
        <w:rPr>
          <w:i/>
          <w:iCs/>
        </w:rPr>
        <w:fldChar w:fldCharType="begin"/>
      </w:r>
      <w:r w:rsidR="00922EC1">
        <w:instrText xml:space="preserve"> TA \s "Carpenter" </w:instrText>
      </w:r>
      <w:r w:rsidR="00922EC1">
        <w:rPr>
          <w:i/>
          <w:iCs/>
        </w:rPr>
        <w:fldChar w:fldCharType="end"/>
      </w:r>
      <w:r>
        <w:t xml:space="preserve">, the United States Supreme Court </w:t>
      </w:r>
      <w:r w:rsidR="008D6E77">
        <w:t>asserted</w:t>
      </w:r>
      <w:r>
        <w:t xml:space="preserve"> there was a “reasonable expectation of privacy enjoyed by the typical patient undergoing diagnostic tests in a hospital”</w:t>
      </w:r>
      <w:r w:rsidR="008F01EC">
        <w:t>–</w:t>
      </w:r>
      <w:r>
        <w:t xml:space="preserve">“that the results of those tests will not be shared with nonmedical personnel without her consent.” </w:t>
      </w:r>
      <w:r w:rsidRPr="00CF0879">
        <w:rPr>
          <w:i/>
          <w:iCs/>
        </w:rPr>
        <w:t>Ferguson</w:t>
      </w:r>
      <w:r w:rsidR="007C7DC2">
        <w:rPr>
          <w:i/>
          <w:iCs/>
        </w:rPr>
        <w:t xml:space="preserve">, </w:t>
      </w:r>
      <w:r>
        <w:t xml:space="preserve">532 U.S. </w:t>
      </w:r>
      <w:r w:rsidR="007C7DC2">
        <w:t>at</w:t>
      </w:r>
      <w:r w:rsidR="008F01EC">
        <w:t> 78</w:t>
      </w:r>
      <w:r w:rsidR="008E6111">
        <w:fldChar w:fldCharType="begin"/>
      </w:r>
      <w:r w:rsidR="008E6111">
        <w:instrText xml:space="preserve"> TA \s "Ferguson" </w:instrText>
      </w:r>
      <w:r w:rsidR="008E6111">
        <w:fldChar w:fldCharType="end"/>
      </w:r>
      <w:r>
        <w:t xml:space="preserve">. </w:t>
      </w:r>
    </w:p>
    <w:p w14:paraId="57F9204B" w14:textId="332FEC66" w:rsidR="00C214CC" w:rsidRDefault="00501C36" w:rsidP="00C214CC">
      <w:r>
        <w:t xml:space="preserve">It is well accepted that the information in medical records is sensitive and protected. Since the late 1990s, there have been federal standards regarding privacy in medical records under the Health Insurance Portability and Accountability Act (HIPAA). </w:t>
      </w:r>
      <w:r w:rsidR="00FA54B8">
        <w:t>“</w:t>
      </w:r>
      <w:r w:rsidR="00C214CC" w:rsidRPr="00C214CC">
        <w:t>The provision of high</w:t>
      </w:r>
      <w:r w:rsidR="00C214CC">
        <w:t>-</w:t>
      </w:r>
      <w:r w:rsidR="00C214CC" w:rsidRPr="00C214CC">
        <w:t>quality</w:t>
      </w:r>
      <w:r w:rsidR="00C214CC">
        <w:t xml:space="preserve"> </w:t>
      </w:r>
      <w:r w:rsidR="00C214CC" w:rsidRPr="00C214CC">
        <w:t>health care requires th</w:t>
      </w:r>
      <w:r w:rsidR="00C214CC">
        <w:t xml:space="preserve">e </w:t>
      </w:r>
      <w:r w:rsidR="00C214CC" w:rsidRPr="00C214CC">
        <w:t>exchange of personal, often-sensitive</w:t>
      </w:r>
      <w:r w:rsidR="00C214CC">
        <w:t xml:space="preserve"> </w:t>
      </w:r>
      <w:r w:rsidR="00C214CC" w:rsidRPr="00C214CC">
        <w:t>information between an individual and</w:t>
      </w:r>
      <w:r w:rsidR="00C214CC">
        <w:t xml:space="preserve"> </w:t>
      </w:r>
      <w:r w:rsidR="00C214CC" w:rsidRPr="00C214CC">
        <w:t>a skilled practitioner. Vital to that</w:t>
      </w:r>
      <w:r w:rsidR="00C214CC">
        <w:t xml:space="preserve"> </w:t>
      </w:r>
      <w:r w:rsidR="00C214CC" w:rsidRPr="00C214CC">
        <w:t>interaction is the patient’s ability to</w:t>
      </w:r>
      <w:r w:rsidR="00C214CC">
        <w:t xml:space="preserve"> </w:t>
      </w:r>
      <w:r w:rsidR="00C214CC" w:rsidRPr="00C214CC">
        <w:t>trust that the information shared will be</w:t>
      </w:r>
      <w:r w:rsidR="00C214CC">
        <w:t xml:space="preserve"> </w:t>
      </w:r>
      <w:r w:rsidR="00C214CC" w:rsidRPr="00C214CC">
        <w:t>protected and kept confidential.</w:t>
      </w:r>
      <w:r w:rsidR="00C214CC">
        <w:t>” Standards for Privacy of Individually Identifiable Health Information, 65 Fed. Reg. 82,462, 82,463 (Dec. 28, 2000)</w:t>
      </w:r>
      <w:r w:rsidR="00922EC1">
        <w:fldChar w:fldCharType="begin"/>
      </w:r>
      <w:r w:rsidR="00922EC1">
        <w:instrText xml:space="preserve"> TA \l "</w:instrText>
      </w:r>
      <w:r w:rsidR="00922EC1" w:rsidRPr="00CF76E5">
        <w:instrText>Standards for Privacy of Individually Identifiable Health Information, 65 Fed. Reg. 82,462 (Dec. 28, 2000)</w:instrText>
      </w:r>
      <w:r w:rsidR="00922EC1">
        <w:instrText xml:space="preserve">" \s "Standards for Privacy of Individually Identifiable Health Information, 65 Fed. Reg. 82,462, 82,463 (Dec. 28, 2000)" \c 3 </w:instrText>
      </w:r>
      <w:r w:rsidR="00922EC1">
        <w:fldChar w:fldCharType="end"/>
      </w:r>
      <w:r w:rsidR="00C214CC">
        <w:t xml:space="preserve">. </w:t>
      </w:r>
      <w:r w:rsidR="00C54390">
        <w:t>The Department of Health and Human Services specifically reference</w:t>
      </w:r>
      <w:r>
        <w:t>d</w:t>
      </w:r>
      <w:r w:rsidR="00C54390">
        <w:t xml:space="preserve"> the Fourth Amendment when discussing</w:t>
      </w:r>
      <w:r w:rsidR="00C214CC">
        <w:t xml:space="preserve"> purpose of the HIPAA Privacy Rule, </w:t>
      </w:r>
      <w:r>
        <w:t>explaining</w:t>
      </w:r>
      <w:r w:rsidR="00C214CC">
        <w:t xml:space="preserve"> </w:t>
      </w:r>
    </w:p>
    <w:p w14:paraId="47C40338" w14:textId="0E1508A3" w:rsidR="00934B39" w:rsidRDefault="00C214CC" w:rsidP="00C214CC">
      <w:pPr>
        <w:spacing w:after="280" w:line="240" w:lineRule="auto"/>
        <w:ind w:left="720" w:right="720" w:firstLine="0"/>
        <w:contextualSpacing w:val="0"/>
      </w:pPr>
      <w:r w:rsidRPr="00C214CC">
        <w:t>the Fourth Amendment suggests</w:t>
      </w:r>
      <w:r>
        <w:t xml:space="preserve"> </w:t>
      </w:r>
      <w:r w:rsidRPr="00C214CC">
        <w:t>enduring values in American law that</w:t>
      </w:r>
      <w:r>
        <w:t xml:space="preserve"> </w:t>
      </w:r>
      <w:r w:rsidRPr="00C214CC">
        <w:t>relate to privacy.</w:t>
      </w:r>
      <w:r>
        <w:t xml:space="preserve"> </w:t>
      </w:r>
      <w:r w:rsidRPr="00C214CC">
        <w:t>The need for security</w:t>
      </w:r>
      <w:r>
        <w:t xml:space="preserve"> </w:t>
      </w:r>
      <w:r w:rsidRPr="00C214CC">
        <w:t>of ‘‘persons’’ is consistent with</w:t>
      </w:r>
      <w:r>
        <w:t xml:space="preserve"> </w:t>
      </w:r>
      <w:r w:rsidRPr="00C214CC">
        <w:t>obtaining patient consent before</w:t>
      </w:r>
      <w:r>
        <w:t xml:space="preserve"> </w:t>
      </w:r>
      <w:r w:rsidRPr="00C214CC">
        <w:t>performing invasive medical</w:t>
      </w:r>
      <w:r>
        <w:t xml:space="preserve"> </w:t>
      </w:r>
      <w:r w:rsidRPr="00C214CC">
        <w:t>procedures. The need for security in</w:t>
      </w:r>
      <w:r>
        <w:t xml:space="preserve"> </w:t>
      </w:r>
      <w:r w:rsidRPr="00C214CC">
        <w:t>‘‘papers and effects’’ underscores the</w:t>
      </w:r>
      <w:r>
        <w:t xml:space="preserve"> </w:t>
      </w:r>
      <w:r w:rsidRPr="00C214CC">
        <w:t>importance of protecting information</w:t>
      </w:r>
      <w:r>
        <w:t xml:space="preserve"> </w:t>
      </w:r>
      <w:r w:rsidRPr="00C214CC">
        <w:t>about the person, contained in sources</w:t>
      </w:r>
      <w:r>
        <w:t xml:space="preserve"> </w:t>
      </w:r>
      <w:r w:rsidRPr="00C214CC">
        <w:t>such as personal diaries, medical</w:t>
      </w:r>
      <w:r>
        <w:t xml:space="preserve"> </w:t>
      </w:r>
      <w:r w:rsidRPr="00C214CC">
        <w:t>records, or elsewhere</w:t>
      </w:r>
      <w:r>
        <w:t>.</w:t>
      </w:r>
    </w:p>
    <w:p w14:paraId="1417579B" w14:textId="519435EF" w:rsidR="00066670" w:rsidRDefault="00C214CC" w:rsidP="00C214CC">
      <w:pPr>
        <w:ind w:firstLine="0"/>
      </w:pPr>
      <w:r>
        <w:rPr>
          <w:i/>
          <w:iCs/>
        </w:rPr>
        <w:lastRenderedPageBreak/>
        <w:t>Id.</w:t>
      </w:r>
      <w:r w:rsidR="00922EC1">
        <w:rPr>
          <w:i/>
          <w:iCs/>
        </w:rPr>
        <w:fldChar w:fldCharType="begin"/>
      </w:r>
      <w:r w:rsidR="00922EC1">
        <w:instrText xml:space="preserve"> TA \s "Standards for Privacy of Individually Identifiable Health Information, 65 Fed. Reg. 82,462, 82,463 (Dec. 28, 2000)" </w:instrText>
      </w:r>
      <w:r w:rsidR="00922EC1">
        <w:rPr>
          <w:i/>
          <w:iCs/>
        </w:rPr>
        <w:fldChar w:fldCharType="end"/>
      </w:r>
      <w:r>
        <w:rPr>
          <w:i/>
          <w:iCs/>
        </w:rPr>
        <w:t xml:space="preserve"> </w:t>
      </w:r>
      <w:r>
        <w:t>at</w:t>
      </w:r>
      <w:r w:rsidR="008F01EC">
        <w:t> 82</w:t>
      </w:r>
      <w:r>
        <w:t xml:space="preserve">,464. </w:t>
      </w:r>
    </w:p>
    <w:p w14:paraId="412FAABD" w14:textId="5F583585" w:rsidR="008D6E77" w:rsidRDefault="00D5502C" w:rsidP="00C214CC">
      <w:pPr>
        <w:ind w:firstLine="0"/>
      </w:pPr>
      <w:r>
        <w:tab/>
        <w:t xml:space="preserve">Just as the </w:t>
      </w:r>
      <w:r>
        <w:rPr>
          <w:i/>
          <w:iCs/>
        </w:rPr>
        <w:t>Carpenter</w:t>
      </w:r>
      <w:r>
        <w:t xml:space="preserve"> Court was concerned about </w:t>
      </w:r>
      <w:r w:rsidR="007C7DC2">
        <w:t>the ability of cell phones</w:t>
      </w:r>
      <w:r>
        <w:t xml:space="preserve"> to track “nearly exactly the movements of his owner” and the invasiveness of this information, medical records contain information even more deeply private and revealing. 138 S. Ct. at</w:t>
      </w:r>
      <w:r w:rsidR="008F01EC">
        <w:t> 2218</w:t>
      </w:r>
      <w:r>
        <w:t xml:space="preserve">. </w:t>
      </w:r>
    </w:p>
    <w:p w14:paraId="3B006FF6" w14:textId="3C479116" w:rsidR="002B3306" w:rsidRPr="001E6B11" w:rsidRDefault="00501C36" w:rsidP="001E6B11">
      <w:pPr>
        <w:pStyle w:val="ListParagraph"/>
        <w:numPr>
          <w:ilvl w:val="0"/>
          <w:numId w:val="8"/>
        </w:numPr>
        <w:spacing w:after="280" w:line="240" w:lineRule="auto"/>
        <w:contextualSpacing w:val="0"/>
        <w:jc w:val="center"/>
        <w:rPr>
          <w:b/>
          <w:bCs/>
          <w:i/>
          <w:iCs/>
        </w:rPr>
      </w:pPr>
      <w:r w:rsidRPr="001E6B11">
        <w:rPr>
          <w:b/>
          <w:bCs/>
        </w:rPr>
        <w:t>Medical Records are Extensive in Their “Depth, Breadth, and</w:t>
      </w:r>
      <w:r w:rsidR="001E6B11">
        <w:rPr>
          <w:b/>
          <w:bCs/>
        </w:rPr>
        <w:t xml:space="preserve"> </w:t>
      </w:r>
      <w:r w:rsidRPr="001E6B11">
        <w:rPr>
          <w:b/>
          <w:bCs/>
        </w:rPr>
        <w:t>Comprehensive Reach</w:t>
      </w:r>
      <w:r w:rsidR="00B44801" w:rsidRPr="001E6B11">
        <w:rPr>
          <w:b/>
          <w:bCs/>
        </w:rPr>
        <w:t>,</w:t>
      </w:r>
      <w:r w:rsidRPr="001E6B11">
        <w:rPr>
          <w:b/>
          <w:bCs/>
        </w:rPr>
        <w:t>”</w:t>
      </w:r>
      <w:r w:rsidR="00D34AE7" w:rsidRPr="001E6B11">
        <w:rPr>
          <w:b/>
          <w:bCs/>
        </w:rPr>
        <w:t xml:space="preserve"> and Their Collection “Inescapable and Automatic</w:t>
      </w:r>
      <w:r w:rsidR="009F33B1">
        <w:rPr>
          <w:b/>
          <w:bCs/>
        </w:rPr>
        <w:t>.</w:t>
      </w:r>
      <w:r w:rsidR="00D34AE7" w:rsidRPr="001E6B11">
        <w:rPr>
          <w:b/>
          <w:bCs/>
        </w:rPr>
        <w:t>”</w:t>
      </w:r>
      <w:r w:rsidR="00072FA2" w:rsidRPr="009F33B1">
        <w:rPr>
          <w:rFonts w:ascii="Times New Roman" w:eastAsiaTheme="minorHAnsi" w:hAnsi="Times New Roman"/>
          <w:kern w:val="0"/>
          <w:sz w:val="28"/>
        </w:rPr>
        <w:t xml:space="preserve"> </w:t>
      </w:r>
      <w:r w:rsidR="00922EC1" w:rsidRPr="001E6B11">
        <w:rPr>
          <w:b/>
          <w:bCs/>
          <w:i/>
          <w:iCs/>
        </w:rPr>
        <w:fldChar w:fldCharType="begin"/>
      </w:r>
      <w:r w:rsidR="00922EC1">
        <w:instrText xml:space="preserve"> TA \s "Carpenter" </w:instrText>
      </w:r>
      <w:r w:rsidR="00922EC1" w:rsidRPr="001E6B11">
        <w:rPr>
          <w:b/>
          <w:bCs/>
          <w:i/>
          <w:iCs/>
        </w:rPr>
        <w:fldChar w:fldCharType="end"/>
      </w:r>
    </w:p>
    <w:p w14:paraId="431D32B8" w14:textId="12A02726" w:rsidR="00F11C47" w:rsidRDefault="00C37AC8" w:rsidP="00D34AE7">
      <w:r>
        <w:t xml:space="preserve">In the information era, the United States Supreme Court has recognized the need to update and extend its Fourth Amendment jurisprudence given the advancements and pervasive use of technology, the vast amount of sensitive data contained therein, and the reasonable expectation of privacy in the modern world. </w:t>
      </w:r>
      <w:r>
        <w:rPr>
          <w:i/>
          <w:iCs/>
        </w:rPr>
        <w:t xml:space="preserve">See, e.g., </w:t>
      </w:r>
      <w:r w:rsidR="001E6B11">
        <w:rPr>
          <w:i/>
          <w:iCs/>
        </w:rPr>
        <w:fldChar w:fldCharType="begin"/>
      </w:r>
      <w:r w:rsidR="001E6B11">
        <w:instrText xml:space="preserve"> TA \l "</w:instrText>
      </w:r>
      <w:r w:rsidR="001E6B11" w:rsidRPr="000D592A">
        <w:rPr>
          <w:i/>
          <w:iCs/>
        </w:rPr>
        <w:instrText>Riley v. California</w:instrText>
      </w:r>
      <w:r w:rsidR="001E6B11" w:rsidRPr="000D592A">
        <w:instrText xml:space="preserve">, </w:instrText>
      </w:r>
      <w:r w:rsidR="001E6B11" w:rsidRPr="000D592A">
        <w:br/>
        <w:instrText>573 U.S. 373 (2014)</w:instrText>
      </w:r>
      <w:r w:rsidR="001E6B11">
        <w:instrText xml:space="preserve">" \s "Riley" \c 1 </w:instrText>
      </w:r>
      <w:r w:rsidR="001E6B11">
        <w:rPr>
          <w:i/>
          <w:iCs/>
        </w:rPr>
        <w:fldChar w:fldCharType="end"/>
      </w:r>
      <w:r w:rsidRPr="00934B39">
        <w:rPr>
          <w:i/>
          <w:iCs/>
        </w:rPr>
        <w:t>Riley v. California</w:t>
      </w:r>
      <w:r>
        <w:t xml:space="preserve">, 573 U.S. 373 (2014) (extending the warrant requirement to searches of cell phones) and </w:t>
      </w:r>
      <w:r>
        <w:rPr>
          <w:i/>
          <w:iCs/>
        </w:rPr>
        <w:t>Carpenter</w:t>
      </w:r>
      <w:r w:rsidR="001E6B11">
        <w:rPr>
          <w:i/>
          <w:iCs/>
        </w:rPr>
        <w:fldChar w:fldCharType="begin"/>
      </w:r>
      <w:r w:rsidR="001E6B11">
        <w:instrText xml:space="preserve"> TA \s "Carpenter" </w:instrText>
      </w:r>
      <w:r w:rsidR="001E6B11">
        <w:rPr>
          <w:i/>
          <w:iCs/>
        </w:rPr>
        <w:fldChar w:fldCharType="end"/>
      </w:r>
      <w:r w:rsidR="00DC3250">
        <w:rPr>
          <w:i/>
          <w:iCs/>
        </w:rPr>
        <w:t xml:space="preserve">, </w:t>
      </w:r>
      <w:r>
        <w:t xml:space="preserve">138 S. Ct. 2206 (requiring search warrants for obtaining cell-site location information). </w:t>
      </w:r>
      <w:r w:rsidR="00F11C47">
        <w:t>If cell phone content and cell-site location information is deemed sufficiently sensitive to be subject to the protections of the Fourth Amendment, then surely the intimate information contained in medical records is a</w:t>
      </w:r>
      <w:r w:rsidR="001E555D">
        <w:t xml:space="preserve">s well. Indeed, the United States Supreme Court affirmed that was the case </w:t>
      </w:r>
      <w:r w:rsidR="00E8790B">
        <w:t xml:space="preserve">before the ubiquity of cell phones and cell-site location information in </w:t>
      </w:r>
      <w:r w:rsidR="00E8790B">
        <w:rPr>
          <w:i/>
          <w:iCs/>
        </w:rPr>
        <w:t>Ferguson</w:t>
      </w:r>
      <w:r w:rsidR="00E8790B">
        <w:t>, 532 U.S. 67.</w:t>
      </w:r>
    </w:p>
    <w:p w14:paraId="64DD9146" w14:textId="360A6704" w:rsidR="002B2C4C" w:rsidRDefault="00181127" w:rsidP="00D34AE7">
      <w:r>
        <w:t>As asserted above, the</w:t>
      </w:r>
      <w:r w:rsidR="005D7797">
        <w:t xml:space="preserve"> Supreme Court has established that</w:t>
      </w:r>
      <w:r>
        <w:t xml:space="preserve"> medical patients enjoy a reasonable expectation of privacy such that their medical </w:t>
      </w:r>
      <w:r>
        <w:lastRenderedPageBreak/>
        <w:t>information “will not be shared with nonmedical personn</w:t>
      </w:r>
      <w:r w:rsidR="00A8544C">
        <w:t>el” absent their consent.</w:t>
      </w:r>
      <w:r w:rsidR="001E6B11">
        <w:t xml:space="preserve"> </w:t>
      </w:r>
      <w:r w:rsidR="007A0F8E" w:rsidRPr="001E6B11">
        <w:rPr>
          <w:i/>
          <w:iCs/>
        </w:rPr>
        <w:t>Ferguson</w:t>
      </w:r>
      <w:r w:rsidR="00A8544C">
        <w:t>, 532 U.S. at</w:t>
      </w:r>
      <w:r w:rsidR="008F01EC">
        <w:t> 78</w:t>
      </w:r>
      <w:r w:rsidR="00A8544C">
        <w:t>.</w:t>
      </w:r>
      <w:r w:rsidR="007A0F8E">
        <w:t xml:space="preserve"> </w:t>
      </w:r>
      <w:r w:rsidR="002B2C4C">
        <w:t>The Fourth Circuit Court of Appeals</w:t>
      </w:r>
      <w:r w:rsidR="00DC3250">
        <w:t>, recognizing that medical records contain “intimate and private details that people do not wish to have disclose [and] expect to remain private,”</w:t>
      </w:r>
      <w:r w:rsidR="002B2C4C">
        <w:t xml:space="preserve"> has likewise held that individuals have a reasonable expectation of privacy in their medical records and files that is protected by the Fourth Amendment. </w:t>
      </w:r>
      <w:r w:rsidR="009431B3" w:rsidRPr="00DC3250">
        <w:rPr>
          <w:i/>
          <w:iCs/>
        </w:rPr>
        <w:t>Doe v. Broderick</w:t>
      </w:r>
      <w:r w:rsidR="009431B3" w:rsidRPr="00DC3250">
        <w:t>,</w:t>
      </w:r>
      <w:r w:rsidR="009431B3" w:rsidRPr="009431B3">
        <w:t xml:space="preserve"> 225 F.3d 440, 451 (4th Cir. 2000)</w:t>
      </w:r>
      <w:r w:rsidR="008E6111">
        <w:fldChar w:fldCharType="begin"/>
      </w:r>
      <w:r w:rsidR="008E6111">
        <w:instrText xml:space="preserve"> TA \s "Doe" </w:instrText>
      </w:r>
      <w:r w:rsidR="008E6111">
        <w:fldChar w:fldCharType="end"/>
      </w:r>
      <w:r w:rsidR="00A87CF2">
        <w:t>.</w:t>
      </w:r>
    </w:p>
    <w:p w14:paraId="3EF87B96" w14:textId="4C240063" w:rsidR="00501C36" w:rsidRDefault="00D34AE7" w:rsidP="00D34AE7">
      <w:r>
        <w:t>Medical care</w:t>
      </w:r>
      <w:r w:rsidR="00056121">
        <w:t>, like the use of a cell phone,</w:t>
      </w:r>
      <w:r>
        <w:t xml:space="preserve"> is “such a pervasive and insistent part of daily life,” one cannot simply avoid it. </w:t>
      </w:r>
      <w:r w:rsidRPr="00934B39">
        <w:rPr>
          <w:i/>
          <w:iCs/>
        </w:rPr>
        <w:t>Riley</w:t>
      </w:r>
      <w:r w:rsidR="00DC3250">
        <w:rPr>
          <w:i/>
          <w:iCs/>
        </w:rPr>
        <w:t xml:space="preserve">, </w:t>
      </w:r>
      <w:r>
        <w:t>573 U.S.</w:t>
      </w:r>
      <w:r w:rsidR="00DC3250">
        <w:t xml:space="preserve"> at</w:t>
      </w:r>
      <w:r w:rsidR="008F01EC">
        <w:t> 385</w:t>
      </w:r>
      <w:r>
        <w:t xml:space="preserve"> (2014)</w:t>
      </w:r>
      <w:r w:rsidR="001E6B11">
        <w:fldChar w:fldCharType="begin"/>
      </w:r>
      <w:r w:rsidR="001E6B11">
        <w:instrText xml:space="preserve"> TA \s "Riley" </w:instrText>
      </w:r>
      <w:r w:rsidR="001E6B11">
        <w:fldChar w:fldCharType="end"/>
      </w:r>
      <w:r>
        <w:t xml:space="preserve">. And once one accesses medical treatment, even for the most minor of afflictions, a vat of records will </w:t>
      </w:r>
      <w:r w:rsidR="00AB268E">
        <w:t>be generated</w:t>
      </w:r>
      <w:r>
        <w:t xml:space="preserve">. </w:t>
      </w:r>
    </w:p>
    <w:p w14:paraId="6059CE03" w14:textId="6CC02715" w:rsidR="00501C36" w:rsidRDefault="00B44801" w:rsidP="00501C36">
      <w:r>
        <w:t xml:space="preserve">In this case, the records of the short hospital stay of Mr. Kitchen span over 60 pages. (St. Ex. 11A). They include </w:t>
      </w:r>
      <w:r w:rsidR="006F16A6">
        <w:t xml:space="preserve">a psychological </w:t>
      </w:r>
      <w:r>
        <w:t xml:space="preserve">assessment, test results, commitment paperwork, information about Mr. Kitchen’s past diagnosis of being “bipolar,” ECG printouts, </w:t>
      </w:r>
      <w:r w:rsidR="006F16A6">
        <w:t>medications administered</w:t>
      </w:r>
      <w:r>
        <w:t xml:space="preserve">, and even what type of diet he was given while there. (St. Ex. 11A). No aspect of his </w:t>
      </w:r>
      <w:r w:rsidR="0061044E">
        <w:t>physical or mental condition</w:t>
      </w:r>
      <w:r>
        <w:t xml:space="preserve"> </w:t>
      </w:r>
      <w:r w:rsidR="0061044E">
        <w:t xml:space="preserve">considered </w:t>
      </w:r>
      <w:r>
        <w:t xml:space="preserve">over </w:t>
      </w:r>
      <w:r w:rsidR="0061044E">
        <w:t xml:space="preserve">the course of </w:t>
      </w:r>
      <w:r>
        <w:t xml:space="preserve">his stay is excluded from the records. </w:t>
      </w:r>
    </w:p>
    <w:p w14:paraId="22A848D1" w14:textId="01C8A179" w:rsidR="00D5502C" w:rsidRDefault="00D5502C" w:rsidP="00D5502C">
      <w:r>
        <w:t>Just like cell site location information, medical record</w:t>
      </w:r>
      <w:r w:rsidR="00DC3250">
        <w:t>s</w:t>
      </w:r>
      <w:r w:rsidR="00ED535A">
        <w:t>’</w:t>
      </w:r>
      <w:r>
        <w:t xml:space="preserve"> “depth, breadth, and comprehensive reach, and the inescapable and automatic nature of its collection”</w:t>
      </w:r>
      <w:r w:rsidR="00DC3250">
        <w:t xml:space="preserve"> place them in a different category from most records held by third</w:t>
      </w:r>
      <w:r w:rsidR="008F01EC">
        <w:t xml:space="preserve"> </w:t>
      </w:r>
      <w:r w:rsidR="00DC3250">
        <w:lastRenderedPageBreak/>
        <w:t xml:space="preserve">parties. </w:t>
      </w:r>
      <w:r w:rsidRPr="00DC3250">
        <w:rPr>
          <w:i/>
          <w:iCs/>
        </w:rPr>
        <w:t>Carpenter</w:t>
      </w:r>
      <w:r w:rsidR="00DC3250" w:rsidRPr="00DC3250">
        <w:rPr>
          <w:i/>
          <w:iCs/>
        </w:rPr>
        <w:t>,</w:t>
      </w:r>
      <w:r>
        <w:t xml:space="preserve"> 138 S. Ct. </w:t>
      </w:r>
      <w:r w:rsidR="00DC3250">
        <w:t>at</w:t>
      </w:r>
      <w:r w:rsidR="008F01EC">
        <w:t> 2223</w:t>
      </w:r>
      <w:r w:rsidR="00DC3250">
        <w:t>.</w:t>
      </w:r>
    </w:p>
    <w:p w14:paraId="73105482" w14:textId="7B39BB9B" w:rsidR="00B542FE" w:rsidRDefault="003A04ED" w:rsidP="00503187">
      <w:pPr>
        <w:pStyle w:val="Heading3"/>
      </w:pPr>
      <w:bookmarkStart w:id="35" w:name="_Toc81230837"/>
      <w:bookmarkStart w:id="36" w:name="_Toc81314871"/>
      <w:r>
        <w:t xml:space="preserve">Allowing the State to Obtain Medical Records </w:t>
      </w:r>
      <w:r w:rsidR="00C47476">
        <w:t xml:space="preserve">Without a Warrant </w:t>
      </w:r>
      <w:r>
        <w:t>that Exist Only Due to Forceable Medical Treatment Violates the Fourth Amendment</w:t>
      </w:r>
      <w:bookmarkEnd w:id="35"/>
      <w:r w:rsidR="00C47476">
        <w:t>.</w:t>
      </w:r>
      <w:bookmarkEnd w:id="36"/>
    </w:p>
    <w:p w14:paraId="61E0D37C" w14:textId="5D279549" w:rsidR="00CC75E8" w:rsidRDefault="00CC75E8" w:rsidP="004A4D35">
      <w:r>
        <w:t>The third</w:t>
      </w:r>
      <w:r w:rsidR="008F01EC">
        <w:t xml:space="preserve"> </w:t>
      </w:r>
      <w:r>
        <w:t>party doctrine, which would have to apply for the State to be exempted from needing a warrant for the medical records, requires that the reduction in privacy results when the person “</w:t>
      </w:r>
      <w:r w:rsidRPr="00CC75E8">
        <w:rPr>
          <w:i/>
          <w:iCs/>
        </w:rPr>
        <w:t>voluntarily</w:t>
      </w:r>
      <w:r>
        <w:t xml:space="preserve"> turns [information] over to third parties.” </w:t>
      </w:r>
      <w:r w:rsidRPr="002B576B">
        <w:rPr>
          <w:i/>
          <w:iCs/>
        </w:rPr>
        <w:t>Smith</w:t>
      </w:r>
      <w:r w:rsidR="001822FD">
        <w:rPr>
          <w:i/>
          <w:iCs/>
        </w:rPr>
        <w:fldChar w:fldCharType="begin"/>
      </w:r>
      <w:r w:rsidR="001822FD">
        <w:instrText xml:space="preserve"> TA \s "Smith v. Maryland" </w:instrText>
      </w:r>
      <w:r w:rsidR="001822FD">
        <w:rPr>
          <w:i/>
          <w:iCs/>
        </w:rPr>
        <w:fldChar w:fldCharType="end"/>
      </w:r>
      <w:r>
        <w:t xml:space="preserve">, 442 U.S. </w:t>
      </w:r>
      <w:r w:rsidR="001822FD">
        <w:t>at</w:t>
      </w:r>
      <w:r w:rsidR="008F01EC">
        <w:t> 743</w:t>
      </w:r>
      <w:r>
        <w:t xml:space="preserve">–44 (emphasis added). </w:t>
      </w:r>
    </w:p>
    <w:p w14:paraId="6411E1ED" w14:textId="78010329" w:rsidR="00CC75E8" w:rsidRPr="00DA61C8" w:rsidRDefault="00CC75E8" w:rsidP="004A4D35">
      <w:r>
        <w:t xml:space="preserve">In this case, nothing was provided to the third party voluntarily. Mr. Kitchen was arrested, taken in handcuffs to the hospital, where he did not sign a consent form and was treated pursuant to an </w:t>
      </w:r>
      <w:r>
        <w:rPr>
          <w:i/>
          <w:iCs/>
        </w:rPr>
        <w:t>involuntary</w:t>
      </w:r>
      <w:r>
        <w:t xml:space="preserve"> commitment order. </w:t>
      </w:r>
      <w:r w:rsidR="00DA61C8">
        <w:t xml:space="preserve">The reasoning and holdings of </w:t>
      </w:r>
      <w:r w:rsidR="00DA61C8">
        <w:rPr>
          <w:i/>
          <w:iCs/>
        </w:rPr>
        <w:t xml:space="preserve">Ferguson </w:t>
      </w:r>
      <w:r w:rsidR="00DA61C8">
        <w:t xml:space="preserve">and </w:t>
      </w:r>
      <w:r w:rsidR="00DA61C8">
        <w:rPr>
          <w:i/>
          <w:iCs/>
        </w:rPr>
        <w:t>Roe</w:t>
      </w:r>
      <w:r w:rsidR="00DA61C8">
        <w:t xml:space="preserve"> logically extend to this case: sensitive medical information and files obtained through non-consensual means and turned over to law enforcement without a warrant violates the letter and spirit of the Fourth Amendment.</w:t>
      </w:r>
    </w:p>
    <w:p w14:paraId="549FED55" w14:textId="1856AF29" w:rsidR="008544EA" w:rsidRPr="00493EF9" w:rsidRDefault="008544EA" w:rsidP="008544EA">
      <w:pPr>
        <w:pStyle w:val="Heading3"/>
      </w:pPr>
      <w:bookmarkStart w:id="37" w:name="_Toc81230838"/>
      <w:bookmarkStart w:id="38" w:name="_Toc81314872"/>
      <w:r w:rsidRPr="00493EF9">
        <w:t xml:space="preserve">Allowing the State to Obtain </w:t>
      </w:r>
      <w:r w:rsidR="001D489D" w:rsidRPr="00493EF9">
        <w:t>Medical</w:t>
      </w:r>
      <w:r w:rsidRPr="00493EF9">
        <w:t xml:space="preserve"> Records Without a Warrant Provides a Work Around to </w:t>
      </w:r>
      <w:r w:rsidRPr="00493EF9">
        <w:rPr>
          <w:i/>
          <w:iCs/>
        </w:rPr>
        <w:t xml:space="preserve">Missouri </w:t>
      </w:r>
      <w:r w:rsidR="007C7AE5" w:rsidRPr="00493EF9">
        <w:rPr>
          <w:i/>
          <w:iCs/>
        </w:rPr>
        <w:t>v</w:t>
      </w:r>
      <w:r w:rsidRPr="00493EF9">
        <w:rPr>
          <w:i/>
          <w:iCs/>
        </w:rPr>
        <w:t>. McNeely</w:t>
      </w:r>
      <w:r w:rsidRPr="00493EF9">
        <w:t>, 569 U.S. 141 (2013)</w:t>
      </w:r>
      <w:r w:rsidR="001822FD">
        <w:fldChar w:fldCharType="begin"/>
      </w:r>
      <w:r w:rsidR="001822FD">
        <w:instrText xml:space="preserve"> TA \l "</w:instrText>
      </w:r>
      <w:r w:rsidR="001822FD" w:rsidRPr="002563D4">
        <w:rPr>
          <w:i/>
          <w:iCs/>
        </w:rPr>
        <w:instrText>Missouri v. McNeely</w:instrText>
      </w:r>
      <w:r w:rsidR="001822FD" w:rsidRPr="002563D4">
        <w:instrText xml:space="preserve">, </w:instrText>
      </w:r>
      <w:r w:rsidR="001822FD" w:rsidRPr="002563D4">
        <w:br/>
        <w:instrText>569 U.S. 141 (2013)</w:instrText>
      </w:r>
      <w:r w:rsidR="001822FD">
        <w:instrText xml:space="preserve">" \s "McNeely" \c 1 </w:instrText>
      </w:r>
      <w:r w:rsidR="001822FD">
        <w:fldChar w:fldCharType="end"/>
      </w:r>
      <w:r w:rsidR="00493EF9" w:rsidRPr="00493EF9">
        <w:t xml:space="preserve"> and </w:t>
      </w:r>
      <w:r w:rsidR="00493EF9" w:rsidRPr="00493EF9">
        <w:rPr>
          <w:i/>
          <w:iCs/>
        </w:rPr>
        <w:t>State v. Romano</w:t>
      </w:r>
      <w:r w:rsidR="00493EF9" w:rsidRPr="00493EF9">
        <w:t>, 369 N.C. 678, 800 S.E.2d 644 (2017)</w:t>
      </w:r>
      <w:r w:rsidR="001822FD">
        <w:fldChar w:fldCharType="begin"/>
      </w:r>
      <w:r w:rsidR="001822FD">
        <w:instrText xml:space="preserve"> TA \l "</w:instrText>
      </w:r>
      <w:r w:rsidR="001822FD" w:rsidRPr="005C7519">
        <w:rPr>
          <w:i/>
          <w:iCs/>
        </w:rPr>
        <w:instrText>State v. Romano</w:instrText>
      </w:r>
      <w:r w:rsidR="001822FD" w:rsidRPr="005C7519">
        <w:instrText xml:space="preserve">, </w:instrText>
      </w:r>
      <w:r w:rsidR="001822FD" w:rsidRPr="005C7519">
        <w:br/>
        <w:instrText>369 N.C. 678, 800 S.E.2d 644 (2017)</w:instrText>
      </w:r>
      <w:r w:rsidR="001822FD">
        <w:instrText xml:space="preserve">" \s "Romano" \c 1 </w:instrText>
      </w:r>
      <w:r w:rsidR="001822FD">
        <w:fldChar w:fldCharType="end"/>
      </w:r>
      <w:r w:rsidRPr="00493EF9">
        <w:t>.</w:t>
      </w:r>
      <w:bookmarkEnd w:id="37"/>
      <w:bookmarkEnd w:id="38"/>
    </w:p>
    <w:p w14:paraId="5A2ADD8F" w14:textId="464F470B" w:rsidR="008544EA" w:rsidRDefault="000E4172" w:rsidP="009B28F1">
      <w:r>
        <w:t xml:space="preserve">In </w:t>
      </w:r>
      <w:r>
        <w:rPr>
          <w:i/>
          <w:iCs/>
        </w:rPr>
        <w:t>McNeely</w:t>
      </w:r>
      <w:r w:rsidR="001822FD">
        <w:rPr>
          <w:i/>
          <w:iCs/>
        </w:rPr>
        <w:fldChar w:fldCharType="begin"/>
      </w:r>
      <w:r w:rsidR="001822FD">
        <w:instrText xml:space="preserve"> TA \s "McNeely" </w:instrText>
      </w:r>
      <w:r w:rsidR="001822FD">
        <w:rPr>
          <w:i/>
          <w:iCs/>
        </w:rPr>
        <w:fldChar w:fldCharType="end"/>
      </w:r>
      <w:r>
        <w:rPr>
          <w:i/>
          <w:iCs/>
        </w:rPr>
        <w:t xml:space="preserve">, </w:t>
      </w:r>
      <w:r>
        <w:t xml:space="preserve">the Supreme Court of the United States held that the dissipating nature of alcohol in the blood stream does not create a </w:t>
      </w:r>
      <w:r w:rsidRPr="001E6B11">
        <w:rPr>
          <w:i/>
          <w:iCs/>
        </w:rPr>
        <w:t>per se</w:t>
      </w:r>
      <w:r>
        <w:t xml:space="preserve"> exigency exception to the warrant requirement. </w:t>
      </w:r>
      <w:r w:rsidRPr="000E4172">
        <w:t>569 U.S. 141</w:t>
      </w:r>
      <w:r>
        <w:t xml:space="preserve">. </w:t>
      </w:r>
      <w:r w:rsidR="001D489D">
        <w:t xml:space="preserve">In </w:t>
      </w:r>
      <w:r w:rsidR="001D489D">
        <w:rPr>
          <w:i/>
          <w:iCs/>
        </w:rPr>
        <w:t>State v.</w:t>
      </w:r>
      <w:r w:rsidR="001822FD">
        <w:rPr>
          <w:i/>
          <w:iCs/>
        </w:rPr>
        <w:fldChar w:fldCharType="begin"/>
      </w:r>
      <w:r w:rsidR="001822FD">
        <w:instrText xml:space="preserve"> TA \s "Romano" </w:instrText>
      </w:r>
      <w:r w:rsidR="001822FD">
        <w:rPr>
          <w:i/>
          <w:iCs/>
        </w:rPr>
        <w:fldChar w:fldCharType="end"/>
      </w:r>
      <w:r w:rsidR="001D489D">
        <w:rPr>
          <w:i/>
          <w:iCs/>
        </w:rPr>
        <w:t xml:space="preserve"> Romano, </w:t>
      </w:r>
      <w:r w:rsidR="001D489D">
        <w:t xml:space="preserve">our Supreme Court applied </w:t>
      </w:r>
      <w:r w:rsidR="001D489D">
        <w:rPr>
          <w:i/>
          <w:iCs/>
        </w:rPr>
        <w:t>McNeely</w:t>
      </w:r>
      <w:r w:rsidR="001822FD">
        <w:rPr>
          <w:i/>
          <w:iCs/>
        </w:rPr>
        <w:fldChar w:fldCharType="begin"/>
      </w:r>
      <w:r w:rsidR="001822FD">
        <w:instrText xml:space="preserve"> TA \s "McNeely" </w:instrText>
      </w:r>
      <w:r w:rsidR="001822FD">
        <w:rPr>
          <w:i/>
          <w:iCs/>
        </w:rPr>
        <w:fldChar w:fldCharType="end"/>
      </w:r>
      <w:r w:rsidR="001D489D">
        <w:t xml:space="preserve"> to N.C.G.S. §</w:t>
      </w:r>
      <w:r w:rsidR="008F01EC">
        <w:t> 20</w:t>
      </w:r>
      <w:r w:rsidR="001D489D">
        <w:t>-16.2(b)</w:t>
      </w:r>
      <w:r w:rsidR="001822FD">
        <w:fldChar w:fldCharType="begin"/>
      </w:r>
      <w:r w:rsidR="001822FD">
        <w:instrText xml:space="preserve"> TA \l "</w:instrText>
      </w:r>
      <w:r w:rsidR="001822FD" w:rsidRPr="004402F1">
        <w:instrText>N.C.G.S. §</w:instrText>
      </w:r>
      <w:r w:rsidR="008F01EC">
        <w:instrText> 20</w:instrText>
      </w:r>
      <w:r w:rsidR="001822FD" w:rsidRPr="004402F1">
        <w:instrText>-16.2</w:instrText>
      </w:r>
      <w:r w:rsidR="001822FD">
        <w:instrText>" \s "N.C.G.S. §</w:instrText>
      </w:r>
      <w:r w:rsidR="008F01EC">
        <w:instrText> 20</w:instrText>
      </w:r>
      <w:r w:rsidR="001822FD">
        <w:instrText xml:space="preserve">-16.2" \c 2 </w:instrText>
      </w:r>
      <w:r w:rsidR="001822FD">
        <w:fldChar w:fldCharType="end"/>
      </w:r>
      <w:r w:rsidR="001D489D">
        <w:t xml:space="preserve">, which statutorily authorizes law enforcement to obtain a blood draw from an </w:t>
      </w:r>
      <w:r w:rsidR="001D489D">
        <w:lastRenderedPageBreak/>
        <w:t xml:space="preserve">unconscious person if there is reasonable suspicion to believe the person has committed an implied-consent offense. 369 N.C. </w:t>
      </w:r>
      <w:r w:rsidR="00493EF9">
        <w:t>at</w:t>
      </w:r>
      <w:r w:rsidR="008F01EC">
        <w:t> 682</w:t>
      </w:r>
      <w:r w:rsidR="001D489D">
        <w:t xml:space="preserve">, 800 S.E.2d </w:t>
      </w:r>
      <w:r w:rsidR="00493EF9">
        <w:t>at</w:t>
      </w:r>
      <w:r w:rsidR="008F01EC">
        <w:t> 647</w:t>
      </w:r>
      <w:r w:rsidR="00493EF9">
        <w:t xml:space="preserve">. </w:t>
      </w:r>
      <w:r w:rsidR="001D489D">
        <w:t xml:space="preserve">The </w:t>
      </w:r>
      <w:r w:rsidR="001D489D">
        <w:rPr>
          <w:i/>
          <w:iCs/>
        </w:rPr>
        <w:t>Romano</w:t>
      </w:r>
      <w:r w:rsidR="001822FD">
        <w:rPr>
          <w:i/>
          <w:iCs/>
        </w:rPr>
        <w:fldChar w:fldCharType="begin"/>
      </w:r>
      <w:r w:rsidR="001822FD">
        <w:instrText xml:space="preserve"> TA \s "Romano" </w:instrText>
      </w:r>
      <w:r w:rsidR="001822FD">
        <w:rPr>
          <w:i/>
          <w:iCs/>
        </w:rPr>
        <w:fldChar w:fldCharType="end"/>
      </w:r>
      <w:r w:rsidR="001D489D">
        <w:rPr>
          <w:i/>
          <w:iCs/>
        </w:rPr>
        <w:t xml:space="preserve"> </w:t>
      </w:r>
      <w:r w:rsidR="007C7DC2">
        <w:t>C</w:t>
      </w:r>
      <w:r w:rsidR="001D489D">
        <w:t xml:space="preserve">ourt found this was a </w:t>
      </w:r>
      <w:r w:rsidR="009B28F1" w:rsidRPr="009B28F1">
        <w:t xml:space="preserve">“per se categorical exception to the warrant requirement” and therefore, unconstitutional. </w:t>
      </w:r>
      <w:r w:rsidR="009B28F1">
        <w:t>369 N.C. at</w:t>
      </w:r>
      <w:r w:rsidR="008F01EC">
        <w:t> 691</w:t>
      </w:r>
      <w:r w:rsidR="009B28F1">
        <w:t>, 800 S.E.2d at</w:t>
      </w:r>
      <w:r w:rsidR="008F01EC">
        <w:t> 652</w:t>
      </w:r>
      <w:r w:rsidR="009B28F1">
        <w:t xml:space="preserve">. </w:t>
      </w:r>
      <w:r w:rsidR="00493EF9">
        <w:t>Ultimately</w:t>
      </w:r>
      <w:r w:rsidR="009B28F1">
        <w:t xml:space="preserve">, the </w:t>
      </w:r>
      <w:r w:rsidR="009B28F1">
        <w:rPr>
          <w:i/>
          <w:iCs/>
        </w:rPr>
        <w:t>Romano</w:t>
      </w:r>
      <w:r w:rsidR="001822FD">
        <w:rPr>
          <w:i/>
          <w:iCs/>
        </w:rPr>
        <w:fldChar w:fldCharType="begin"/>
      </w:r>
      <w:r w:rsidR="001822FD">
        <w:instrText xml:space="preserve"> TA \s "Romano" </w:instrText>
      </w:r>
      <w:r w:rsidR="001822FD">
        <w:rPr>
          <w:i/>
          <w:iCs/>
        </w:rPr>
        <w:fldChar w:fldCharType="end"/>
      </w:r>
      <w:r w:rsidR="009B28F1">
        <w:rPr>
          <w:i/>
          <w:iCs/>
        </w:rPr>
        <w:t xml:space="preserve"> </w:t>
      </w:r>
      <w:r w:rsidR="007C7DC2">
        <w:t>C</w:t>
      </w:r>
      <w:r w:rsidR="009B28F1">
        <w:t>ourt held that “blood draws may only be performed after either obtaining a warrant, obtaining valid consent from the defendant, or under exigent circumstances with probable cause.” 369 N.C. at</w:t>
      </w:r>
      <w:r w:rsidR="008F01EC">
        <w:t> 692</w:t>
      </w:r>
      <w:r w:rsidR="009B28F1">
        <w:t>, 800 S.E.2d at</w:t>
      </w:r>
      <w:r w:rsidR="008F01EC">
        <w:t> 653</w:t>
      </w:r>
      <w:r w:rsidR="009B28F1">
        <w:t xml:space="preserve">. </w:t>
      </w:r>
    </w:p>
    <w:p w14:paraId="56980A1C" w14:textId="3816BC3F" w:rsidR="00493EF9" w:rsidRDefault="00493EF9" w:rsidP="00493EF9">
      <w:r>
        <w:t xml:space="preserve">The Supreme Court of the United States has recognized that a blood draw implicates privacy concerns, as blood draws are intrusive and provide data beyond just alcohol content. </w:t>
      </w:r>
      <w:r w:rsidRPr="00493EF9">
        <w:rPr>
          <w:i/>
          <w:iCs/>
        </w:rPr>
        <w:t>Birchfield v. North Dakota</w:t>
      </w:r>
      <w:r>
        <w:t>, 136 S. Ct. 2160, 2178 (2016)</w:t>
      </w:r>
      <w:r w:rsidR="001822FD">
        <w:fldChar w:fldCharType="begin"/>
      </w:r>
      <w:r w:rsidR="001822FD">
        <w:instrText xml:space="preserve"> TA \l "</w:instrText>
      </w:r>
      <w:r w:rsidR="001822FD" w:rsidRPr="00C57ED6">
        <w:rPr>
          <w:i/>
          <w:iCs/>
        </w:rPr>
        <w:instrText>Birchfield v. North Dakota</w:instrText>
      </w:r>
      <w:r w:rsidR="001822FD" w:rsidRPr="00C57ED6">
        <w:instrText xml:space="preserve">, </w:instrText>
      </w:r>
      <w:r w:rsidR="001822FD" w:rsidRPr="00C57ED6">
        <w:br/>
        <w:instrText>136 S. Ct. 2160 (2016)</w:instrText>
      </w:r>
      <w:r w:rsidR="001822FD">
        <w:instrText xml:space="preserve">" \s "Birchfield" \c 1 </w:instrText>
      </w:r>
      <w:r w:rsidR="001822FD">
        <w:fldChar w:fldCharType="end"/>
      </w:r>
      <w:r>
        <w:t xml:space="preserve">. If officers are aware they can get not just an alcohol </w:t>
      </w:r>
      <w:r w:rsidR="00AF492E">
        <w:t>level</w:t>
      </w:r>
      <w:r>
        <w:t>, but also other medical information, testing information, admissions of a defendant, and other information that may be inculpatory from hospital records on the minimal standards and efforts required by N.C.G.S. §</w:t>
      </w:r>
      <w:r w:rsidR="008F01EC">
        <w:t> 8</w:t>
      </w:r>
      <w:r>
        <w:t>-53</w:t>
      </w:r>
      <w:r w:rsidR="00221861">
        <w:fldChar w:fldCharType="begin"/>
      </w:r>
      <w:r w:rsidR="00221861">
        <w:instrText xml:space="preserve"> TA \s "N.C.G.S. §</w:instrText>
      </w:r>
      <w:r w:rsidR="008F01EC">
        <w:instrText> 8</w:instrText>
      </w:r>
      <w:r w:rsidR="00221861">
        <w:instrText xml:space="preserve">-53" </w:instrText>
      </w:r>
      <w:r w:rsidR="00221861">
        <w:fldChar w:fldCharType="end"/>
      </w:r>
      <w:r>
        <w:t xml:space="preserve">, what do these cases actually protect? By using hospital treatment, in this case forceable hospital treatment, the State can collect </w:t>
      </w:r>
      <w:r w:rsidR="00AF492E" w:rsidRPr="00AF492E">
        <w:rPr>
          <w:u w:val="single"/>
        </w:rPr>
        <w:t>far more</w:t>
      </w:r>
      <w:r>
        <w:t xml:space="preserve"> information and data than a search warrant for blood would ever give them</w:t>
      </w:r>
      <w:r w:rsidR="004E0EB6">
        <w:t>, on a low</w:t>
      </w:r>
      <w:r w:rsidR="00AF492E">
        <w:t>er</w:t>
      </w:r>
      <w:r w:rsidR="004E0EB6">
        <w:t xml:space="preserve"> standard. Law enforcement could just start taking people to the hospital, committing them when necessary, and later filing these motions for the </w:t>
      </w:r>
      <w:r w:rsidR="00B466ED">
        <w:t xml:space="preserve">medical </w:t>
      </w:r>
      <w:r w:rsidR="004E0EB6">
        <w:t xml:space="preserve">records. </w:t>
      </w:r>
    </w:p>
    <w:p w14:paraId="7372A3BA" w14:textId="1F86E77A" w:rsidR="004E0EB6" w:rsidRPr="009B28F1" w:rsidRDefault="004E0EB6" w:rsidP="00493EF9">
      <w:r>
        <w:t xml:space="preserve">In order to </w:t>
      </w:r>
      <w:r w:rsidR="00B06389">
        <w:t xml:space="preserve">safeguard </w:t>
      </w:r>
      <w:r>
        <w:t xml:space="preserve">the privacy interests these cases seek to protect, </w:t>
      </w:r>
      <w:r w:rsidR="00B06389">
        <w:lastRenderedPageBreak/>
        <w:t xml:space="preserve">the State should not be permitted to utilize </w:t>
      </w:r>
      <w:r>
        <w:t>N.C.G.S. §</w:t>
      </w:r>
      <w:r w:rsidR="008F01EC">
        <w:t> 8</w:t>
      </w:r>
      <w:r>
        <w:t>-53</w:t>
      </w:r>
      <w:r w:rsidR="001822FD">
        <w:fldChar w:fldCharType="begin"/>
      </w:r>
      <w:r w:rsidR="001822FD">
        <w:instrText xml:space="preserve"> TA \s "N.C.G.S. §</w:instrText>
      </w:r>
      <w:r w:rsidR="008F01EC">
        <w:instrText> 8</w:instrText>
      </w:r>
      <w:r w:rsidR="001822FD">
        <w:instrText xml:space="preserve">-53" </w:instrText>
      </w:r>
      <w:r w:rsidR="001822FD">
        <w:fldChar w:fldCharType="end"/>
      </w:r>
      <w:r>
        <w:t xml:space="preserve"> </w:t>
      </w:r>
      <w:r w:rsidR="00AF492E">
        <w:t>to obtain medical records</w:t>
      </w:r>
      <w:r w:rsidR="00B06389">
        <w:t xml:space="preserve"> for prosecutorial purposes absent a warrant</w:t>
      </w:r>
      <w:r>
        <w:t xml:space="preserve">. </w:t>
      </w:r>
    </w:p>
    <w:p w14:paraId="5486E19B" w14:textId="5EF75381" w:rsidR="00B542FE" w:rsidRDefault="004A4D35" w:rsidP="00503187">
      <w:pPr>
        <w:pStyle w:val="Heading3"/>
      </w:pPr>
      <w:bookmarkStart w:id="39" w:name="_Toc81230839"/>
      <w:bookmarkStart w:id="40" w:name="_Toc81314873"/>
      <w:r>
        <w:t>The Order in This Case Was Not a Search Warrant</w:t>
      </w:r>
      <w:bookmarkEnd w:id="39"/>
      <w:bookmarkEnd w:id="40"/>
    </w:p>
    <w:p w14:paraId="511A26C0" w14:textId="5B4088F0" w:rsidR="008544EA" w:rsidRPr="008544EA" w:rsidRDefault="004A4D35" w:rsidP="008544EA">
      <w:r>
        <w:t xml:space="preserve">The </w:t>
      </w:r>
      <w:r w:rsidR="000648F0">
        <w:t>S</w:t>
      </w:r>
      <w:r>
        <w:t>tate could have sought a search warrant for Mr. Kitchen’s medical records</w:t>
      </w:r>
      <w:r w:rsidR="000648F0">
        <w:t>. I</w:t>
      </w:r>
      <w:r>
        <w:t>nstead, the district attorney sought an order under N.C.G.S. §</w:t>
      </w:r>
      <w:r w:rsidR="008F01EC">
        <w:t> 8</w:t>
      </w:r>
      <w:r>
        <w:t>-53</w:t>
      </w:r>
      <w:r w:rsidR="001822FD">
        <w:fldChar w:fldCharType="begin"/>
      </w:r>
      <w:r w:rsidR="001822FD">
        <w:instrText xml:space="preserve"> TA \s "N.C.G.S. §</w:instrText>
      </w:r>
      <w:r w:rsidR="008F01EC">
        <w:instrText> 8</w:instrText>
      </w:r>
      <w:r w:rsidR="001822FD">
        <w:instrText xml:space="preserve">-53" </w:instrText>
      </w:r>
      <w:r w:rsidR="001822FD">
        <w:fldChar w:fldCharType="end"/>
      </w:r>
      <w:r>
        <w:t xml:space="preserve"> for “records . . . . related to treatment on May1, 2017 through May 2, 2017.” (R p 18). This is not a search warrant. An application for a search warrant must be made “upon oath or affirmation.” N.C.G.S. §</w:t>
      </w:r>
      <w:r w:rsidR="008F01EC">
        <w:t> 15</w:t>
      </w:r>
      <w:r>
        <w:t>A-244</w:t>
      </w:r>
      <w:r w:rsidR="001822FD">
        <w:fldChar w:fldCharType="begin"/>
      </w:r>
      <w:r w:rsidR="001822FD">
        <w:instrText xml:space="preserve"> TA \l "</w:instrText>
      </w:r>
      <w:r w:rsidR="001822FD" w:rsidRPr="00B06E9A">
        <w:instrText>N.C.G.S. §</w:instrText>
      </w:r>
      <w:r w:rsidR="008F01EC">
        <w:instrText> 15</w:instrText>
      </w:r>
      <w:r w:rsidR="001822FD" w:rsidRPr="00B06E9A">
        <w:instrText>A-244</w:instrText>
      </w:r>
      <w:r w:rsidR="001822FD">
        <w:instrText>" \s "N.C.G.S. §</w:instrText>
      </w:r>
      <w:r w:rsidR="008F01EC">
        <w:instrText> 15</w:instrText>
      </w:r>
      <w:r w:rsidR="001822FD">
        <w:instrText xml:space="preserve">A-244" \c 2 </w:instrText>
      </w:r>
      <w:r w:rsidR="001822FD">
        <w:fldChar w:fldCharType="end"/>
      </w:r>
      <w:r>
        <w:t>; N.C. Const. art. I, §</w:t>
      </w:r>
      <w:r w:rsidR="008F01EC">
        <w:t> 20</w:t>
      </w:r>
      <w:r w:rsidR="001822FD">
        <w:fldChar w:fldCharType="begin"/>
      </w:r>
      <w:r w:rsidR="001822FD">
        <w:instrText xml:space="preserve"> TA \s "N.C. Const. art. I, §</w:instrText>
      </w:r>
      <w:r w:rsidR="008F01EC">
        <w:instrText> 20</w:instrText>
      </w:r>
      <w:r w:rsidR="001822FD">
        <w:instrText xml:space="preserve">" </w:instrText>
      </w:r>
      <w:r w:rsidR="001822FD">
        <w:fldChar w:fldCharType="end"/>
      </w:r>
      <w:r>
        <w:t>; U.S. Const. amend IV</w:t>
      </w:r>
      <w:r w:rsidR="001822FD">
        <w:fldChar w:fldCharType="begin"/>
      </w:r>
      <w:r w:rsidR="001822FD">
        <w:instrText xml:space="preserve"> TA \s "U.S. Const. amend. IV." </w:instrText>
      </w:r>
      <w:r w:rsidR="001822FD">
        <w:fldChar w:fldCharType="end"/>
      </w:r>
      <w:r>
        <w:t>. Neither the motion nor the order disclos</w:t>
      </w:r>
      <w:r w:rsidR="00AF492E">
        <w:t>ed</w:t>
      </w:r>
      <w:r>
        <w:t xml:space="preserve"> any sworn facts upon which the judge could exercise the independent judicial function required by</w:t>
      </w:r>
      <w:r w:rsidR="006D7AC9">
        <w:t xml:space="preserve"> law</w:t>
      </w:r>
      <w:r>
        <w:t xml:space="preserve">. The motion did not include an affidavit, was not sworn, and there is no evidence that anyone appeared under oath before the judge as required by </w:t>
      </w:r>
      <w:r w:rsidRPr="004A4D35">
        <w:rPr>
          <w:i/>
          <w:iCs/>
        </w:rPr>
        <w:t>In Re Superior Court Order</w:t>
      </w:r>
      <w:r>
        <w:t>, 315 N.C. 378, 338 S.E.2d 307 (1986)</w:t>
      </w:r>
      <w:r w:rsidR="001822FD">
        <w:fldChar w:fldCharType="begin"/>
      </w:r>
      <w:r w:rsidR="001822FD">
        <w:instrText xml:space="preserve"> TA \l "</w:instrText>
      </w:r>
      <w:r w:rsidR="001822FD" w:rsidRPr="000B494A">
        <w:rPr>
          <w:i/>
          <w:iCs/>
        </w:rPr>
        <w:instrText>In Re Superior Court Order</w:instrText>
      </w:r>
      <w:r w:rsidR="001822FD" w:rsidRPr="000B494A">
        <w:instrText xml:space="preserve">, </w:instrText>
      </w:r>
      <w:r w:rsidR="001822FD" w:rsidRPr="000B494A">
        <w:br/>
        <w:instrText>315 N.C. 378, 338 S.E.2d 307 (1986)</w:instrText>
      </w:r>
      <w:r w:rsidR="001822FD">
        <w:instrText xml:space="preserve">" \s "In Re Superior Court Order" \c 1 </w:instrText>
      </w:r>
      <w:r w:rsidR="001822FD">
        <w:fldChar w:fldCharType="end"/>
      </w:r>
      <w:r>
        <w:t xml:space="preserve">. The motion refers to information coming from “officers” without ever naming them. (R pp 15-16). </w:t>
      </w:r>
    </w:p>
    <w:p w14:paraId="5589E42E" w14:textId="13FE5ED3" w:rsidR="00D33A37" w:rsidRDefault="00392F5B" w:rsidP="00503187">
      <w:pPr>
        <w:pStyle w:val="Heading3"/>
      </w:pPr>
      <w:bookmarkStart w:id="41" w:name="_Toc81230840"/>
      <w:bookmarkStart w:id="42" w:name="_Toc81314874"/>
      <w:r>
        <w:t>The “Good Faith” Exception Does Not Apply</w:t>
      </w:r>
      <w:bookmarkEnd w:id="41"/>
      <w:bookmarkEnd w:id="42"/>
    </w:p>
    <w:p w14:paraId="544F486B" w14:textId="1D59EE95" w:rsidR="005536D5" w:rsidRDefault="00823A15" w:rsidP="00AF3F38">
      <w:r>
        <w:t xml:space="preserve">“The preservation of the right to be protected from unreasonable search and seizure guaranteed by our state constitution demands that the courts of this state not condone violations thereof by admitting the fruits of illegal searches into evidence.” </w:t>
      </w:r>
      <w:r w:rsidRPr="00823A15">
        <w:rPr>
          <w:i/>
          <w:iCs/>
        </w:rPr>
        <w:t>State v. Carter</w:t>
      </w:r>
      <w:r>
        <w:t>, 322 N.C. 709, 719, 370 S.E.2d 553, 559 (1988)</w:t>
      </w:r>
      <w:r w:rsidR="001822FD">
        <w:fldChar w:fldCharType="begin"/>
      </w:r>
      <w:r w:rsidR="001822FD">
        <w:instrText xml:space="preserve"> TA \l "</w:instrText>
      </w:r>
      <w:r w:rsidR="001822FD" w:rsidRPr="00E80C7E">
        <w:rPr>
          <w:i/>
          <w:iCs/>
        </w:rPr>
        <w:instrText>State v. Carter</w:instrText>
      </w:r>
      <w:r w:rsidR="001822FD" w:rsidRPr="00E80C7E">
        <w:instrText xml:space="preserve">, </w:instrText>
      </w:r>
      <w:r w:rsidR="001822FD" w:rsidRPr="00E80C7E">
        <w:br/>
        <w:instrText>322 N.C. 709, 370 S.E.2d 553 (1988)</w:instrText>
      </w:r>
      <w:r w:rsidR="001822FD">
        <w:instrText xml:space="preserve">" \s "Carter" \c 1 </w:instrText>
      </w:r>
      <w:r w:rsidR="001822FD">
        <w:fldChar w:fldCharType="end"/>
      </w:r>
      <w:r>
        <w:t xml:space="preserve">. </w:t>
      </w:r>
      <w:r w:rsidR="003F1AB3">
        <w:t xml:space="preserve">Since our Supreme Court found the federal good faith exception does </w:t>
      </w:r>
      <w:r w:rsidR="003F1AB3">
        <w:lastRenderedPageBreak/>
        <w:t xml:space="preserve">not apply in North Carolina, </w:t>
      </w:r>
      <w:r w:rsidR="005536D5">
        <w:t>there was an amendment to N.C.G.S. §</w:t>
      </w:r>
      <w:r w:rsidR="008F01EC">
        <w:t> 15</w:t>
      </w:r>
      <w:r w:rsidR="005536D5">
        <w:t>A-974</w:t>
      </w:r>
      <w:r w:rsidR="001822FD">
        <w:fldChar w:fldCharType="begin"/>
      </w:r>
      <w:r w:rsidR="001822FD">
        <w:instrText xml:space="preserve"> TA \l "</w:instrText>
      </w:r>
      <w:r w:rsidR="001822FD" w:rsidRPr="00B60D12">
        <w:instrText>N.C.G.S. §</w:instrText>
      </w:r>
      <w:r w:rsidR="008F01EC">
        <w:instrText> 15</w:instrText>
      </w:r>
      <w:r w:rsidR="001822FD" w:rsidRPr="00B60D12">
        <w:instrText>A-974</w:instrText>
      </w:r>
      <w:r w:rsidR="001822FD">
        <w:instrText>" \s "N.C.G.S. §</w:instrText>
      </w:r>
      <w:r w:rsidR="008F01EC">
        <w:instrText> 15</w:instrText>
      </w:r>
      <w:r w:rsidR="001822FD">
        <w:instrText xml:space="preserve">A-974" \c 2 </w:instrText>
      </w:r>
      <w:r w:rsidR="001822FD">
        <w:fldChar w:fldCharType="end"/>
      </w:r>
      <w:r w:rsidR="005536D5">
        <w:t xml:space="preserve">, adding “[e]vidence shall not be suppressed under this subdivision if the person committing the violation of the provision or provisions under this Chapter acted under the objectively reasonable, good faith belief that the actions were lawful.” The legislature appeared to recognize this amendment was in conflict with the constitutional holding of </w:t>
      </w:r>
      <w:r w:rsidR="005536D5">
        <w:rPr>
          <w:i/>
          <w:iCs/>
        </w:rPr>
        <w:t xml:space="preserve">Carter, </w:t>
      </w:r>
      <w:r w:rsidR="005536D5">
        <w:t xml:space="preserve">and thus expressly </w:t>
      </w:r>
      <w:r w:rsidR="00AF3F38">
        <w:t xml:space="preserve">“request[ed] that the North Carolina Supreme Court reconsider, and overrule, its holding in </w:t>
      </w:r>
      <w:r w:rsidR="00AF3F38" w:rsidRPr="00AF3F38">
        <w:rPr>
          <w:i/>
          <w:iCs/>
        </w:rPr>
        <w:t>Carter</w:t>
      </w:r>
      <w:r w:rsidR="001822FD">
        <w:rPr>
          <w:i/>
          <w:iCs/>
        </w:rPr>
        <w:fldChar w:fldCharType="begin"/>
      </w:r>
      <w:r w:rsidR="001822FD">
        <w:instrText xml:space="preserve"> TA \s "Carter" </w:instrText>
      </w:r>
      <w:r w:rsidR="001822FD">
        <w:rPr>
          <w:i/>
          <w:iCs/>
        </w:rPr>
        <w:fldChar w:fldCharType="end"/>
      </w:r>
      <w:r w:rsidR="00AF3F38">
        <w:t xml:space="preserve"> that the good faith exception to the exclusionary rule which exists under federal law does not apply under North Carolina State law.” S.L. 2011-6 (H.B. 3)</w:t>
      </w:r>
      <w:r w:rsidR="001822FD">
        <w:fldChar w:fldCharType="begin"/>
      </w:r>
      <w:r w:rsidR="001822FD">
        <w:instrText xml:space="preserve"> TA \l "</w:instrText>
      </w:r>
      <w:r w:rsidR="001822FD" w:rsidRPr="00700534">
        <w:instrText>S.L. 2011-6 (H.B. 3)</w:instrText>
      </w:r>
      <w:r w:rsidR="001822FD">
        <w:instrText xml:space="preserve">" \s "S.L. 2011-6 (H.B. 3)" \c 3 </w:instrText>
      </w:r>
      <w:r w:rsidR="001822FD">
        <w:fldChar w:fldCharType="end"/>
      </w:r>
      <w:r w:rsidR="00AF3F38">
        <w:t>.</w:t>
      </w:r>
    </w:p>
    <w:p w14:paraId="076AB983" w14:textId="4379F767" w:rsidR="00746ED6" w:rsidRPr="00BC506F" w:rsidRDefault="00AF3F38" w:rsidP="00BC506F">
      <w:r>
        <w:t>Since that time, the majority opinion</w:t>
      </w:r>
      <w:r w:rsidR="00BC506F">
        <w:t>s</w:t>
      </w:r>
      <w:r>
        <w:t xml:space="preserve"> of published cases ha</w:t>
      </w:r>
      <w:r w:rsidR="00BC506F">
        <w:t>ve</w:t>
      </w:r>
      <w:r>
        <w:t xml:space="preserve"> distinguished between violations of state and federal constitutional claims</w:t>
      </w:r>
      <w:r w:rsidR="004D5034">
        <w:t xml:space="preserve">. </w:t>
      </w:r>
      <w:r w:rsidR="00746ED6">
        <w:rPr>
          <w:i/>
          <w:iCs/>
        </w:rPr>
        <w:t xml:space="preserve">See, e.g., </w:t>
      </w:r>
      <w:r w:rsidR="00746ED6" w:rsidRPr="00746ED6">
        <w:rPr>
          <w:i/>
          <w:iCs/>
        </w:rPr>
        <w:t xml:space="preserve">State v. Parson, </w:t>
      </w:r>
      <w:r w:rsidR="00746ED6" w:rsidRPr="00746ED6">
        <w:t>250 N.C. App. 142, 156, 791 S.E.2d 528, 539 (2016)</w:t>
      </w:r>
      <w:r w:rsidR="001822FD">
        <w:fldChar w:fldCharType="begin"/>
      </w:r>
      <w:r w:rsidR="001822FD">
        <w:instrText xml:space="preserve"> TA \l "</w:instrText>
      </w:r>
      <w:r w:rsidR="001822FD" w:rsidRPr="00966C9B">
        <w:rPr>
          <w:i/>
          <w:iCs/>
        </w:rPr>
        <w:instrText xml:space="preserve">State v. Parson, </w:instrText>
      </w:r>
      <w:r w:rsidR="001822FD" w:rsidRPr="00966C9B">
        <w:rPr>
          <w:i/>
          <w:iCs/>
        </w:rPr>
        <w:br/>
      </w:r>
      <w:r w:rsidR="001822FD" w:rsidRPr="00966C9B">
        <w:instrText>250 N.C. App. 142, 791 S.E.2d 528 (2016)</w:instrText>
      </w:r>
      <w:r w:rsidR="001822FD">
        <w:instrText xml:space="preserve">" \s "Parson" \c 1 </w:instrText>
      </w:r>
      <w:r w:rsidR="001822FD">
        <w:fldChar w:fldCharType="end"/>
      </w:r>
      <w:r w:rsidR="00746ED6">
        <w:t xml:space="preserve"> (“</w:t>
      </w:r>
      <w:r w:rsidR="00746ED6" w:rsidRPr="00746ED6">
        <w:t>Our Supreme Court has held that no good faith exception exists to the exclusionary rule for violations of the North Carolina Constitution</w:t>
      </w:r>
      <w:r w:rsidR="00746ED6">
        <w:t>.”)</w:t>
      </w:r>
      <w:r w:rsidR="00BC506F">
        <w:t xml:space="preserve">; </w:t>
      </w:r>
      <w:r w:rsidR="00BC506F" w:rsidRPr="00BC506F">
        <w:rPr>
          <w:i/>
          <w:iCs/>
        </w:rPr>
        <w:t>State v. Perry</w:t>
      </w:r>
      <w:r w:rsidR="00BC506F">
        <w:t>, 243 N.C. App. 156, 176, 776 S.E.2d 528, 542 (2015)</w:t>
      </w:r>
      <w:r w:rsidR="001822FD">
        <w:fldChar w:fldCharType="begin"/>
      </w:r>
      <w:r w:rsidR="001822FD">
        <w:instrText xml:space="preserve"> TA \l "</w:instrText>
      </w:r>
      <w:r w:rsidR="001822FD" w:rsidRPr="00E34AF5">
        <w:rPr>
          <w:i/>
          <w:iCs/>
        </w:rPr>
        <w:instrText>State v. Perry</w:instrText>
      </w:r>
      <w:r w:rsidR="001822FD" w:rsidRPr="00E34AF5">
        <w:instrText xml:space="preserve">, </w:instrText>
      </w:r>
      <w:r w:rsidR="001822FD" w:rsidRPr="00E34AF5">
        <w:br/>
        <w:instrText>243 N.C. App. 156, 776 S.E.2d 528 (2015)</w:instrText>
      </w:r>
      <w:r w:rsidR="001822FD">
        <w:instrText xml:space="preserve">" \s "Perry" \c 1 </w:instrText>
      </w:r>
      <w:r w:rsidR="001822FD">
        <w:fldChar w:fldCharType="end"/>
      </w:r>
      <w:r w:rsidR="00BC506F">
        <w:t xml:space="preserve"> (holding the good faith exception applied in a case involving only Fourth Amendment claims). </w:t>
      </w:r>
    </w:p>
    <w:p w14:paraId="15181BC8" w14:textId="565116E2" w:rsidR="00AF3F38" w:rsidRDefault="00A864C2" w:rsidP="00AF3F38">
      <w:r>
        <w:t xml:space="preserve">While the legislature invited the North Carolina Supreme Court to review </w:t>
      </w:r>
      <w:r>
        <w:rPr>
          <w:i/>
          <w:iCs/>
        </w:rPr>
        <w:t>Carter</w:t>
      </w:r>
      <w:r w:rsidR="001822FD">
        <w:rPr>
          <w:i/>
          <w:iCs/>
        </w:rPr>
        <w:fldChar w:fldCharType="begin"/>
      </w:r>
      <w:r w:rsidR="001822FD">
        <w:instrText xml:space="preserve"> TA \s "Carter" </w:instrText>
      </w:r>
      <w:r w:rsidR="001822FD">
        <w:rPr>
          <w:i/>
          <w:iCs/>
        </w:rPr>
        <w:fldChar w:fldCharType="end"/>
      </w:r>
      <w:r>
        <w:rPr>
          <w:i/>
          <w:iCs/>
        </w:rPr>
        <w:t xml:space="preserve">, </w:t>
      </w:r>
      <w:r>
        <w:t xml:space="preserve">it has not. </w:t>
      </w:r>
      <w:r>
        <w:rPr>
          <w:i/>
          <w:iCs/>
        </w:rPr>
        <w:t>State v. Elder</w:t>
      </w:r>
      <w:r>
        <w:t xml:space="preserve"> provided an opportunity, with the divided Court of Appeals partially holding that </w:t>
      </w:r>
      <w:r>
        <w:rPr>
          <w:i/>
          <w:iCs/>
        </w:rPr>
        <w:t xml:space="preserve">Carter </w:t>
      </w:r>
      <w:r>
        <w:t xml:space="preserve">prevents the application of the good faith exception to claims under the State Constitution. </w:t>
      </w:r>
      <w:r w:rsidRPr="00A864C2">
        <w:rPr>
          <w:i/>
          <w:iCs/>
        </w:rPr>
        <w:t xml:space="preserve">State v. </w:t>
      </w:r>
      <w:r w:rsidRPr="00A864C2">
        <w:rPr>
          <w:i/>
          <w:iCs/>
        </w:rPr>
        <w:lastRenderedPageBreak/>
        <w:t>Elder</w:t>
      </w:r>
      <w:r>
        <w:t>, 232 N.C. App. 80, 92, 753 S.E.2d 504</w:t>
      </w:r>
      <w:r w:rsidR="001822FD">
        <w:fldChar w:fldCharType="begin"/>
      </w:r>
      <w:r w:rsidR="001822FD">
        <w:instrText xml:space="preserve"> TA \l "</w:instrText>
      </w:r>
      <w:r w:rsidR="001822FD" w:rsidRPr="00FA3285">
        <w:rPr>
          <w:i/>
          <w:iCs/>
        </w:rPr>
        <w:instrText>State v. Elder</w:instrText>
      </w:r>
      <w:r w:rsidR="001822FD" w:rsidRPr="00FA3285">
        <w:instrText xml:space="preserve">, </w:instrText>
      </w:r>
      <w:r w:rsidR="001822FD" w:rsidRPr="00FA3285">
        <w:br/>
        <w:instrText>232 N.C. App. 80, 753 S.E.2d 504 (2014</w:instrText>
      </w:r>
      <w:r w:rsidR="008F01EC">
        <w:instrText>)</w:instrText>
      </w:r>
      <w:r w:rsidR="001822FD">
        <w:instrText xml:space="preserve">" \s "Elder 1" \c 1 </w:instrText>
      </w:r>
      <w:r w:rsidR="001822FD">
        <w:fldChar w:fldCharType="end"/>
      </w:r>
      <w:r>
        <w:t xml:space="preserve">, 512, </w:t>
      </w:r>
      <w:r w:rsidRPr="00A864C2">
        <w:rPr>
          <w:i/>
          <w:iCs/>
        </w:rPr>
        <w:t>writ allowed</w:t>
      </w:r>
      <w:r>
        <w:t xml:space="preserve">, 367 N.C. 323, 755 S.E.2d 607 (2014), </w:t>
      </w:r>
      <w:r w:rsidRPr="00A864C2">
        <w:rPr>
          <w:i/>
          <w:iCs/>
        </w:rPr>
        <w:t>and aff'd as modified</w:t>
      </w:r>
      <w:r>
        <w:t xml:space="preserve">, 368 N.C. 70, 773 S.E.2d 51 (2015). However, the North Carolina Supreme Court affirmed without directly addressing the good faith exception. </w:t>
      </w:r>
      <w:r w:rsidR="00711392" w:rsidRPr="00711392">
        <w:rPr>
          <w:i/>
          <w:iCs/>
        </w:rPr>
        <w:t>State v. Elder</w:t>
      </w:r>
      <w:r w:rsidR="00711392">
        <w:t>, 368 N.C. 70, 75, 773 S.E.2d 51, 54 (2015)</w:t>
      </w:r>
      <w:r w:rsidR="001822FD">
        <w:fldChar w:fldCharType="begin"/>
      </w:r>
      <w:r w:rsidR="001822FD">
        <w:instrText xml:space="preserve"> TA \l "</w:instrText>
      </w:r>
      <w:r w:rsidR="001822FD" w:rsidRPr="003D4B22">
        <w:rPr>
          <w:i/>
          <w:iCs/>
        </w:rPr>
        <w:instrText>State v. Elder</w:instrText>
      </w:r>
      <w:r w:rsidR="001822FD" w:rsidRPr="003D4B22">
        <w:instrText xml:space="preserve">, </w:instrText>
      </w:r>
      <w:r w:rsidR="001822FD" w:rsidRPr="003D4B22">
        <w:br/>
        <w:instrText>368 N.C. 70, 773 S.E.2d 51 (2015)</w:instrText>
      </w:r>
      <w:r w:rsidR="001822FD">
        <w:instrText xml:space="preserve">" \s "Elder 2" \c 1 </w:instrText>
      </w:r>
      <w:r w:rsidR="001822FD">
        <w:fldChar w:fldCharType="end"/>
      </w:r>
      <w:r w:rsidR="00711392">
        <w:t xml:space="preserve">. </w:t>
      </w:r>
    </w:p>
    <w:p w14:paraId="7BA1CB54" w14:textId="09671386" w:rsidR="00C95FC1" w:rsidRDefault="00711392" w:rsidP="00C95FC1">
      <w:r>
        <w:t>Here, Mr. Kitchen based his suppression motion on both the state and federal constitutions</w:t>
      </w:r>
      <w:r w:rsidR="00C95FC1">
        <w:t>. Article I, Section 20</w:t>
      </w:r>
      <w:r w:rsidR="001822FD">
        <w:fldChar w:fldCharType="begin"/>
      </w:r>
      <w:r w:rsidR="001822FD">
        <w:instrText xml:space="preserve"> TA \s "N.C. Const. art. I, §</w:instrText>
      </w:r>
      <w:r w:rsidR="008F01EC">
        <w:instrText> 20</w:instrText>
      </w:r>
      <w:r w:rsidR="001822FD">
        <w:instrText xml:space="preserve">" </w:instrText>
      </w:r>
      <w:r w:rsidR="001822FD">
        <w:fldChar w:fldCharType="end"/>
      </w:r>
      <w:r w:rsidR="00C95FC1">
        <w:t xml:space="preserve"> of the North Carolina Constitution “prohibits unreasonable searches and seizures” like the Fourth Amendment</w:t>
      </w:r>
      <w:r w:rsidR="001822FD">
        <w:fldChar w:fldCharType="begin"/>
      </w:r>
      <w:r w:rsidR="001822FD">
        <w:instrText xml:space="preserve"> TA \s "U.S. Const. amend. IV." </w:instrText>
      </w:r>
      <w:r w:rsidR="001822FD">
        <w:fldChar w:fldCharType="end"/>
      </w:r>
      <w:r w:rsidR="00C95FC1">
        <w:t xml:space="preserve">. </w:t>
      </w:r>
      <w:r w:rsidR="00C95FC1" w:rsidRPr="00C95FC1">
        <w:rPr>
          <w:i/>
          <w:iCs/>
        </w:rPr>
        <w:t>State v. Arrington</w:t>
      </w:r>
      <w:r w:rsidR="00C95FC1">
        <w:t>, 311 N.C. 633, 643, 319 S.E.2d 254, 260 (1984)</w:t>
      </w:r>
      <w:r w:rsidR="001822FD">
        <w:fldChar w:fldCharType="begin"/>
      </w:r>
      <w:r w:rsidR="001822FD">
        <w:instrText xml:space="preserve"> TA \l "</w:instrText>
      </w:r>
      <w:r w:rsidR="001822FD" w:rsidRPr="00C17188">
        <w:rPr>
          <w:i/>
          <w:iCs/>
        </w:rPr>
        <w:instrText>State v. Arrington</w:instrText>
      </w:r>
      <w:r w:rsidR="001822FD" w:rsidRPr="00C17188">
        <w:instrText xml:space="preserve">, </w:instrText>
      </w:r>
      <w:r w:rsidR="001822FD" w:rsidRPr="00C17188">
        <w:br/>
        <w:instrText>311 N.C. 633, 319 S.E.2d 254, (1984)</w:instrText>
      </w:r>
      <w:r w:rsidR="001822FD">
        <w:instrText xml:space="preserve">" \s "Arrington" \c 1 </w:instrText>
      </w:r>
      <w:r w:rsidR="001822FD">
        <w:fldChar w:fldCharType="end"/>
      </w:r>
      <w:r w:rsidR="00C95FC1">
        <w:t xml:space="preserve">. Our Supreme Court has recognized that “the United States Constitution provides a constitutional floor of fundamental rights guaranteed all citizens of the United States, while the state constitutions frequently give citizens of individual states basic rights in addition to those guaranteed by the United States Constitution.” </w:t>
      </w:r>
      <w:r w:rsidR="00C95FC1" w:rsidRPr="00C95FC1">
        <w:rPr>
          <w:i/>
          <w:iCs/>
        </w:rPr>
        <w:t>State v. Jackson</w:t>
      </w:r>
      <w:r w:rsidR="00C95FC1">
        <w:t>, 348 N.C. 644, 648, 503 S.E.2d 101, 103 (1998)</w:t>
      </w:r>
      <w:r w:rsidR="001822FD">
        <w:fldChar w:fldCharType="begin"/>
      </w:r>
      <w:r w:rsidR="001822FD">
        <w:instrText xml:space="preserve"> TA \l "</w:instrText>
      </w:r>
      <w:r w:rsidR="001822FD" w:rsidRPr="00E106E8">
        <w:rPr>
          <w:i/>
          <w:iCs/>
        </w:rPr>
        <w:instrText>State v. Jackson</w:instrText>
      </w:r>
      <w:r w:rsidR="001822FD" w:rsidRPr="00E106E8">
        <w:instrText xml:space="preserve">, </w:instrText>
      </w:r>
      <w:r w:rsidR="001822FD" w:rsidRPr="00E106E8">
        <w:br/>
        <w:instrText>348 N.C. 644, 503 S.E.2d 101 (1998)</w:instrText>
      </w:r>
      <w:r w:rsidR="001822FD">
        <w:instrText xml:space="preserve">" \s "Jackson" \c 1 </w:instrText>
      </w:r>
      <w:r w:rsidR="001822FD">
        <w:fldChar w:fldCharType="end"/>
      </w:r>
      <w:r w:rsidR="00C95FC1">
        <w:t xml:space="preserve">. </w:t>
      </w:r>
    </w:p>
    <w:p w14:paraId="0169147D" w14:textId="23544AEF" w:rsidR="00711392" w:rsidRDefault="00C95FC1" w:rsidP="00C95FC1">
      <w:pPr>
        <w:ind w:firstLine="0"/>
      </w:pPr>
      <w:r>
        <w:t>T</w:t>
      </w:r>
      <w:r w:rsidR="00711392">
        <w:t>herefore,</w:t>
      </w:r>
      <w:r>
        <w:t xml:space="preserve"> the failure of the State to obtain a search warrant is also a violation of Article 1, Section 20</w:t>
      </w:r>
      <w:r w:rsidR="001822FD">
        <w:fldChar w:fldCharType="begin"/>
      </w:r>
      <w:r w:rsidR="001822FD">
        <w:instrText xml:space="preserve"> TA \s "N.C. Const. art. I, §</w:instrText>
      </w:r>
      <w:r w:rsidR="008F01EC">
        <w:instrText> 20</w:instrText>
      </w:r>
      <w:r w:rsidR="001822FD">
        <w:instrText xml:space="preserve">" </w:instrText>
      </w:r>
      <w:r w:rsidR="001822FD">
        <w:fldChar w:fldCharType="end"/>
      </w:r>
      <w:r>
        <w:t xml:space="preserve"> of the North Carolina Constitution and </w:t>
      </w:r>
      <w:r w:rsidR="00711392">
        <w:t xml:space="preserve">is not subject to the good faith exception. </w:t>
      </w:r>
    </w:p>
    <w:p w14:paraId="417A03FA" w14:textId="47FE2273" w:rsidR="004D5034" w:rsidRPr="004D5034" w:rsidRDefault="004D5034" w:rsidP="004D5034">
      <w:r>
        <w:t xml:space="preserve">Further, the State failed to raise any good faith claim in the trial court and therefore should be precluded from raising it now. </w:t>
      </w:r>
      <w:r>
        <w:rPr>
          <w:i/>
          <w:iCs/>
        </w:rPr>
        <w:t xml:space="preserve">See, </w:t>
      </w:r>
      <w:r w:rsidRPr="004D5034">
        <w:rPr>
          <w:i/>
          <w:iCs/>
        </w:rPr>
        <w:t>Romano</w:t>
      </w:r>
      <w:r w:rsidR="00221861">
        <w:rPr>
          <w:i/>
          <w:iCs/>
        </w:rPr>
        <w:fldChar w:fldCharType="begin"/>
      </w:r>
      <w:r w:rsidR="00221861">
        <w:instrText xml:space="preserve"> TA \s "Romano" </w:instrText>
      </w:r>
      <w:r w:rsidR="00221861">
        <w:rPr>
          <w:i/>
          <w:iCs/>
        </w:rPr>
        <w:fldChar w:fldCharType="end"/>
      </w:r>
      <w:r w:rsidRPr="004D5034">
        <w:rPr>
          <w:i/>
          <w:iCs/>
        </w:rPr>
        <w:t xml:space="preserve">, </w:t>
      </w:r>
      <w:r w:rsidRPr="004D5034">
        <w:t xml:space="preserve">369 N.C. </w:t>
      </w:r>
      <w:r w:rsidR="001822FD">
        <w:t>at</w:t>
      </w:r>
      <w:r w:rsidR="008F01EC">
        <w:t> 693</w:t>
      </w:r>
      <w:r w:rsidRPr="004D5034">
        <w:t xml:space="preserve">–94, 800 S.E.2d </w:t>
      </w:r>
      <w:r w:rsidR="001822FD">
        <w:t>at</w:t>
      </w:r>
      <w:r w:rsidR="008F01EC">
        <w:t> 654</w:t>
      </w:r>
      <w:r w:rsidRPr="004D5034">
        <w:t xml:space="preserve"> </w:t>
      </w:r>
      <w:r>
        <w:t>(“</w:t>
      </w:r>
      <w:r w:rsidRPr="004D5034">
        <w:t xml:space="preserve">The State had the opportunity at the suppression hearing to argue that the good faith exception to the exclusionary </w:t>
      </w:r>
      <w:r w:rsidRPr="004D5034">
        <w:lastRenderedPageBreak/>
        <w:t>rule should apply if the court determined that the officer's actions were unconstitutional, but the State failed to raise the argument.</w:t>
      </w:r>
      <w:r>
        <w:t xml:space="preserve">”). </w:t>
      </w:r>
    </w:p>
    <w:p w14:paraId="66DA9F29" w14:textId="6755C8AC" w:rsidR="00B542FE" w:rsidRDefault="00392F5B" w:rsidP="00503187">
      <w:pPr>
        <w:pStyle w:val="Heading3"/>
        <w:rPr>
          <w:rFonts w:eastAsia="Times New Roman"/>
        </w:rPr>
      </w:pPr>
      <w:bookmarkStart w:id="43" w:name="_Toc81230841"/>
      <w:bookmarkStart w:id="44" w:name="_Toc81314875"/>
      <w:r>
        <w:rPr>
          <w:rFonts w:eastAsia="Times New Roman"/>
        </w:rPr>
        <w:t>Prejudice</w:t>
      </w:r>
      <w:bookmarkEnd w:id="43"/>
      <w:bookmarkEnd w:id="44"/>
    </w:p>
    <w:p w14:paraId="028724A0" w14:textId="6361955E" w:rsidR="008D5444" w:rsidRDefault="00D50836" w:rsidP="008D5444">
      <w:pPr>
        <w:ind w:firstLine="0"/>
      </w:pPr>
      <w:r>
        <w:tab/>
      </w:r>
      <w:r w:rsidR="008D5444">
        <w:t>The State cannot show that the error was harmless beyond a reasonable doubt. N.C.G.S. §</w:t>
      </w:r>
      <w:r w:rsidR="008F01EC">
        <w:t> 15</w:t>
      </w:r>
      <w:r w:rsidR="008D5444">
        <w:t>A-1443</w:t>
      </w:r>
      <w:r w:rsidR="00221861">
        <w:fldChar w:fldCharType="begin"/>
      </w:r>
      <w:r w:rsidR="00221861">
        <w:instrText xml:space="preserve"> TA \l "</w:instrText>
      </w:r>
      <w:r w:rsidR="00221861" w:rsidRPr="000C798D">
        <w:instrText>N.C.G.S. §</w:instrText>
      </w:r>
      <w:r w:rsidR="008F01EC">
        <w:instrText> 15</w:instrText>
      </w:r>
      <w:r w:rsidR="00221861" w:rsidRPr="000C798D">
        <w:instrText>A</w:instrText>
      </w:r>
      <w:r w:rsidR="00C15D82">
        <w:instrText>-</w:instrText>
      </w:r>
      <w:r w:rsidR="00221861" w:rsidRPr="000C798D">
        <w:instrText>1443</w:instrText>
      </w:r>
      <w:r w:rsidR="00221861">
        <w:instrText>" \s "N.C.G.S. §</w:instrText>
      </w:r>
      <w:r w:rsidR="008F01EC">
        <w:instrText> 15</w:instrText>
      </w:r>
      <w:r w:rsidR="00221861">
        <w:instrText>A</w:instrText>
      </w:r>
      <w:r w:rsidR="00C15D82">
        <w:instrText>-</w:instrText>
      </w:r>
      <w:r w:rsidR="00221861">
        <w:instrText xml:space="preserve">1443" \c 2 </w:instrText>
      </w:r>
      <w:r w:rsidR="00221861">
        <w:fldChar w:fldCharType="end"/>
      </w:r>
      <w:r w:rsidR="008D5444">
        <w:t>(b).</w:t>
      </w:r>
    </w:p>
    <w:p w14:paraId="3682CB9D" w14:textId="1228B40E" w:rsidR="00D50836" w:rsidRDefault="00D50836" w:rsidP="008D5444">
      <w:pPr>
        <w:ind w:firstLine="0"/>
      </w:pPr>
      <w:r>
        <w:tab/>
        <w:t xml:space="preserve">First, the State had to </w:t>
      </w:r>
      <w:r w:rsidR="00A134DC">
        <w:t>attest,</w:t>
      </w:r>
      <w:r>
        <w:t xml:space="preserve"> and the trial court had to find that the records were “</w:t>
      </w:r>
      <w:r w:rsidR="00A134DC">
        <w:t xml:space="preserve">necessary and relevant to this case and that it is necessary to the proper administration of justice.” (R p 16). The trial court found that “the proper administration of justice </w:t>
      </w:r>
      <w:r w:rsidR="00A134DC">
        <w:rPr>
          <w:i/>
          <w:iCs/>
        </w:rPr>
        <w:t>requires</w:t>
      </w:r>
      <w:r w:rsidR="00A134DC">
        <w:t xml:space="preserve"> that these records be provided to the State of North Carolina.” (R p 18) (emphasis added). </w:t>
      </w:r>
      <w:r w:rsidR="00976260">
        <w:t>The State’s attestation and the trial court’s finding reflects the belief of both that the records were of fundamental importance and relevance to the case.</w:t>
      </w:r>
    </w:p>
    <w:p w14:paraId="466D61B6" w14:textId="55D24709" w:rsidR="00A134DC" w:rsidRDefault="00A134DC" w:rsidP="00A134DC">
      <w:pPr>
        <w:ind w:firstLine="0"/>
      </w:pPr>
      <w:r>
        <w:tab/>
      </w:r>
      <w:r w:rsidR="000A2BC3">
        <w:t xml:space="preserve">Indeed, the centrality of the medical records is evidenced in the State’s closing argument. </w:t>
      </w:r>
      <w:r w:rsidR="00457681">
        <w:t>The State focused heavily on the medical records, not just as evidence of a test result, but to discredit any alternative, mental health explanation for Mr. Kitchen’s behavior:</w:t>
      </w:r>
    </w:p>
    <w:p w14:paraId="41C418E7" w14:textId="198AF995" w:rsidR="004D0404" w:rsidRDefault="004D0404" w:rsidP="004D0404">
      <w:pPr>
        <w:spacing w:after="280" w:line="240" w:lineRule="auto"/>
        <w:ind w:left="720" w:right="720" w:firstLine="0"/>
        <w:contextualSpacing w:val="0"/>
      </w:pPr>
      <w:r>
        <w:t>You have his medical records. I gave those to you. They were admitted into evidence. So you know he wasn't having some type of medical episode that could have caused this behavior. His aggressiveness and belligerent nature suddenly appear when he realizes he's going to jail, and then it suddenly goes away when he sobers up.</w:t>
      </w:r>
    </w:p>
    <w:p w14:paraId="6FA16F25" w14:textId="115C6C0F" w:rsidR="00457681" w:rsidRDefault="004D0404" w:rsidP="004D0404">
      <w:pPr>
        <w:spacing w:after="280" w:line="240" w:lineRule="auto"/>
        <w:ind w:left="720" w:right="720" w:firstLine="0"/>
        <w:contextualSpacing w:val="0"/>
      </w:pPr>
      <w:r>
        <w:t>It wasn't a medical issue and it wasn't a mental health issue. He was impaired.</w:t>
      </w:r>
    </w:p>
    <w:p w14:paraId="21AA2DE1" w14:textId="08577FAD" w:rsidR="004D0404" w:rsidRPr="00A134DC" w:rsidRDefault="004D0404" w:rsidP="004D0404">
      <w:pPr>
        <w:spacing w:after="280" w:line="240" w:lineRule="auto"/>
        <w:ind w:left="720" w:right="720" w:firstLine="0"/>
        <w:contextualSpacing w:val="0"/>
      </w:pPr>
      <w:r>
        <w:lastRenderedPageBreak/>
        <w:t>His medical records were admitted into evidence and it's because he went to the hospital that we have actual evidence of what his alcohol concentration was, since he refused the breath test.</w:t>
      </w:r>
    </w:p>
    <w:p w14:paraId="277A5C28" w14:textId="1FC9D4A2" w:rsidR="004D0404" w:rsidRDefault="004D0404" w:rsidP="004D0404">
      <w:pPr>
        <w:ind w:firstLine="0"/>
      </w:pPr>
      <w:bookmarkStart w:id="45" w:name="_Toc503990254"/>
      <w:bookmarkStart w:id="46" w:name="_Toc505494713"/>
      <w:bookmarkStart w:id="47" w:name="_Toc15393848"/>
      <w:r>
        <w:t xml:space="preserve">(T p 434). </w:t>
      </w:r>
    </w:p>
    <w:p w14:paraId="1CEF1AF4" w14:textId="51770908" w:rsidR="004D0404" w:rsidRDefault="004D0404" w:rsidP="004D0404">
      <w:pPr>
        <w:ind w:firstLine="0"/>
      </w:pPr>
      <w:r>
        <w:tab/>
      </w:r>
      <w:r w:rsidR="008D5444">
        <w:t xml:space="preserve">Therefore, the State, who </w:t>
      </w:r>
      <w:r w:rsidR="00AF492E">
        <w:t>in the trial court</w:t>
      </w:r>
      <w:r w:rsidR="008D5444">
        <w:t xml:space="preserve"> asserted the records were “necessary,” cannot show now that their admission was</w:t>
      </w:r>
      <w:r>
        <w:t xml:space="preserve"> harmless beyond a reasonable doubt. </w:t>
      </w:r>
    </w:p>
    <w:p w14:paraId="77B02838" w14:textId="77777777" w:rsidR="00656634" w:rsidRDefault="00656634" w:rsidP="004D0404">
      <w:pPr>
        <w:ind w:firstLine="0"/>
      </w:pPr>
    </w:p>
    <w:p w14:paraId="0EEF4266" w14:textId="4E90E3A7" w:rsidR="00B542FE" w:rsidRPr="00177C93" w:rsidRDefault="00B542FE" w:rsidP="0048414B">
      <w:pPr>
        <w:pStyle w:val="Heading1"/>
      </w:pPr>
      <w:bookmarkStart w:id="48" w:name="_Toc81314876"/>
      <w:r w:rsidRPr="00177C93">
        <w:t>CONCLUSION</w:t>
      </w:r>
      <w:bookmarkEnd w:id="45"/>
      <w:bookmarkEnd w:id="46"/>
      <w:bookmarkEnd w:id="47"/>
      <w:bookmarkEnd w:id="48"/>
    </w:p>
    <w:p w14:paraId="0BD30CB6" w14:textId="186FFFCA" w:rsidR="00776C8C" w:rsidRPr="00177C93" w:rsidRDefault="00776C8C" w:rsidP="00776C8C">
      <w:pPr>
        <w:pStyle w:val="WW-Default"/>
        <w:spacing w:line="480" w:lineRule="auto"/>
        <w:ind w:firstLine="720"/>
        <w:jc w:val="both"/>
        <w:rPr>
          <w:rFonts w:ascii="Century Schoolbook" w:hAnsi="Century Schoolbook" w:cs="Times New Roman"/>
          <w:b/>
          <w:color w:val="000000" w:themeColor="text1"/>
          <w:sz w:val="26"/>
          <w:szCs w:val="26"/>
          <w:lang w:eastAsia="ar-SA" w:bidi="ar-SA"/>
        </w:rPr>
      </w:pPr>
      <w:r w:rsidRPr="00177C93">
        <w:rPr>
          <w:rFonts w:ascii="Century Schoolbook" w:hAnsi="Century Schoolbook" w:cs="Times New Roman"/>
          <w:color w:val="000000" w:themeColor="text1"/>
          <w:sz w:val="26"/>
          <w:szCs w:val="26"/>
          <w:lang w:eastAsia="ar-SA" w:bidi="ar-SA"/>
        </w:rPr>
        <w:t xml:space="preserve">For the foregoing reasons and authorities, </w:t>
      </w:r>
      <w:r w:rsidR="007C7DC2">
        <w:rPr>
          <w:rFonts w:ascii="Century Schoolbook" w:hAnsi="Century Schoolbook" w:cs="Times New Roman"/>
          <w:color w:val="000000" w:themeColor="text1"/>
          <w:sz w:val="26"/>
          <w:szCs w:val="26"/>
          <w:lang w:eastAsia="ar-SA" w:bidi="ar-SA"/>
        </w:rPr>
        <w:t>Mr. Kitchen</w:t>
      </w:r>
      <w:r w:rsidRPr="00177C93">
        <w:rPr>
          <w:rFonts w:ascii="Century Schoolbook" w:hAnsi="Century Schoolbook" w:cs="Times New Roman"/>
          <w:color w:val="000000" w:themeColor="text1"/>
          <w:sz w:val="26"/>
          <w:szCs w:val="26"/>
          <w:lang w:eastAsia="ar-SA" w:bidi="ar-SA"/>
        </w:rPr>
        <w:t xml:space="preserve">, the Defendant-Appellant herein, respectfully requests this Court to vacate his convictions in this matter and reverse the trial court’s </w:t>
      </w:r>
      <w:r w:rsidR="007C7DC2">
        <w:rPr>
          <w:rFonts w:ascii="Century Schoolbook" w:hAnsi="Century Schoolbook" w:cs="Times New Roman"/>
          <w:color w:val="000000" w:themeColor="text1"/>
          <w:sz w:val="26"/>
          <w:szCs w:val="26"/>
          <w:lang w:eastAsia="ar-SA" w:bidi="ar-SA"/>
        </w:rPr>
        <w:t>order denying his motion to suppress</w:t>
      </w:r>
      <w:r w:rsidRPr="00177C93">
        <w:rPr>
          <w:rFonts w:ascii="Century Schoolbook" w:hAnsi="Century Schoolbook" w:cs="Times New Roman"/>
          <w:color w:val="000000" w:themeColor="text1"/>
          <w:sz w:val="26"/>
          <w:szCs w:val="26"/>
          <w:lang w:eastAsia="ar-SA" w:bidi="ar-SA"/>
        </w:rPr>
        <w:t xml:space="preserve">. </w:t>
      </w:r>
    </w:p>
    <w:p w14:paraId="3A9B6ACC" w14:textId="281A7AB3" w:rsidR="00776C8C" w:rsidRPr="00177C93" w:rsidRDefault="00776C8C" w:rsidP="00776C8C">
      <w:pPr>
        <w:pStyle w:val="WW-Default"/>
        <w:spacing w:line="480" w:lineRule="auto"/>
        <w:ind w:firstLine="720"/>
        <w:jc w:val="both"/>
        <w:rPr>
          <w:rFonts w:ascii="Century Schoolbook" w:hAnsi="Century Schoolbook" w:cs="Times New Roman"/>
          <w:color w:val="000000" w:themeColor="text1"/>
          <w:sz w:val="26"/>
          <w:szCs w:val="26"/>
          <w:u w:val="single"/>
        </w:rPr>
      </w:pPr>
      <w:r w:rsidRPr="00177C93">
        <w:rPr>
          <w:rFonts w:ascii="Century Schoolbook" w:hAnsi="Century Schoolbook" w:cs="Times New Roman"/>
          <w:color w:val="000000" w:themeColor="text1"/>
          <w:sz w:val="26"/>
          <w:szCs w:val="26"/>
        </w:rPr>
        <w:t xml:space="preserve">Respectfully submitted this, the </w:t>
      </w:r>
      <w:r w:rsidR="007C7DC2">
        <w:rPr>
          <w:rFonts w:ascii="Century Schoolbook" w:hAnsi="Century Schoolbook" w:cs="Times New Roman"/>
          <w:color w:val="000000" w:themeColor="text1"/>
          <w:sz w:val="26"/>
          <w:szCs w:val="26"/>
        </w:rPr>
        <w:t>1</w:t>
      </w:r>
      <w:r w:rsidR="007C7DC2" w:rsidRPr="007C7DC2">
        <w:rPr>
          <w:rFonts w:ascii="Century Schoolbook" w:hAnsi="Century Schoolbook" w:cs="Times New Roman"/>
          <w:color w:val="000000" w:themeColor="text1"/>
          <w:sz w:val="26"/>
          <w:szCs w:val="26"/>
          <w:vertAlign w:val="superscript"/>
        </w:rPr>
        <w:t>st</w:t>
      </w:r>
      <w:r w:rsidR="007C7DC2">
        <w:rPr>
          <w:rFonts w:ascii="Century Schoolbook" w:hAnsi="Century Schoolbook" w:cs="Times New Roman"/>
          <w:color w:val="000000" w:themeColor="text1"/>
          <w:sz w:val="26"/>
          <w:szCs w:val="26"/>
        </w:rPr>
        <w:t xml:space="preserve"> day of September, 2021.</w:t>
      </w:r>
    </w:p>
    <w:p w14:paraId="775CF54A" w14:textId="77777777" w:rsidR="00177C93" w:rsidRPr="00503187" w:rsidRDefault="00503187" w:rsidP="00503187">
      <w:pPr>
        <w:spacing w:line="240" w:lineRule="auto"/>
        <w:rPr>
          <w:u w:val="single"/>
        </w:rPr>
      </w:pPr>
      <w:r>
        <w:tab/>
      </w:r>
      <w:r>
        <w:tab/>
      </w:r>
      <w:r>
        <w:tab/>
      </w:r>
      <w:r>
        <w:tab/>
      </w:r>
      <w:bookmarkStart w:id="49" w:name="_Hlk81386506"/>
      <w:r w:rsidR="00177C93" w:rsidRPr="00503187">
        <w:rPr>
          <w:u w:val="single"/>
        </w:rPr>
        <w:t>Electronically Submitted</w:t>
      </w:r>
    </w:p>
    <w:p w14:paraId="45985B7F" w14:textId="77777777" w:rsidR="0070209E" w:rsidRPr="0070209E" w:rsidRDefault="00503187" w:rsidP="0070209E">
      <w:pPr>
        <w:spacing w:line="240" w:lineRule="auto"/>
      </w:pPr>
      <w:r>
        <w:tab/>
      </w:r>
      <w:r>
        <w:tab/>
      </w:r>
      <w:r>
        <w:tab/>
      </w:r>
      <w:r>
        <w:tab/>
      </w:r>
      <w:r w:rsidR="0070209E" w:rsidRPr="0070209E">
        <w:t>Kellie Mannette</w:t>
      </w:r>
    </w:p>
    <w:p w14:paraId="00FAE78A" w14:textId="31C9B9B6" w:rsidR="0070209E" w:rsidRPr="0070209E" w:rsidRDefault="0070209E" w:rsidP="0070209E">
      <w:pPr>
        <w:spacing w:line="240" w:lineRule="auto"/>
      </w:pPr>
      <w:r>
        <w:tab/>
      </w:r>
      <w:r>
        <w:tab/>
      </w:r>
      <w:r>
        <w:tab/>
      </w:r>
      <w:r>
        <w:tab/>
      </w:r>
      <w:r w:rsidRPr="0070209E">
        <w:t>Attorney for Defendant-Appellant</w:t>
      </w:r>
    </w:p>
    <w:p w14:paraId="4F72C485" w14:textId="585EFDEA" w:rsidR="0070209E" w:rsidRDefault="0070209E" w:rsidP="007C7DC2">
      <w:pPr>
        <w:spacing w:line="240" w:lineRule="auto"/>
      </w:pPr>
      <w:r>
        <w:tab/>
      </w:r>
      <w:r>
        <w:tab/>
      </w:r>
      <w:r>
        <w:tab/>
      </w:r>
      <w:r>
        <w:tab/>
      </w:r>
      <w:r w:rsidR="007C7DC2">
        <w:t>Thomas, Ferguson &amp; Beskind, LLP</w:t>
      </w:r>
    </w:p>
    <w:p w14:paraId="4F3FCF93" w14:textId="05630FD1" w:rsidR="007C7DC2" w:rsidRDefault="007C7DC2" w:rsidP="007C7DC2">
      <w:pPr>
        <w:spacing w:line="240" w:lineRule="auto"/>
      </w:pPr>
      <w:r>
        <w:tab/>
      </w:r>
      <w:r>
        <w:tab/>
      </w:r>
      <w:r>
        <w:tab/>
      </w:r>
      <w:r>
        <w:tab/>
        <w:t>119 East Main Street</w:t>
      </w:r>
    </w:p>
    <w:p w14:paraId="44626CDD" w14:textId="6F20D627" w:rsidR="007C7DC2" w:rsidRDefault="007C7DC2" w:rsidP="007C7DC2">
      <w:pPr>
        <w:spacing w:line="240" w:lineRule="auto"/>
      </w:pPr>
      <w:r>
        <w:tab/>
      </w:r>
      <w:r>
        <w:tab/>
      </w:r>
      <w:r>
        <w:tab/>
      </w:r>
      <w:r>
        <w:tab/>
        <w:t>Durham, NC 27701</w:t>
      </w:r>
    </w:p>
    <w:p w14:paraId="59C4891B" w14:textId="6F8E4296" w:rsidR="007C7DC2" w:rsidRDefault="007C7DC2" w:rsidP="007C7DC2">
      <w:pPr>
        <w:spacing w:line="240" w:lineRule="auto"/>
      </w:pPr>
      <w:r>
        <w:tab/>
      </w:r>
      <w:r>
        <w:tab/>
      </w:r>
      <w:r>
        <w:tab/>
      </w:r>
      <w:r>
        <w:tab/>
        <w:t>919-682-5648</w:t>
      </w:r>
    </w:p>
    <w:p w14:paraId="3F9D748C" w14:textId="0373CD76" w:rsidR="00601A8E" w:rsidRPr="0070209E" w:rsidRDefault="00601A8E" w:rsidP="007C7DC2">
      <w:pPr>
        <w:spacing w:line="240" w:lineRule="auto"/>
      </w:pPr>
      <w:r>
        <w:tab/>
      </w:r>
      <w:r>
        <w:tab/>
      </w:r>
      <w:r>
        <w:tab/>
      </w:r>
      <w:r>
        <w:tab/>
        <w:t>mannette@tfblawyers.com</w:t>
      </w:r>
    </w:p>
    <w:p w14:paraId="00E9FF62" w14:textId="46197694" w:rsidR="0070209E" w:rsidRPr="0070209E" w:rsidRDefault="0070209E" w:rsidP="0070209E">
      <w:pPr>
        <w:spacing w:line="240" w:lineRule="auto"/>
      </w:pPr>
      <w:r>
        <w:tab/>
      </w:r>
      <w:r>
        <w:tab/>
      </w:r>
      <w:r>
        <w:tab/>
      </w:r>
      <w:r>
        <w:tab/>
      </w:r>
      <w:r w:rsidRPr="0070209E">
        <w:t>State Bar #39882</w:t>
      </w:r>
    </w:p>
    <w:bookmarkEnd w:id="49"/>
    <w:p w14:paraId="7FCDA5E8" w14:textId="3D501DE9" w:rsidR="002D4BBA" w:rsidRPr="00177C93" w:rsidRDefault="002D4BBA" w:rsidP="0070209E">
      <w:pPr>
        <w:spacing w:line="240" w:lineRule="auto"/>
      </w:pPr>
      <w:r w:rsidRPr="00177C93">
        <w:br w:type="page"/>
      </w:r>
    </w:p>
    <w:p w14:paraId="0F62A24E" w14:textId="77777777" w:rsidR="002D4BBA" w:rsidRPr="00177C93" w:rsidRDefault="002D4BBA" w:rsidP="0048414B">
      <w:pPr>
        <w:pStyle w:val="Heading1"/>
      </w:pPr>
      <w:bookmarkStart w:id="50" w:name="_Toc503990255"/>
      <w:bookmarkStart w:id="51" w:name="_Toc505494714"/>
      <w:bookmarkStart w:id="52" w:name="_Toc15393849"/>
      <w:bookmarkStart w:id="53" w:name="_Toc81314877"/>
      <w:r w:rsidRPr="00177C93">
        <w:lastRenderedPageBreak/>
        <w:t>CERTIFICATE OF COMPLIANCE WITH RULE 28(J)(2)</w:t>
      </w:r>
      <w:bookmarkEnd w:id="50"/>
      <w:bookmarkEnd w:id="51"/>
      <w:bookmarkEnd w:id="52"/>
      <w:bookmarkEnd w:id="53"/>
    </w:p>
    <w:p w14:paraId="55F948E6" w14:textId="77777777" w:rsidR="002D4BBA" w:rsidRPr="00177C93" w:rsidRDefault="002D4BBA" w:rsidP="00387DD3">
      <w:pPr>
        <w:spacing w:line="240" w:lineRule="auto"/>
      </w:pPr>
      <w:r w:rsidRPr="00177C93">
        <w:t xml:space="preserve">I hereby certify that Defendant-Appellant's Brief is in compliance with Rule 28(j)(2) of the North Carolina Rules of Appellate Procedure in that it is printed in </w:t>
      </w:r>
      <w:r w:rsidR="00177C93">
        <w:t>thirteen</w:t>
      </w:r>
      <w:r w:rsidRPr="00177C93">
        <w:t>-point Century Schoolbook font and the body of the brief, including footnotes and citations, contains no more than 8,750 words as indicated by Microsoft Word, the program used to prepare the brief.</w:t>
      </w:r>
    </w:p>
    <w:p w14:paraId="576E9318" w14:textId="77777777" w:rsidR="002D4BBA" w:rsidRPr="00177C93" w:rsidRDefault="002D4BBA" w:rsidP="00503187"/>
    <w:p w14:paraId="480DDD01" w14:textId="1206148E" w:rsidR="002D4BBA" w:rsidRPr="00177C93" w:rsidRDefault="002D4BBA" w:rsidP="002D4BBA">
      <w:pPr>
        <w:pStyle w:val="WW-Default"/>
        <w:spacing w:line="480" w:lineRule="auto"/>
        <w:ind w:firstLine="720"/>
        <w:jc w:val="both"/>
        <w:rPr>
          <w:rFonts w:ascii="Century Schoolbook" w:hAnsi="Century Schoolbook" w:cs="Times New Roman"/>
          <w:color w:val="000000" w:themeColor="text1"/>
          <w:sz w:val="26"/>
          <w:szCs w:val="26"/>
          <w:u w:val="single"/>
        </w:rPr>
      </w:pPr>
      <w:r w:rsidRPr="00177C93">
        <w:rPr>
          <w:rFonts w:ascii="Century Schoolbook" w:hAnsi="Century Schoolbook" w:cs="Times New Roman"/>
          <w:color w:val="000000" w:themeColor="text1"/>
          <w:sz w:val="26"/>
          <w:szCs w:val="26"/>
        </w:rPr>
        <w:t xml:space="preserve">This, the </w:t>
      </w:r>
      <w:r w:rsidR="00601A8E">
        <w:rPr>
          <w:rFonts w:ascii="Century Schoolbook" w:hAnsi="Century Schoolbook" w:cs="Times New Roman"/>
          <w:color w:val="000000" w:themeColor="text1"/>
          <w:sz w:val="26"/>
          <w:szCs w:val="26"/>
        </w:rPr>
        <w:t>1</w:t>
      </w:r>
      <w:r w:rsidR="00601A8E" w:rsidRPr="00601A8E">
        <w:rPr>
          <w:rFonts w:ascii="Century Schoolbook" w:hAnsi="Century Schoolbook" w:cs="Times New Roman"/>
          <w:color w:val="000000" w:themeColor="text1"/>
          <w:sz w:val="26"/>
          <w:szCs w:val="26"/>
          <w:vertAlign w:val="superscript"/>
        </w:rPr>
        <w:t>st</w:t>
      </w:r>
      <w:r w:rsidR="00601A8E">
        <w:rPr>
          <w:rFonts w:ascii="Century Schoolbook" w:hAnsi="Century Schoolbook" w:cs="Times New Roman"/>
          <w:color w:val="000000" w:themeColor="text1"/>
          <w:sz w:val="26"/>
          <w:szCs w:val="26"/>
        </w:rPr>
        <w:t xml:space="preserve"> day of September, 2021.</w:t>
      </w:r>
    </w:p>
    <w:p w14:paraId="56E44EAC" w14:textId="77777777" w:rsidR="00177C93" w:rsidRPr="00387DD3" w:rsidRDefault="00177C93" w:rsidP="00387DD3">
      <w:pPr>
        <w:spacing w:line="240" w:lineRule="auto"/>
        <w:rPr>
          <w:u w:val="single"/>
        </w:rPr>
      </w:pPr>
      <w:r w:rsidRPr="00177C93">
        <w:tab/>
      </w:r>
      <w:r w:rsidRPr="00177C93">
        <w:tab/>
      </w:r>
      <w:r w:rsidRPr="00177C93">
        <w:tab/>
      </w:r>
      <w:r w:rsidR="00387DD3">
        <w:tab/>
      </w:r>
      <w:r w:rsidRPr="00387DD3">
        <w:rPr>
          <w:u w:val="single"/>
        </w:rPr>
        <w:t>Electronically Submitted</w:t>
      </w:r>
    </w:p>
    <w:p w14:paraId="39043A9D" w14:textId="77777777" w:rsidR="0070209E" w:rsidRPr="0070209E" w:rsidRDefault="00177C93" w:rsidP="0070209E">
      <w:pPr>
        <w:spacing w:line="240" w:lineRule="auto"/>
      </w:pPr>
      <w:r>
        <w:rPr>
          <w:color w:val="000000" w:themeColor="text1"/>
        </w:rPr>
        <w:tab/>
      </w:r>
      <w:r>
        <w:rPr>
          <w:color w:val="000000" w:themeColor="text1"/>
        </w:rPr>
        <w:tab/>
      </w:r>
      <w:r>
        <w:rPr>
          <w:color w:val="000000" w:themeColor="text1"/>
        </w:rPr>
        <w:tab/>
      </w:r>
      <w:r w:rsidR="00387DD3">
        <w:rPr>
          <w:color w:val="000000" w:themeColor="text1"/>
        </w:rPr>
        <w:tab/>
      </w:r>
      <w:r w:rsidR="0070209E" w:rsidRPr="0070209E">
        <w:t>Kellie Mannette</w:t>
      </w:r>
    </w:p>
    <w:p w14:paraId="72497977" w14:textId="77777777" w:rsidR="0070209E" w:rsidRPr="0070209E" w:rsidRDefault="0070209E" w:rsidP="0070209E">
      <w:pPr>
        <w:spacing w:line="240" w:lineRule="auto"/>
      </w:pPr>
      <w:r>
        <w:tab/>
      </w:r>
      <w:r>
        <w:tab/>
      </w:r>
      <w:r>
        <w:tab/>
      </w:r>
      <w:r>
        <w:tab/>
      </w:r>
      <w:r w:rsidRPr="0070209E">
        <w:t>Attorney for Defendant-Appellant</w:t>
      </w:r>
    </w:p>
    <w:p w14:paraId="1872286C" w14:textId="0B96F366" w:rsidR="002D4BBA" w:rsidRPr="00177C93" w:rsidRDefault="002D4BBA" w:rsidP="0070209E">
      <w:pPr>
        <w:spacing w:line="240" w:lineRule="auto"/>
      </w:pPr>
      <w:r w:rsidRPr="00177C93">
        <w:br w:type="page"/>
      </w:r>
    </w:p>
    <w:p w14:paraId="6E856816" w14:textId="77777777" w:rsidR="002D4BBA" w:rsidRPr="00177C93" w:rsidRDefault="002D4BBA" w:rsidP="0048414B">
      <w:pPr>
        <w:pStyle w:val="Heading1"/>
      </w:pPr>
      <w:bookmarkStart w:id="54" w:name="_Toc505456217"/>
      <w:bookmarkStart w:id="55" w:name="_Toc505458121"/>
      <w:bookmarkStart w:id="56" w:name="_Toc505494715"/>
      <w:bookmarkStart w:id="57" w:name="_Toc15393850"/>
      <w:bookmarkStart w:id="58" w:name="_Toc81314878"/>
      <w:r w:rsidRPr="00177C93">
        <w:lastRenderedPageBreak/>
        <w:t>CERTIFICATE OF SERVICE</w:t>
      </w:r>
      <w:bookmarkEnd w:id="54"/>
      <w:bookmarkEnd w:id="55"/>
      <w:bookmarkEnd w:id="56"/>
      <w:bookmarkEnd w:id="57"/>
      <w:bookmarkEnd w:id="58"/>
    </w:p>
    <w:p w14:paraId="0EF6FE52" w14:textId="77777777" w:rsidR="00CA31B6" w:rsidRPr="00177C93" w:rsidRDefault="00CA31B6" w:rsidP="00387DD3">
      <w:pPr>
        <w:spacing w:line="240" w:lineRule="auto"/>
      </w:pPr>
      <w:r w:rsidRPr="00177C93">
        <w:t>I hereby certify that</w:t>
      </w:r>
      <w:r w:rsidR="00177C93">
        <w:t xml:space="preserve"> the original</w:t>
      </w:r>
      <w:r w:rsidRPr="00177C93">
        <w:t xml:space="preserve"> Defendant-Appellant’s Brief has been</w:t>
      </w:r>
      <w:r w:rsidR="00177C93">
        <w:t xml:space="preserve"> duly</w:t>
      </w:r>
      <w:r w:rsidRPr="00177C93">
        <w:t xml:space="preserve"> filed</w:t>
      </w:r>
      <w:r w:rsidR="00177C93">
        <w:t>,</w:t>
      </w:r>
      <w:r w:rsidRPr="00177C93">
        <w:t xml:space="preserve"> pursuant to Rule 26</w:t>
      </w:r>
      <w:r w:rsidR="00177C93">
        <w:t>, by electronic means</w:t>
      </w:r>
      <w:r w:rsidRPr="00177C93">
        <w:t xml:space="preserve"> with the Clerk of the North Carolina Court of Appeals.</w:t>
      </w:r>
    </w:p>
    <w:p w14:paraId="348739AD" w14:textId="77777777" w:rsidR="00CA31B6" w:rsidRPr="00177C93" w:rsidRDefault="00CA31B6" w:rsidP="00387DD3">
      <w:pPr>
        <w:spacing w:line="240" w:lineRule="auto"/>
      </w:pPr>
    </w:p>
    <w:p w14:paraId="42BC69EE" w14:textId="19DF71EC" w:rsidR="00CA31B6" w:rsidRPr="00177C93" w:rsidRDefault="00CA31B6" w:rsidP="00387DD3">
      <w:pPr>
        <w:spacing w:line="240" w:lineRule="auto"/>
      </w:pPr>
      <w:r w:rsidRPr="00177C93">
        <w:t xml:space="preserve">I further certify that a copy of the </w:t>
      </w:r>
      <w:r w:rsidR="00177C93">
        <w:t>foregoing</w:t>
      </w:r>
      <w:r w:rsidRPr="00177C93">
        <w:t xml:space="preserve"> Brief has been served upon </w:t>
      </w:r>
      <w:bookmarkStart w:id="59" w:name="_Hlk81386979"/>
      <w:r w:rsidR="00601A8E">
        <w:t>Neil Dalton</w:t>
      </w:r>
      <w:r w:rsidRPr="00177C93">
        <w:t xml:space="preserve">, </w:t>
      </w:r>
      <w:r w:rsidR="00601A8E">
        <w:t>Special Deputy</w:t>
      </w:r>
      <w:r w:rsidRPr="00177C93">
        <w:t xml:space="preserve"> Attorney General, by sending it electronically to </w:t>
      </w:r>
      <w:r w:rsidR="00CE191A" w:rsidRPr="00177C93">
        <w:t>the following</w:t>
      </w:r>
      <w:r w:rsidRPr="00177C93">
        <w:t xml:space="preserve"> current email address, </w:t>
      </w:r>
      <w:r w:rsidR="00601A8E" w:rsidRPr="00601A8E">
        <w:t>ndalton@ncdoj.gov</w:t>
      </w:r>
      <w:r w:rsidR="00601A8E">
        <w:t>.</w:t>
      </w:r>
      <w:bookmarkEnd w:id="59"/>
    </w:p>
    <w:p w14:paraId="51389F42" w14:textId="77777777" w:rsidR="00CA31B6" w:rsidRPr="00177C93" w:rsidRDefault="00CA31B6" w:rsidP="00503187"/>
    <w:p w14:paraId="044291FA" w14:textId="51977738" w:rsidR="00177C93" w:rsidRDefault="00CA31B6" w:rsidP="00503187">
      <w:r w:rsidRPr="00177C93">
        <w:t xml:space="preserve">This, the </w:t>
      </w:r>
      <w:r w:rsidR="00601A8E">
        <w:t>1</w:t>
      </w:r>
      <w:r w:rsidR="00601A8E" w:rsidRPr="00601A8E">
        <w:rPr>
          <w:vertAlign w:val="superscript"/>
        </w:rPr>
        <w:t>st</w:t>
      </w:r>
      <w:r w:rsidR="00601A8E">
        <w:t xml:space="preserve"> day of September, 2021.</w:t>
      </w:r>
    </w:p>
    <w:p w14:paraId="08E6E5FC" w14:textId="77777777" w:rsidR="00177C93" w:rsidRPr="00387DD3" w:rsidRDefault="00177C93" w:rsidP="00387DD3">
      <w:pPr>
        <w:spacing w:line="240" w:lineRule="auto"/>
        <w:rPr>
          <w:u w:val="single"/>
        </w:rPr>
      </w:pPr>
      <w:r>
        <w:tab/>
      </w:r>
      <w:r>
        <w:tab/>
      </w:r>
      <w:r>
        <w:tab/>
      </w:r>
      <w:r w:rsidR="00387DD3">
        <w:tab/>
      </w:r>
      <w:r w:rsidRPr="00387DD3">
        <w:rPr>
          <w:u w:val="single"/>
        </w:rPr>
        <w:t>Electronically Submitted</w:t>
      </w:r>
    </w:p>
    <w:p w14:paraId="48A38547" w14:textId="77777777" w:rsidR="0070209E" w:rsidRPr="0070209E" w:rsidRDefault="00177C93" w:rsidP="0070209E">
      <w:pPr>
        <w:spacing w:line="240" w:lineRule="auto"/>
      </w:pPr>
      <w:r>
        <w:rPr>
          <w:color w:val="000000" w:themeColor="text1"/>
        </w:rPr>
        <w:tab/>
      </w:r>
      <w:r>
        <w:rPr>
          <w:color w:val="000000" w:themeColor="text1"/>
        </w:rPr>
        <w:tab/>
      </w:r>
      <w:r>
        <w:rPr>
          <w:color w:val="000000" w:themeColor="text1"/>
        </w:rPr>
        <w:tab/>
      </w:r>
      <w:r w:rsidR="00387DD3">
        <w:rPr>
          <w:color w:val="000000" w:themeColor="text1"/>
        </w:rPr>
        <w:tab/>
      </w:r>
      <w:r w:rsidR="0070209E" w:rsidRPr="0070209E">
        <w:t>Kellie Mannette</w:t>
      </w:r>
    </w:p>
    <w:p w14:paraId="443CCB8F" w14:textId="77777777" w:rsidR="0070209E" w:rsidRPr="0070209E" w:rsidRDefault="0070209E" w:rsidP="0070209E">
      <w:pPr>
        <w:spacing w:line="240" w:lineRule="auto"/>
      </w:pPr>
      <w:r>
        <w:tab/>
      </w:r>
      <w:r>
        <w:tab/>
      </w:r>
      <w:r>
        <w:tab/>
      </w:r>
      <w:r>
        <w:tab/>
      </w:r>
      <w:r w:rsidRPr="0070209E">
        <w:t>Attorney for Defendant-Appellant</w:t>
      </w:r>
    </w:p>
    <w:p w14:paraId="64F437D3" w14:textId="07C5C1AC" w:rsidR="00B542FE" w:rsidRPr="00177C93" w:rsidRDefault="00B542FE" w:rsidP="0070209E">
      <w:pPr>
        <w:spacing w:line="240" w:lineRule="auto"/>
      </w:pPr>
    </w:p>
    <w:sectPr w:rsidR="00B542FE" w:rsidRPr="00177C93" w:rsidSect="00BF0874">
      <w:pgSz w:w="12240" w:h="15840"/>
      <w:pgMar w:top="1440" w:right="1440" w:bottom="1440" w:left="1440"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4F719" w14:textId="77777777" w:rsidR="00DE3C7B" w:rsidRDefault="00DE3C7B" w:rsidP="00503187">
      <w:r>
        <w:separator/>
      </w:r>
    </w:p>
    <w:p w14:paraId="18183F2B" w14:textId="77777777" w:rsidR="00DE3C7B" w:rsidRDefault="00DE3C7B" w:rsidP="00503187"/>
  </w:endnote>
  <w:endnote w:type="continuationSeparator" w:id="0">
    <w:p w14:paraId="1DC71976" w14:textId="77777777" w:rsidR="00DE3C7B" w:rsidRDefault="00DE3C7B" w:rsidP="00503187">
      <w:r>
        <w:continuationSeparator/>
      </w:r>
    </w:p>
    <w:p w14:paraId="7A28770A" w14:textId="77777777" w:rsidR="00DE3C7B" w:rsidRDefault="00DE3C7B" w:rsidP="00503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50485" w14:textId="77777777" w:rsidR="00DE3C7B" w:rsidRDefault="00DE3C7B" w:rsidP="00503187">
      <w:r>
        <w:separator/>
      </w:r>
    </w:p>
    <w:p w14:paraId="47FB4752" w14:textId="77777777" w:rsidR="00DE3C7B" w:rsidRDefault="00DE3C7B" w:rsidP="00503187"/>
  </w:footnote>
  <w:footnote w:type="continuationSeparator" w:id="0">
    <w:p w14:paraId="2E53F1FE" w14:textId="77777777" w:rsidR="00DE3C7B" w:rsidRDefault="00DE3C7B" w:rsidP="00503187">
      <w:r>
        <w:continuationSeparator/>
      </w:r>
    </w:p>
    <w:p w14:paraId="65775697" w14:textId="77777777" w:rsidR="00DE3C7B" w:rsidRDefault="00DE3C7B" w:rsidP="005031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42B7" w14:textId="77777777" w:rsidR="00BF0874" w:rsidRPr="00BF0874" w:rsidRDefault="006E62DB" w:rsidP="007520CA">
    <w:pPr>
      <w:pStyle w:val="Headers"/>
    </w:pPr>
    <w:r>
      <w:t>-</w:t>
    </w:r>
    <w:r w:rsidR="00BF0874">
      <w:fldChar w:fldCharType="begin"/>
    </w:r>
    <w:r w:rsidR="00BF0874">
      <w:instrText xml:space="preserve"> PAGE   \* MERGEFORMAT </w:instrText>
    </w:r>
    <w:r w:rsidR="00BF0874">
      <w:fldChar w:fldCharType="separate"/>
    </w:r>
    <w:r w:rsidR="00A33453">
      <w:rPr>
        <w:noProof/>
      </w:rPr>
      <w:t>6</w:t>
    </w:r>
    <w:r w:rsidR="00BF0874">
      <w:rPr>
        <w:noProof/>
      </w:rPr>
      <w:fldChar w:fldCharType="end"/>
    </w:r>
    <w:r>
      <w:rPr>
        <w:noProo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2"/>
    <w:lvl w:ilvl="0">
      <w:start w:val="1"/>
      <w:numFmt w:val="none"/>
      <w:suff w:val="nothing"/>
      <w:lvlText w:val=""/>
      <w:lvlJc w:val="left"/>
      <w:pPr>
        <w:tabs>
          <w:tab w:val="num" w:pos="4032"/>
        </w:tabs>
        <w:ind w:left="4032" w:hanging="432"/>
      </w:pPr>
      <w:rPr>
        <w:rFonts w:cs="Times New Roman"/>
      </w:rPr>
    </w:lvl>
    <w:lvl w:ilvl="1">
      <w:start w:val="1"/>
      <w:numFmt w:val="none"/>
      <w:suff w:val="nothing"/>
      <w:lvlText w:val=""/>
      <w:lvlJc w:val="left"/>
      <w:pPr>
        <w:tabs>
          <w:tab w:val="num" w:pos="4176"/>
        </w:tabs>
        <w:ind w:left="4176" w:hanging="576"/>
      </w:pPr>
      <w:rPr>
        <w:rFonts w:cs="Times New Roman"/>
      </w:rPr>
    </w:lvl>
    <w:lvl w:ilvl="2">
      <w:start w:val="1"/>
      <w:numFmt w:val="none"/>
      <w:suff w:val="nothing"/>
      <w:lvlText w:val=""/>
      <w:lvlJc w:val="left"/>
      <w:pPr>
        <w:tabs>
          <w:tab w:val="num" w:pos="4320"/>
        </w:tabs>
        <w:ind w:left="4320" w:hanging="720"/>
      </w:pPr>
      <w:rPr>
        <w:rFonts w:cs="Times New Roman"/>
      </w:rPr>
    </w:lvl>
    <w:lvl w:ilvl="3">
      <w:start w:val="1"/>
      <w:numFmt w:val="none"/>
      <w:suff w:val="nothing"/>
      <w:lvlText w:val=""/>
      <w:lvlJc w:val="left"/>
      <w:pPr>
        <w:tabs>
          <w:tab w:val="num" w:pos="4464"/>
        </w:tabs>
        <w:ind w:left="4464" w:hanging="864"/>
      </w:pPr>
      <w:rPr>
        <w:rFonts w:cs="Times New Roman"/>
      </w:rPr>
    </w:lvl>
    <w:lvl w:ilvl="4">
      <w:start w:val="1"/>
      <w:numFmt w:val="none"/>
      <w:suff w:val="nothing"/>
      <w:lvlText w:val=""/>
      <w:lvlJc w:val="left"/>
      <w:pPr>
        <w:tabs>
          <w:tab w:val="num" w:pos="4608"/>
        </w:tabs>
        <w:ind w:left="4608" w:hanging="1008"/>
      </w:pPr>
      <w:rPr>
        <w:rFonts w:cs="Times New Roman"/>
      </w:rPr>
    </w:lvl>
    <w:lvl w:ilvl="5">
      <w:start w:val="1"/>
      <w:numFmt w:val="none"/>
      <w:suff w:val="nothing"/>
      <w:lvlText w:val=""/>
      <w:lvlJc w:val="left"/>
      <w:pPr>
        <w:tabs>
          <w:tab w:val="num" w:pos="4752"/>
        </w:tabs>
        <w:ind w:left="4752" w:hanging="1152"/>
      </w:pPr>
      <w:rPr>
        <w:rFonts w:cs="Times New Roman"/>
      </w:rPr>
    </w:lvl>
    <w:lvl w:ilvl="6">
      <w:start w:val="1"/>
      <w:numFmt w:val="none"/>
      <w:suff w:val="nothing"/>
      <w:lvlText w:val=""/>
      <w:lvlJc w:val="left"/>
      <w:pPr>
        <w:tabs>
          <w:tab w:val="num" w:pos="4896"/>
        </w:tabs>
        <w:ind w:left="4896" w:hanging="1296"/>
      </w:pPr>
      <w:rPr>
        <w:rFonts w:cs="Times New Roman"/>
      </w:rPr>
    </w:lvl>
    <w:lvl w:ilvl="7">
      <w:start w:val="1"/>
      <w:numFmt w:val="none"/>
      <w:suff w:val="nothing"/>
      <w:lvlText w:val=""/>
      <w:lvlJc w:val="left"/>
      <w:pPr>
        <w:tabs>
          <w:tab w:val="num" w:pos="5040"/>
        </w:tabs>
        <w:ind w:left="5040" w:hanging="1440"/>
      </w:pPr>
      <w:rPr>
        <w:rFonts w:cs="Times New Roman"/>
      </w:rPr>
    </w:lvl>
    <w:lvl w:ilvl="8">
      <w:start w:val="1"/>
      <w:numFmt w:val="none"/>
      <w:suff w:val="nothing"/>
      <w:lvlText w:val=""/>
      <w:lvlJc w:val="left"/>
      <w:pPr>
        <w:tabs>
          <w:tab w:val="num" w:pos="5184"/>
        </w:tabs>
        <w:ind w:left="5184" w:hanging="1584"/>
      </w:pPr>
      <w:rPr>
        <w:rFonts w:cs="Times New Roman"/>
      </w:rPr>
    </w:lvl>
  </w:abstractNum>
  <w:abstractNum w:abstractNumId="1" w15:restartNumberingAfterBreak="0">
    <w:nsid w:val="00000006"/>
    <w:multiLevelType w:val="multilevel"/>
    <w:tmpl w:val="AABEB4FC"/>
    <w:lvl w:ilvl="0">
      <w:start w:val="1"/>
      <w:numFmt w:val="none"/>
      <w:pStyle w:val="Heading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A423951"/>
    <w:multiLevelType w:val="hybridMultilevel"/>
    <w:tmpl w:val="691487A2"/>
    <w:lvl w:ilvl="0" w:tplc="3A0C35EE">
      <w:start w:val="1"/>
      <w:numFmt w:val="upperLetter"/>
      <w:pStyle w:val="Heading3"/>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57322"/>
    <w:multiLevelType w:val="hybridMultilevel"/>
    <w:tmpl w:val="350A2F88"/>
    <w:lvl w:ilvl="0" w:tplc="725E11B8">
      <w:start w:val="1"/>
      <w:numFmt w:val="lowerRoman"/>
      <w:pStyle w:val="Heading4"/>
      <w:lvlText w:val="%1."/>
      <w:lvlJc w:val="righ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C801795"/>
    <w:multiLevelType w:val="hybridMultilevel"/>
    <w:tmpl w:val="6894847C"/>
    <w:lvl w:ilvl="0" w:tplc="78B41A6E">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0F0152"/>
    <w:multiLevelType w:val="hybridMultilevel"/>
    <w:tmpl w:val="C2A8433A"/>
    <w:lvl w:ilvl="0" w:tplc="26C48DC6">
      <w:start w:val="1"/>
      <w:numFmt w:val="upperRoman"/>
      <w:pStyle w:val="Heading2"/>
      <w:lvlText w:val="%1."/>
      <w:lvlJc w:val="right"/>
      <w:pPr>
        <w:tabs>
          <w:tab w:val="num" w:pos="720"/>
        </w:tabs>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C53B9F"/>
    <w:multiLevelType w:val="hybridMultilevel"/>
    <w:tmpl w:val="04EC3A98"/>
    <w:lvl w:ilvl="0" w:tplc="B6682B3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
  </w:num>
  <w:num w:numId="4">
    <w:abstractNumId w:val="2"/>
  </w:num>
  <w:num w:numId="5">
    <w:abstractNumId w:val="5"/>
  </w:num>
  <w:num w:numId="6">
    <w:abstractNumId w:val="3"/>
  </w:num>
  <w:num w:numId="7">
    <w:abstractNumId w:val="5"/>
    <w:lvlOverride w:ilvl="0">
      <w:startOverride w:val="1"/>
    </w:lvlOverride>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09E"/>
    <w:rsid w:val="0002782A"/>
    <w:rsid w:val="00031BE1"/>
    <w:rsid w:val="00056121"/>
    <w:rsid w:val="00057139"/>
    <w:rsid w:val="000648F0"/>
    <w:rsid w:val="00066670"/>
    <w:rsid w:val="00071EC6"/>
    <w:rsid w:val="00072FA2"/>
    <w:rsid w:val="000A2BC3"/>
    <w:rsid w:val="000A3725"/>
    <w:rsid w:val="000D423F"/>
    <w:rsid w:val="000E4172"/>
    <w:rsid w:val="000F1F49"/>
    <w:rsid w:val="000F47D3"/>
    <w:rsid w:val="00120945"/>
    <w:rsid w:val="00155250"/>
    <w:rsid w:val="0017763A"/>
    <w:rsid w:val="00177C93"/>
    <w:rsid w:val="00181127"/>
    <w:rsid w:val="001820C0"/>
    <w:rsid w:val="001822FD"/>
    <w:rsid w:val="001D2F07"/>
    <w:rsid w:val="001D489D"/>
    <w:rsid w:val="001E555D"/>
    <w:rsid w:val="001E6B11"/>
    <w:rsid w:val="00205940"/>
    <w:rsid w:val="0021400E"/>
    <w:rsid w:val="00221861"/>
    <w:rsid w:val="002A6FB1"/>
    <w:rsid w:val="002B2C4C"/>
    <w:rsid w:val="002B3306"/>
    <w:rsid w:val="002B576B"/>
    <w:rsid w:val="002D4BBA"/>
    <w:rsid w:val="002E0AFB"/>
    <w:rsid w:val="00324E82"/>
    <w:rsid w:val="00336AD7"/>
    <w:rsid w:val="003505CA"/>
    <w:rsid w:val="00352D0E"/>
    <w:rsid w:val="0036530B"/>
    <w:rsid w:val="00387DD3"/>
    <w:rsid w:val="00392F5B"/>
    <w:rsid w:val="003A04ED"/>
    <w:rsid w:val="003E5501"/>
    <w:rsid w:val="003F1AB3"/>
    <w:rsid w:val="00457681"/>
    <w:rsid w:val="00460DEC"/>
    <w:rsid w:val="0048414B"/>
    <w:rsid w:val="00493EF9"/>
    <w:rsid w:val="0049618A"/>
    <w:rsid w:val="004A4D35"/>
    <w:rsid w:val="004A7799"/>
    <w:rsid w:val="004D0404"/>
    <w:rsid w:val="004D5034"/>
    <w:rsid w:val="004E0EB6"/>
    <w:rsid w:val="004F12F8"/>
    <w:rsid w:val="004F2756"/>
    <w:rsid w:val="004F77AD"/>
    <w:rsid w:val="00501C36"/>
    <w:rsid w:val="00503187"/>
    <w:rsid w:val="0050596C"/>
    <w:rsid w:val="00513146"/>
    <w:rsid w:val="005473A4"/>
    <w:rsid w:val="005536D5"/>
    <w:rsid w:val="0057601C"/>
    <w:rsid w:val="0059638D"/>
    <w:rsid w:val="005A27E9"/>
    <w:rsid w:val="005D1E6D"/>
    <w:rsid w:val="005D612E"/>
    <w:rsid w:val="005D7797"/>
    <w:rsid w:val="005E4A7F"/>
    <w:rsid w:val="00601A8E"/>
    <w:rsid w:val="0061044E"/>
    <w:rsid w:val="00625877"/>
    <w:rsid w:val="00656634"/>
    <w:rsid w:val="00677088"/>
    <w:rsid w:val="006B60B4"/>
    <w:rsid w:val="006D7AC9"/>
    <w:rsid w:val="006E62DB"/>
    <w:rsid w:val="006F16A6"/>
    <w:rsid w:val="006F308E"/>
    <w:rsid w:val="0070209E"/>
    <w:rsid w:val="00711392"/>
    <w:rsid w:val="00717AE0"/>
    <w:rsid w:val="00723A39"/>
    <w:rsid w:val="00746ED6"/>
    <w:rsid w:val="007520CA"/>
    <w:rsid w:val="00752519"/>
    <w:rsid w:val="00776C8C"/>
    <w:rsid w:val="0079085D"/>
    <w:rsid w:val="007A0F8E"/>
    <w:rsid w:val="007B13DA"/>
    <w:rsid w:val="007C7AE5"/>
    <w:rsid w:val="007C7DC2"/>
    <w:rsid w:val="007E6D06"/>
    <w:rsid w:val="007F2519"/>
    <w:rsid w:val="007F7CFF"/>
    <w:rsid w:val="00823A15"/>
    <w:rsid w:val="0083302A"/>
    <w:rsid w:val="00841C85"/>
    <w:rsid w:val="00843A2C"/>
    <w:rsid w:val="008544EA"/>
    <w:rsid w:val="008801CF"/>
    <w:rsid w:val="0088324B"/>
    <w:rsid w:val="00895DD8"/>
    <w:rsid w:val="008D39AA"/>
    <w:rsid w:val="008D5444"/>
    <w:rsid w:val="008D6E77"/>
    <w:rsid w:val="008E6111"/>
    <w:rsid w:val="008F01EC"/>
    <w:rsid w:val="00917446"/>
    <w:rsid w:val="00922EC1"/>
    <w:rsid w:val="00934B39"/>
    <w:rsid w:val="009431B3"/>
    <w:rsid w:val="00943817"/>
    <w:rsid w:val="00966ABF"/>
    <w:rsid w:val="00972D69"/>
    <w:rsid w:val="00974ECA"/>
    <w:rsid w:val="00976260"/>
    <w:rsid w:val="00994866"/>
    <w:rsid w:val="009955A6"/>
    <w:rsid w:val="009B28F1"/>
    <w:rsid w:val="009D4B37"/>
    <w:rsid w:val="009E266C"/>
    <w:rsid w:val="009F33B1"/>
    <w:rsid w:val="009F61B2"/>
    <w:rsid w:val="00A06003"/>
    <w:rsid w:val="00A134DC"/>
    <w:rsid w:val="00A305BB"/>
    <w:rsid w:val="00A33453"/>
    <w:rsid w:val="00A70963"/>
    <w:rsid w:val="00A75433"/>
    <w:rsid w:val="00A8544C"/>
    <w:rsid w:val="00A864C2"/>
    <w:rsid w:val="00A87CF2"/>
    <w:rsid w:val="00A87DEA"/>
    <w:rsid w:val="00AB0DB8"/>
    <w:rsid w:val="00AB268E"/>
    <w:rsid w:val="00AB4AF1"/>
    <w:rsid w:val="00AC21A0"/>
    <w:rsid w:val="00AF3F38"/>
    <w:rsid w:val="00AF492E"/>
    <w:rsid w:val="00B00755"/>
    <w:rsid w:val="00B06389"/>
    <w:rsid w:val="00B34101"/>
    <w:rsid w:val="00B35389"/>
    <w:rsid w:val="00B44801"/>
    <w:rsid w:val="00B466ED"/>
    <w:rsid w:val="00B542FE"/>
    <w:rsid w:val="00B57CF3"/>
    <w:rsid w:val="00B7136F"/>
    <w:rsid w:val="00B93BA3"/>
    <w:rsid w:val="00BA154E"/>
    <w:rsid w:val="00BA5DA8"/>
    <w:rsid w:val="00BB6FDB"/>
    <w:rsid w:val="00BC506F"/>
    <w:rsid w:val="00BE685A"/>
    <w:rsid w:val="00BE7DA9"/>
    <w:rsid w:val="00BF0874"/>
    <w:rsid w:val="00C15D82"/>
    <w:rsid w:val="00C214CC"/>
    <w:rsid w:val="00C37AC8"/>
    <w:rsid w:val="00C47476"/>
    <w:rsid w:val="00C5252E"/>
    <w:rsid w:val="00C54390"/>
    <w:rsid w:val="00C84AE8"/>
    <w:rsid w:val="00C91849"/>
    <w:rsid w:val="00C9256C"/>
    <w:rsid w:val="00C95FC1"/>
    <w:rsid w:val="00CA00AB"/>
    <w:rsid w:val="00CA10BE"/>
    <w:rsid w:val="00CA31B6"/>
    <w:rsid w:val="00CB5DF8"/>
    <w:rsid w:val="00CC75E8"/>
    <w:rsid w:val="00CE191A"/>
    <w:rsid w:val="00CE58F7"/>
    <w:rsid w:val="00CF0879"/>
    <w:rsid w:val="00D21A02"/>
    <w:rsid w:val="00D33A37"/>
    <w:rsid w:val="00D34AE7"/>
    <w:rsid w:val="00D50836"/>
    <w:rsid w:val="00D5502C"/>
    <w:rsid w:val="00D56926"/>
    <w:rsid w:val="00DA61C8"/>
    <w:rsid w:val="00DC3250"/>
    <w:rsid w:val="00DC668A"/>
    <w:rsid w:val="00DE3C7B"/>
    <w:rsid w:val="00DE41B8"/>
    <w:rsid w:val="00DF410D"/>
    <w:rsid w:val="00E17221"/>
    <w:rsid w:val="00E318ED"/>
    <w:rsid w:val="00E33E9A"/>
    <w:rsid w:val="00E37DC9"/>
    <w:rsid w:val="00E57803"/>
    <w:rsid w:val="00E7208D"/>
    <w:rsid w:val="00E8790B"/>
    <w:rsid w:val="00E95820"/>
    <w:rsid w:val="00EA668A"/>
    <w:rsid w:val="00ED535A"/>
    <w:rsid w:val="00EE1313"/>
    <w:rsid w:val="00F010D8"/>
    <w:rsid w:val="00F072D1"/>
    <w:rsid w:val="00F11C47"/>
    <w:rsid w:val="00F23871"/>
    <w:rsid w:val="00FA54B8"/>
    <w:rsid w:val="00FC0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805A5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AF1"/>
    <w:pPr>
      <w:widowControl w:val="0"/>
      <w:tabs>
        <w:tab w:val="left" w:pos="720"/>
        <w:tab w:val="left" w:pos="1440"/>
        <w:tab w:val="left" w:pos="2160"/>
        <w:tab w:val="left" w:pos="2880"/>
        <w:tab w:val="left" w:pos="4680"/>
        <w:tab w:val="left" w:pos="7200"/>
      </w:tabs>
      <w:suppressAutoHyphens/>
      <w:spacing w:line="480" w:lineRule="auto"/>
      <w:ind w:firstLine="720"/>
      <w:contextualSpacing/>
      <w:jc w:val="both"/>
    </w:pPr>
    <w:rPr>
      <w:rFonts w:ascii="Century Schoolbook" w:eastAsia="Times New Roman" w:hAnsi="Century Schoolbook" w:cs="Times New Roman"/>
      <w:color w:val="000000"/>
      <w:kern w:val="1"/>
      <w:sz w:val="26"/>
      <w:szCs w:val="28"/>
    </w:rPr>
  </w:style>
  <w:style w:type="paragraph" w:styleId="Heading1">
    <w:name w:val="heading 1"/>
    <w:basedOn w:val="Normal"/>
    <w:next w:val="Normal"/>
    <w:link w:val="Heading1Char"/>
    <w:uiPriority w:val="9"/>
    <w:qFormat/>
    <w:rsid w:val="0048414B"/>
    <w:pPr>
      <w:numPr>
        <w:numId w:val="1"/>
      </w:numPr>
      <w:tabs>
        <w:tab w:val="left" w:pos="0"/>
      </w:tabs>
      <w:spacing w:after="280" w:line="240" w:lineRule="auto"/>
      <w:ind w:left="0" w:firstLine="0"/>
      <w:jc w:val="center"/>
      <w:outlineLvl w:val="0"/>
    </w:pPr>
    <w:rPr>
      <w:b/>
      <w:bCs/>
      <w:szCs w:val="26"/>
      <w:u w:val="single"/>
    </w:rPr>
  </w:style>
  <w:style w:type="paragraph" w:styleId="Heading2">
    <w:name w:val="heading 2"/>
    <w:basedOn w:val="Normal"/>
    <w:next w:val="Normal"/>
    <w:link w:val="Heading2Char"/>
    <w:uiPriority w:val="9"/>
    <w:qFormat/>
    <w:rsid w:val="0059638D"/>
    <w:pPr>
      <w:numPr>
        <w:numId w:val="5"/>
      </w:numPr>
      <w:tabs>
        <w:tab w:val="clear" w:pos="720"/>
        <w:tab w:val="left" w:pos="0"/>
      </w:tabs>
      <w:spacing w:after="280" w:line="240" w:lineRule="auto"/>
      <w:outlineLvl w:val="1"/>
    </w:pPr>
    <w:rPr>
      <w:b/>
      <w:bCs/>
      <w:szCs w:val="26"/>
    </w:rPr>
  </w:style>
  <w:style w:type="paragraph" w:styleId="Heading3">
    <w:name w:val="heading 3"/>
    <w:basedOn w:val="Normal"/>
    <w:next w:val="Normal"/>
    <w:link w:val="Heading3Char"/>
    <w:uiPriority w:val="9"/>
    <w:unhideWhenUsed/>
    <w:qFormat/>
    <w:rsid w:val="0059638D"/>
    <w:pPr>
      <w:keepNext/>
      <w:keepLines/>
      <w:numPr>
        <w:numId w:val="4"/>
      </w:numPr>
      <w:spacing w:after="280" w:line="240" w:lineRule="auto"/>
      <w:outlineLvl w:val="2"/>
    </w:pPr>
    <w:rPr>
      <w:rFonts w:eastAsiaTheme="majorEastAsia" w:cstheme="majorBidi"/>
      <w:szCs w:val="24"/>
      <w:u w:val="single"/>
    </w:rPr>
  </w:style>
  <w:style w:type="paragraph" w:styleId="Heading4">
    <w:name w:val="heading 4"/>
    <w:basedOn w:val="Normal"/>
    <w:next w:val="Normal"/>
    <w:link w:val="Heading4Char"/>
    <w:uiPriority w:val="9"/>
    <w:qFormat/>
    <w:rsid w:val="0059638D"/>
    <w:pPr>
      <w:numPr>
        <w:numId w:val="6"/>
      </w:numPr>
      <w:tabs>
        <w:tab w:val="clear" w:pos="1440"/>
      </w:tabs>
      <w:spacing w:after="280" w:line="240" w:lineRule="auto"/>
      <w:outlineLvl w:val="3"/>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rsid w:val="00B542FE"/>
    <w:pPr>
      <w:widowControl w:val="0"/>
      <w:suppressAutoHyphens/>
      <w:autoSpaceDE w:val="0"/>
    </w:pPr>
    <w:rPr>
      <w:rFonts w:ascii="TimesNewRomanPSMT" w:eastAsia="Times New Roman" w:hAnsi="TimesNewRomanPSMT" w:cs="TimesNewRomanPSMT"/>
      <w:kern w:val="1"/>
      <w:sz w:val="24"/>
      <w:szCs w:val="24"/>
      <w:lang w:eastAsia="hi-IN" w:bidi="hi-IN"/>
    </w:rPr>
  </w:style>
  <w:style w:type="character" w:customStyle="1" w:styleId="Heading1Char">
    <w:name w:val="Heading 1 Char"/>
    <w:basedOn w:val="DefaultParagraphFont"/>
    <w:link w:val="Heading1"/>
    <w:uiPriority w:val="9"/>
    <w:rsid w:val="0048414B"/>
    <w:rPr>
      <w:rFonts w:ascii="Century Schoolbook" w:eastAsia="Times New Roman" w:hAnsi="Century Schoolbook" w:cs="Times New Roman"/>
      <w:b/>
      <w:bCs/>
      <w:color w:val="000000"/>
      <w:kern w:val="1"/>
      <w:sz w:val="26"/>
      <w:szCs w:val="26"/>
      <w:u w:val="single"/>
    </w:rPr>
  </w:style>
  <w:style w:type="character" w:customStyle="1" w:styleId="Heading2Char">
    <w:name w:val="Heading 2 Char"/>
    <w:basedOn w:val="DefaultParagraphFont"/>
    <w:link w:val="Heading2"/>
    <w:uiPriority w:val="9"/>
    <w:rsid w:val="0059638D"/>
    <w:rPr>
      <w:rFonts w:ascii="Century Schoolbook" w:eastAsia="Times New Roman" w:hAnsi="Century Schoolbook" w:cs="Times New Roman"/>
      <w:b/>
      <w:bCs/>
      <w:color w:val="000000"/>
      <w:kern w:val="1"/>
      <w:sz w:val="26"/>
      <w:szCs w:val="26"/>
    </w:rPr>
  </w:style>
  <w:style w:type="character" w:customStyle="1" w:styleId="Heading4Char">
    <w:name w:val="Heading 4 Char"/>
    <w:basedOn w:val="DefaultParagraphFont"/>
    <w:link w:val="Heading4"/>
    <w:uiPriority w:val="9"/>
    <w:rsid w:val="0059638D"/>
    <w:rPr>
      <w:rFonts w:ascii="Century Schoolbook" w:eastAsia="Times New Roman" w:hAnsi="Century Schoolbook" w:cs="Times New Roman"/>
      <w:bCs/>
      <w:i/>
      <w:iCs/>
      <w:color w:val="000000"/>
      <w:kern w:val="1"/>
      <w:sz w:val="26"/>
      <w:szCs w:val="26"/>
    </w:rPr>
  </w:style>
  <w:style w:type="paragraph" w:styleId="FootnoteText">
    <w:name w:val="footnote text"/>
    <w:basedOn w:val="Normal"/>
    <w:link w:val="FootnoteTextChar"/>
    <w:uiPriority w:val="99"/>
    <w:unhideWhenUsed/>
    <w:rsid w:val="00AB4AF1"/>
    <w:pPr>
      <w:spacing w:line="240" w:lineRule="auto"/>
    </w:pPr>
    <w:rPr>
      <w:szCs w:val="20"/>
    </w:rPr>
  </w:style>
  <w:style w:type="character" w:customStyle="1" w:styleId="FootnoteTextChar">
    <w:name w:val="Footnote Text Char"/>
    <w:basedOn w:val="DefaultParagraphFont"/>
    <w:link w:val="FootnoteText"/>
    <w:uiPriority w:val="99"/>
    <w:rsid w:val="00AB4AF1"/>
    <w:rPr>
      <w:rFonts w:ascii="Century Schoolbook" w:eastAsia="Times New Roman" w:hAnsi="Century Schoolbook" w:cs="Times New Roman"/>
      <w:color w:val="000000"/>
      <w:kern w:val="1"/>
      <w:sz w:val="26"/>
      <w:szCs w:val="20"/>
    </w:rPr>
  </w:style>
  <w:style w:type="character" w:styleId="FootnoteReference">
    <w:name w:val="footnote reference"/>
    <w:uiPriority w:val="99"/>
    <w:rsid w:val="00B542FE"/>
    <w:rPr>
      <w:rFonts w:cs="Times New Roman"/>
      <w:vertAlign w:val="superscript"/>
    </w:rPr>
  </w:style>
  <w:style w:type="character" w:customStyle="1" w:styleId="Heading3Char">
    <w:name w:val="Heading 3 Char"/>
    <w:basedOn w:val="DefaultParagraphFont"/>
    <w:link w:val="Heading3"/>
    <w:uiPriority w:val="9"/>
    <w:rsid w:val="0059638D"/>
    <w:rPr>
      <w:rFonts w:ascii="Century Schoolbook" w:eastAsiaTheme="majorEastAsia" w:hAnsi="Century Schoolbook" w:cstheme="majorBidi"/>
      <w:color w:val="000000"/>
      <w:kern w:val="1"/>
      <w:sz w:val="26"/>
      <w:szCs w:val="24"/>
      <w:u w:val="single"/>
    </w:rPr>
  </w:style>
  <w:style w:type="character" w:styleId="Hyperlink">
    <w:name w:val="Hyperlink"/>
    <w:basedOn w:val="DefaultParagraphFont"/>
    <w:uiPriority w:val="99"/>
    <w:unhideWhenUsed/>
    <w:rsid w:val="00776C8C"/>
    <w:rPr>
      <w:color w:val="0563C1" w:themeColor="hyperlink"/>
      <w:u w:val="single"/>
    </w:rPr>
  </w:style>
  <w:style w:type="paragraph" w:styleId="BodyText">
    <w:name w:val="Body Text"/>
    <w:basedOn w:val="Normal"/>
    <w:link w:val="BodyTextChar"/>
    <w:uiPriority w:val="99"/>
    <w:semiHidden/>
    <w:unhideWhenUsed/>
    <w:rsid w:val="00B542FE"/>
    <w:pPr>
      <w:spacing w:after="120"/>
    </w:pPr>
  </w:style>
  <w:style w:type="character" w:customStyle="1" w:styleId="BodyTextChar">
    <w:name w:val="Body Text Char"/>
    <w:basedOn w:val="DefaultParagraphFont"/>
    <w:link w:val="BodyText"/>
    <w:uiPriority w:val="99"/>
    <w:semiHidden/>
    <w:rsid w:val="00B542FE"/>
  </w:style>
  <w:style w:type="paragraph" w:styleId="TOC1">
    <w:name w:val="toc 1"/>
    <w:basedOn w:val="Normal"/>
    <w:next w:val="Normal"/>
    <w:autoRedefine/>
    <w:uiPriority w:val="39"/>
    <w:unhideWhenUsed/>
    <w:rsid w:val="00D21A02"/>
    <w:pPr>
      <w:tabs>
        <w:tab w:val="clear" w:pos="720"/>
        <w:tab w:val="clear" w:pos="1440"/>
        <w:tab w:val="clear" w:pos="2160"/>
        <w:tab w:val="clear" w:pos="2880"/>
        <w:tab w:val="clear" w:pos="4680"/>
        <w:tab w:val="right" w:leader="dot" w:pos="7200"/>
      </w:tabs>
      <w:spacing w:after="280" w:line="240" w:lineRule="auto"/>
      <w:ind w:right="720" w:firstLine="0"/>
      <w:contextualSpacing w:val="0"/>
    </w:pPr>
    <w:rPr>
      <w:rFonts w:cs="Mangal"/>
      <w:szCs w:val="25"/>
    </w:rPr>
  </w:style>
  <w:style w:type="paragraph" w:styleId="TOC2">
    <w:name w:val="toc 2"/>
    <w:basedOn w:val="Normal"/>
    <w:next w:val="Normal"/>
    <w:autoRedefine/>
    <w:uiPriority w:val="39"/>
    <w:unhideWhenUsed/>
    <w:rsid w:val="00D21A02"/>
    <w:pPr>
      <w:tabs>
        <w:tab w:val="clear" w:pos="720"/>
        <w:tab w:val="clear" w:pos="1440"/>
        <w:tab w:val="clear" w:pos="2160"/>
        <w:tab w:val="clear" w:pos="2880"/>
        <w:tab w:val="clear" w:pos="4680"/>
        <w:tab w:val="right" w:leader="dot" w:pos="7200"/>
      </w:tabs>
      <w:spacing w:after="280" w:line="240" w:lineRule="auto"/>
      <w:ind w:left="360" w:right="720" w:firstLine="0"/>
      <w:contextualSpacing w:val="0"/>
    </w:pPr>
    <w:rPr>
      <w:rFonts w:cs="Mangal"/>
      <w:szCs w:val="25"/>
    </w:rPr>
  </w:style>
  <w:style w:type="paragraph" w:styleId="TOC3">
    <w:name w:val="toc 3"/>
    <w:basedOn w:val="Normal"/>
    <w:next w:val="Normal"/>
    <w:autoRedefine/>
    <w:uiPriority w:val="39"/>
    <w:unhideWhenUsed/>
    <w:rsid w:val="00D21A02"/>
    <w:pPr>
      <w:tabs>
        <w:tab w:val="clear" w:pos="720"/>
        <w:tab w:val="clear" w:pos="1440"/>
        <w:tab w:val="clear" w:pos="2160"/>
        <w:tab w:val="clear" w:pos="2880"/>
        <w:tab w:val="clear" w:pos="4680"/>
        <w:tab w:val="right" w:leader="dot" w:pos="7200"/>
      </w:tabs>
      <w:spacing w:after="280" w:line="240" w:lineRule="auto"/>
      <w:ind w:left="720" w:right="720" w:firstLine="0"/>
      <w:contextualSpacing w:val="0"/>
    </w:pPr>
    <w:rPr>
      <w:rFonts w:cs="Mangal"/>
      <w:szCs w:val="25"/>
    </w:rPr>
  </w:style>
  <w:style w:type="paragraph" w:styleId="TOC4">
    <w:name w:val="toc 4"/>
    <w:basedOn w:val="Normal"/>
    <w:next w:val="Normal"/>
    <w:autoRedefine/>
    <w:uiPriority w:val="39"/>
    <w:unhideWhenUsed/>
    <w:rsid w:val="00D21A02"/>
    <w:pPr>
      <w:tabs>
        <w:tab w:val="clear" w:pos="720"/>
        <w:tab w:val="clear" w:pos="1440"/>
        <w:tab w:val="clear" w:pos="2160"/>
        <w:tab w:val="clear" w:pos="2880"/>
        <w:tab w:val="clear" w:pos="4680"/>
        <w:tab w:val="right" w:leader="dot" w:pos="7200"/>
      </w:tabs>
      <w:spacing w:after="280" w:line="240" w:lineRule="auto"/>
      <w:ind w:left="1080" w:right="720" w:firstLine="0"/>
      <w:contextualSpacing w:val="0"/>
    </w:pPr>
    <w:rPr>
      <w:rFonts w:cs="Mangal"/>
      <w:szCs w:val="25"/>
    </w:rPr>
  </w:style>
  <w:style w:type="paragraph" w:styleId="TOAHeading">
    <w:name w:val="toa heading"/>
    <w:basedOn w:val="Normal"/>
    <w:next w:val="Normal"/>
    <w:uiPriority w:val="99"/>
    <w:unhideWhenUsed/>
    <w:rsid w:val="00E57803"/>
    <w:pPr>
      <w:ind w:firstLine="0"/>
      <w:contextualSpacing w:val="0"/>
      <w:jc w:val="center"/>
    </w:pPr>
    <w:rPr>
      <w:rFonts w:eastAsiaTheme="majorEastAsia" w:cs="Mangal"/>
      <w:b/>
      <w:bCs/>
      <w:szCs w:val="21"/>
    </w:rPr>
  </w:style>
  <w:style w:type="paragraph" w:styleId="TableofAuthorities">
    <w:name w:val="table of authorities"/>
    <w:basedOn w:val="Normal"/>
    <w:next w:val="Normal"/>
    <w:autoRedefine/>
    <w:uiPriority w:val="99"/>
    <w:unhideWhenUsed/>
    <w:rsid w:val="003E5501"/>
    <w:pPr>
      <w:tabs>
        <w:tab w:val="clear" w:pos="720"/>
        <w:tab w:val="clear" w:pos="1440"/>
        <w:tab w:val="clear" w:pos="2160"/>
        <w:tab w:val="clear" w:pos="2880"/>
        <w:tab w:val="clear" w:pos="4680"/>
        <w:tab w:val="clear" w:pos="7200"/>
        <w:tab w:val="right" w:leader="dot" w:pos="7190"/>
      </w:tabs>
      <w:spacing w:after="260" w:line="240" w:lineRule="auto"/>
      <w:ind w:left="720" w:right="432" w:hanging="720"/>
      <w:contextualSpacing w:val="0"/>
      <w:mirrorIndents/>
      <w:jc w:val="left"/>
    </w:pPr>
    <w:rPr>
      <w:rFonts w:cs="Mangal"/>
      <w:szCs w:val="25"/>
    </w:rPr>
  </w:style>
  <w:style w:type="paragraph" w:styleId="ListParagraph">
    <w:name w:val="List Paragraph"/>
    <w:basedOn w:val="Normal"/>
    <w:link w:val="ListParagraphChar"/>
    <w:uiPriority w:val="34"/>
    <w:qFormat/>
    <w:rsid w:val="00CA31B6"/>
    <w:pPr>
      <w:ind w:left="720"/>
    </w:pPr>
    <w:rPr>
      <w:color w:val="auto"/>
    </w:rPr>
  </w:style>
  <w:style w:type="character" w:customStyle="1" w:styleId="ListParagraphChar">
    <w:name w:val="List Paragraph Char"/>
    <w:basedOn w:val="DefaultParagraphFont"/>
    <w:link w:val="ListParagraph"/>
    <w:uiPriority w:val="34"/>
    <w:rsid w:val="00CA31B6"/>
    <w:rPr>
      <w:rFonts w:ascii="Century Schoolbook" w:eastAsia="Times New Roman" w:hAnsi="Century Schoolbook" w:cs="Times New Roman"/>
      <w:kern w:val="1"/>
      <w:sz w:val="28"/>
      <w:szCs w:val="28"/>
      <w:lang w:eastAsia="hi-IN" w:bidi="hi-IN"/>
    </w:rPr>
  </w:style>
  <w:style w:type="paragraph" w:styleId="Header">
    <w:name w:val="header"/>
    <w:basedOn w:val="Normal"/>
    <w:link w:val="HeaderChar"/>
    <w:uiPriority w:val="99"/>
    <w:unhideWhenUsed/>
    <w:rsid w:val="00BF0874"/>
    <w:pPr>
      <w:tabs>
        <w:tab w:val="clear" w:pos="720"/>
        <w:tab w:val="center" w:pos="4680"/>
        <w:tab w:val="right" w:pos="9360"/>
      </w:tabs>
      <w:spacing w:line="240" w:lineRule="auto"/>
    </w:pPr>
    <w:rPr>
      <w:rFonts w:cs="Mangal"/>
      <w:szCs w:val="25"/>
    </w:rPr>
  </w:style>
  <w:style w:type="character" w:customStyle="1" w:styleId="HeaderChar">
    <w:name w:val="Header Char"/>
    <w:basedOn w:val="DefaultParagraphFont"/>
    <w:link w:val="Header"/>
    <w:uiPriority w:val="99"/>
    <w:rsid w:val="00BF0874"/>
    <w:rPr>
      <w:rFonts w:ascii="Century Schoolbook" w:eastAsia="Times New Roman" w:hAnsi="Century Schoolbook" w:cs="Mangal"/>
      <w:color w:val="000000"/>
      <w:kern w:val="1"/>
      <w:sz w:val="28"/>
      <w:szCs w:val="25"/>
      <w:lang w:eastAsia="hi-IN" w:bidi="hi-IN"/>
    </w:rPr>
  </w:style>
  <w:style w:type="paragraph" w:styleId="Footer">
    <w:name w:val="footer"/>
    <w:basedOn w:val="Normal"/>
    <w:link w:val="FooterChar"/>
    <w:uiPriority w:val="99"/>
    <w:unhideWhenUsed/>
    <w:rsid w:val="00BF0874"/>
    <w:pPr>
      <w:tabs>
        <w:tab w:val="clear" w:pos="720"/>
        <w:tab w:val="center" w:pos="4680"/>
        <w:tab w:val="right" w:pos="9360"/>
      </w:tabs>
      <w:spacing w:line="240" w:lineRule="auto"/>
    </w:pPr>
    <w:rPr>
      <w:rFonts w:cs="Mangal"/>
      <w:szCs w:val="25"/>
    </w:rPr>
  </w:style>
  <w:style w:type="character" w:customStyle="1" w:styleId="FooterChar">
    <w:name w:val="Footer Char"/>
    <w:basedOn w:val="DefaultParagraphFont"/>
    <w:link w:val="Footer"/>
    <w:uiPriority w:val="99"/>
    <w:rsid w:val="00BF0874"/>
    <w:rPr>
      <w:rFonts w:ascii="Century Schoolbook" w:eastAsia="Times New Roman" w:hAnsi="Century Schoolbook" w:cs="Mangal"/>
      <w:color w:val="000000"/>
      <w:kern w:val="1"/>
      <w:sz w:val="28"/>
      <w:szCs w:val="25"/>
      <w:lang w:eastAsia="hi-IN" w:bidi="hi-IN"/>
    </w:rPr>
  </w:style>
  <w:style w:type="paragraph" w:customStyle="1" w:styleId="DefaultText">
    <w:name w:val="Default Text"/>
    <w:basedOn w:val="Normal"/>
    <w:link w:val="DefaultTextChar"/>
    <w:rsid w:val="00D33A37"/>
    <w:rPr>
      <w:szCs w:val="26"/>
    </w:rPr>
  </w:style>
  <w:style w:type="paragraph" w:customStyle="1" w:styleId="Headers">
    <w:name w:val="Headers"/>
    <w:basedOn w:val="Header"/>
    <w:link w:val="HeadersChar"/>
    <w:qFormat/>
    <w:rsid w:val="00D33A37"/>
    <w:pPr>
      <w:ind w:firstLine="0"/>
      <w:jc w:val="center"/>
    </w:pPr>
  </w:style>
  <w:style w:type="character" w:customStyle="1" w:styleId="DefaultTextChar">
    <w:name w:val="Default Text Char"/>
    <w:basedOn w:val="DefaultParagraphFont"/>
    <w:link w:val="DefaultText"/>
    <w:rsid w:val="00D33A37"/>
    <w:rPr>
      <w:rFonts w:ascii="Century Schoolbook" w:eastAsia="Times New Roman" w:hAnsi="Century Schoolbook" w:cs="Times New Roman"/>
      <w:color w:val="000000"/>
      <w:kern w:val="1"/>
      <w:sz w:val="26"/>
      <w:szCs w:val="26"/>
      <w:lang w:eastAsia="hi-IN" w:bidi="hi-IN"/>
    </w:rPr>
  </w:style>
  <w:style w:type="character" w:customStyle="1" w:styleId="HeadersChar">
    <w:name w:val="Headers Char"/>
    <w:basedOn w:val="HeaderChar"/>
    <w:link w:val="Headers"/>
    <w:rsid w:val="00D33A37"/>
    <w:rPr>
      <w:rFonts w:ascii="Century Schoolbook" w:eastAsia="Times New Roman" w:hAnsi="Century Schoolbook" w:cs="Mangal"/>
      <w:color w:val="000000"/>
      <w:kern w:val="1"/>
      <w:sz w:val="26"/>
      <w:szCs w:val="25"/>
      <w:lang w:eastAsia="hi-IN" w:bidi="hi-IN"/>
    </w:rPr>
  </w:style>
  <w:style w:type="paragraph" w:styleId="TOCHeading">
    <w:name w:val="TOC Heading"/>
    <w:basedOn w:val="Heading1"/>
    <w:next w:val="Normal"/>
    <w:uiPriority w:val="39"/>
    <w:unhideWhenUsed/>
    <w:qFormat/>
    <w:rsid w:val="00221861"/>
    <w:pPr>
      <w:keepNext/>
      <w:keepLines/>
      <w:widowControl/>
      <w:numPr>
        <w:numId w:val="0"/>
      </w:numPr>
      <w:tabs>
        <w:tab w:val="clear" w:pos="0"/>
        <w:tab w:val="clear" w:pos="720"/>
        <w:tab w:val="clear" w:pos="1440"/>
        <w:tab w:val="clear" w:pos="2160"/>
        <w:tab w:val="clear" w:pos="2880"/>
        <w:tab w:val="clear" w:pos="4680"/>
        <w:tab w:val="clear" w:pos="7200"/>
      </w:tabs>
      <w:suppressAutoHyphens w:val="0"/>
      <w:spacing w:before="240" w:after="0" w:line="259" w:lineRule="auto"/>
      <w:contextualSpacing w:val="0"/>
      <w:jc w:val="left"/>
      <w:outlineLvl w:val="9"/>
    </w:pPr>
    <w:rPr>
      <w:rFonts w:asciiTheme="majorHAnsi" w:eastAsiaTheme="majorEastAsia" w:hAnsiTheme="majorHAnsi" w:cstheme="majorBidi"/>
      <w:b w:val="0"/>
      <w:bCs w:val="0"/>
      <w:color w:val="2F5496" w:themeColor="accent1" w:themeShade="BF"/>
      <w:kern w:val="0"/>
      <w:sz w:val="32"/>
      <w:szCs w:val="32"/>
      <w:u w:val="none"/>
    </w:rPr>
  </w:style>
  <w:style w:type="paragraph" w:styleId="Revision">
    <w:name w:val="Revision"/>
    <w:hidden/>
    <w:uiPriority w:val="99"/>
    <w:semiHidden/>
    <w:rsid w:val="00625877"/>
    <w:rPr>
      <w:rFonts w:ascii="Century Schoolbook" w:eastAsia="Times New Roman" w:hAnsi="Century Schoolbook" w:cs="Times New Roman"/>
      <w:color w:val="000000"/>
      <w:kern w:val="1"/>
      <w:sz w:val="26"/>
      <w:szCs w:val="28"/>
    </w:rPr>
  </w:style>
  <w:style w:type="character" w:styleId="CommentReference">
    <w:name w:val="annotation reference"/>
    <w:basedOn w:val="DefaultParagraphFont"/>
    <w:uiPriority w:val="99"/>
    <w:semiHidden/>
    <w:unhideWhenUsed/>
    <w:rsid w:val="0050596C"/>
    <w:rPr>
      <w:sz w:val="16"/>
      <w:szCs w:val="16"/>
    </w:rPr>
  </w:style>
  <w:style w:type="paragraph" w:styleId="CommentText">
    <w:name w:val="annotation text"/>
    <w:basedOn w:val="Normal"/>
    <w:link w:val="CommentTextChar"/>
    <w:uiPriority w:val="99"/>
    <w:semiHidden/>
    <w:unhideWhenUsed/>
    <w:rsid w:val="0050596C"/>
    <w:pPr>
      <w:spacing w:line="240" w:lineRule="auto"/>
    </w:pPr>
    <w:rPr>
      <w:sz w:val="20"/>
      <w:szCs w:val="20"/>
    </w:rPr>
  </w:style>
  <w:style w:type="character" w:customStyle="1" w:styleId="CommentTextChar">
    <w:name w:val="Comment Text Char"/>
    <w:basedOn w:val="DefaultParagraphFont"/>
    <w:link w:val="CommentText"/>
    <w:uiPriority w:val="99"/>
    <w:semiHidden/>
    <w:rsid w:val="0050596C"/>
    <w:rPr>
      <w:rFonts w:ascii="Century Schoolbook" w:eastAsia="Times New Roman" w:hAnsi="Century Schoolbook" w:cs="Times New Roman"/>
      <w:color w:val="000000"/>
      <w:kern w:val="1"/>
      <w:sz w:val="20"/>
      <w:szCs w:val="20"/>
    </w:rPr>
  </w:style>
  <w:style w:type="paragraph" w:styleId="CommentSubject">
    <w:name w:val="annotation subject"/>
    <w:basedOn w:val="CommentText"/>
    <w:next w:val="CommentText"/>
    <w:link w:val="CommentSubjectChar"/>
    <w:uiPriority w:val="99"/>
    <w:semiHidden/>
    <w:unhideWhenUsed/>
    <w:rsid w:val="0050596C"/>
    <w:rPr>
      <w:b/>
      <w:bCs/>
    </w:rPr>
  </w:style>
  <w:style w:type="character" w:customStyle="1" w:styleId="CommentSubjectChar">
    <w:name w:val="Comment Subject Char"/>
    <w:basedOn w:val="CommentTextChar"/>
    <w:link w:val="CommentSubject"/>
    <w:uiPriority w:val="99"/>
    <w:semiHidden/>
    <w:rsid w:val="0050596C"/>
    <w:rPr>
      <w:rFonts w:ascii="Century Schoolbook" w:eastAsia="Times New Roman" w:hAnsi="Century Schoolbook" w:cs="Times New Roman"/>
      <w:b/>
      <w:bCs/>
      <w:color w:val="000000"/>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3787">
      <w:bodyDiv w:val="1"/>
      <w:marLeft w:val="0"/>
      <w:marRight w:val="0"/>
      <w:marTop w:val="0"/>
      <w:marBottom w:val="0"/>
      <w:divBdr>
        <w:top w:val="none" w:sz="0" w:space="0" w:color="auto"/>
        <w:left w:val="none" w:sz="0" w:space="0" w:color="auto"/>
        <w:bottom w:val="none" w:sz="0" w:space="0" w:color="auto"/>
        <w:right w:val="none" w:sz="0" w:space="0" w:color="auto"/>
      </w:divBdr>
    </w:div>
    <w:div w:id="371541790">
      <w:bodyDiv w:val="1"/>
      <w:marLeft w:val="0"/>
      <w:marRight w:val="0"/>
      <w:marTop w:val="0"/>
      <w:marBottom w:val="0"/>
      <w:divBdr>
        <w:top w:val="none" w:sz="0" w:space="0" w:color="auto"/>
        <w:left w:val="none" w:sz="0" w:space="0" w:color="auto"/>
        <w:bottom w:val="none" w:sz="0" w:space="0" w:color="auto"/>
        <w:right w:val="none" w:sz="0" w:space="0" w:color="auto"/>
      </w:divBdr>
    </w:div>
    <w:div w:id="404765365">
      <w:bodyDiv w:val="1"/>
      <w:marLeft w:val="0"/>
      <w:marRight w:val="0"/>
      <w:marTop w:val="0"/>
      <w:marBottom w:val="0"/>
      <w:divBdr>
        <w:top w:val="none" w:sz="0" w:space="0" w:color="auto"/>
        <w:left w:val="none" w:sz="0" w:space="0" w:color="auto"/>
        <w:bottom w:val="none" w:sz="0" w:space="0" w:color="auto"/>
        <w:right w:val="none" w:sz="0" w:space="0" w:color="auto"/>
      </w:divBdr>
    </w:div>
    <w:div w:id="475878541">
      <w:bodyDiv w:val="1"/>
      <w:marLeft w:val="0"/>
      <w:marRight w:val="0"/>
      <w:marTop w:val="0"/>
      <w:marBottom w:val="0"/>
      <w:divBdr>
        <w:top w:val="none" w:sz="0" w:space="0" w:color="auto"/>
        <w:left w:val="none" w:sz="0" w:space="0" w:color="auto"/>
        <w:bottom w:val="none" w:sz="0" w:space="0" w:color="auto"/>
        <w:right w:val="none" w:sz="0" w:space="0" w:color="auto"/>
      </w:divBdr>
    </w:div>
    <w:div w:id="713508198">
      <w:bodyDiv w:val="1"/>
      <w:marLeft w:val="0"/>
      <w:marRight w:val="0"/>
      <w:marTop w:val="0"/>
      <w:marBottom w:val="0"/>
      <w:divBdr>
        <w:top w:val="none" w:sz="0" w:space="0" w:color="auto"/>
        <w:left w:val="none" w:sz="0" w:space="0" w:color="auto"/>
        <w:bottom w:val="none" w:sz="0" w:space="0" w:color="auto"/>
        <w:right w:val="none" w:sz="0" w:space="0" w:color="auto"/>
      </w:divBdr>
    </w:div>
    <w:div w:id="718240616">
      <w:bodyDiv w:val="1"/>
      <w:marLeft w:val="0"/>
      <w:marRight w:val="0"/>
      <w:marTop w:val="0"/>
      <w:marBottom w:val="0"/>
      <w:divBdr>
        <w:top w:val="none" w:sz="0" w:space="0" w:color="auto"/>
        <w:left w:val="none" w:sz="0" w:space="0" w:color="auto"/>
        <w:bottom w:val="none" w:sz="0" w:space="0" w:color="auto"/>
        <w:right w:val="none" w:sz="0" w:space="0" w:color="auto"/>
      </w:divBdr>
    </w:div>
    <w:div w:id="758407557">
      <w:bodyDiv w:val="1"/>
      <w:marLeft w:val="0"/>
      <w:marRight w:val="0"/>
      <w:marTop w:val="0"/>
      <w:marBottom w:val="0"/>
      <w:divBdr>
        <w:top w:val="none" w:sz="0" w:space="0" w:color="auto"/>
        <w:left w:val="none" w:sz="0" w:space="0" w:color="auto"/>
        <w:bottom w:val="none" w:sz="0" w:space="0" w:color="auto"/>
        <w:right w:val="none" w:sz="0" w:space="0" w:color="auto"/>
      </w:divBdr>
    </w:div>
    <w:div w:id="911626077">
      <w:bodyDiv w:val="1"/>
      <w:marLeft w:val="0"/>
      <w:marRight w:val="0"/>
      <w:marTop w:val="0"/>
      <w:marBottom w:val="0"/>
      <w:divBdr>
        <w:top w:val="none" w:sz="0" w:space="0" w:color="auto"/>
        <w:left w:val="none" w:sz="0" w:space="0" w:color="auto"/>
        <w:bottom w:val="none" w:sz="0" w:space="0" w:color="auto"/>
        <w:right w:val="none" w:sz="0" w:space="0" w:color="auto"/>
      </w:divBdr>
    </w:div>
    <w:div w:id="958948372">
      <w:bodyDiv w:val="1"/>
      <w:marLeft w:val="0"/>
      <w:marRight w:val="0"/>
      <w:marTop w:val="0"/>
      <w:marBottom w:val="0"/>
      <w:divBdr>
        <w:top w:val="none" w:sz="0" w:space="0" w:color="auto"/>
        <w:left w:val="none" w:sz="0" w:space="0" w:color="auto"/>
        <w:bottom w:val="none" w:sz="0" w:space="0" w:color="auto"/>
        <w:right w:val="none" w:sz="0" w:space="0" w:color="auto"/>
      </w:divBdr>
    </w:div>
    <w:div w:id="1025643640">
      <w:bodyDiv w:val="1"/>
      <w:marLeft w:val="0"/>
      <w:marRight w:val="0"/>
      <w:marTop w:val="0"/>
      <w:marBottom w:val="0"/>
      <w:divBdr>
        <w:top w:val="none" w:sz="0" w:space="0" w:color="auto"/>
        <w:left w:val="none" w:sz="0" w:space="0" w:color="auto"/>
        <w:bottom w:val="none" w:sz="0" w:space="0" w:color="auto"/>
        <w:right w:val="none" w:sz="0" w:space="0" w:color="auto"/>
      </w:divBdr>
    </w:div>
    <w:div w:id="1028994338">
      <w:bodyDiv w:val="1"/>
      <w:marLeft w:val="0"/>
      <w:marRight w:val="0"/>
      <w:marTop w:val="0"/>
      <w:marBottom w:val="0"/>
      <w:divBdr>
        <w:top w:val="none" w:sz="0" w:space="0" w:color="auto"/>
        <w:left w:val="none" w:sz="0" w:space="0" w:color="auto"/>
        <w:bottom w:val="none" w:sz="0" w:space="0" w:color="auto"/>
        <w:right w:val="none" w:sz="0" w:space="0" w:color="auto"/>
      </w:divBdr>
    </w:div>
    <w:div w:id="1051269458">
      <w:bodyDiv w:val="1"/>
      <w:marLeft w:val="0"/>
      <w:marRight w:val="0"/>
      <w:marTop w:val="0"/>
      <w:marBottom w:val="0"/>
      <w:divBdr>
        <w:top w:val="none" w:sz="0" w:space="0" w:color="auto"/>
        <w:left w:val="none" w:sz="0" w:space="0" w:color="auto"/>
        <w:bottom w:val="none" w:sz="0" w:space="0" w:color="auto"/>
        <w:right w:val="none" w:sz="0" w:space="0" w:color="auto"/>
      </w:divBdr>
    </w:div>
    <w:div w:id="1088577017">
      <w:bodyDiv w:val="1"/>
      <w:marLeft w:val="0"/>
      <w:marRight w:val="0"/>
      <w:marTop w:val="0"/>
      <w:marBottom w:val="0"/>
      <w:divBdr>
        <w:top w:val="none" w:sz="0" w:space="0" w:color="auto"/>
        <w:left w:val="none" w:sz="0" w:space="0" w:color="auto"/>
        <w:bottom w:val="none" w:sz="0" w:space="0" w:color="auto"/>
        <w:right w:val="none" w:sz="0" w:space="0" w:color="auto"/>
      </w:divBdr>
    </w:div>
    <w:div w:id="1184124363">
      <w:bodyDiv w:val="1"/>
      <w:marLeft w:val="0"/>
      <w:marRight w:val="0"/>
      <w:marTop w:val="0"/>
      <w:marBottom w:val="0"/>
      <w:divBdr>
        <w:top w:val="none" w:sz="0" w:space="0" w:color="auto"/>
        <w:left w:val="none" w:sz="0" w:space="0" w:color="auto"/>
        <w:bottom w:val="none" w:sz="0" w:space="0" w:color="auto"/>
        <w:right w:val="none" w:sz="0" w:space="0" w:color="auto"/>
      </w:divBdr>
    </w:div>
    <w:div w:id="1185511719">
      <w:bodyDiv w:val="1"/>
      <w:marLeft w:val="0"/>
      <w:marRight w:val="0"/>
      <w:marTop w:val="0"/>
      <w:marBottom w:val="0"/>
      <w:divBdr>
        <w:top w:val="none" w:sz="0" w:space="0" w:color="auto"/>
        <w:left w:val="none" w:sz="0" w:space="0" w:color="auto"/>
        <w:bottom w:val="none" w:sz="0" w:space="0" w:color="auto"/>
        <w:right w:val="none" w:sz="0" w:space="0" w:color="auto"/>
      </w:divBdr>
    </w:div>
    <w:div w:id="1196504308">
      <w:bodyDiv w:val="1"/>
      <w:marLeft w:val="0"/>
      <w:marRight w:val="0"/>
      <w:marTop w:val="0"/>
      <w:marBottom w:val="0"/>
      <w:divBdr>
        <w:top w:val="none" w:sz="0" w:space="0" w:color="auto"/>
        <w:left w:val="none" w:sz="0" w:space="0" w:color="auto"/>
        <w:bottom w:val="none" w:sz="0" w:space="0" w:color="auto"/>
        <w:right w:val="none" w:sz="0" w:space="0" w:color="auto"/>
      </w:divBdr>
    </w:div>
    <w:div w:id="1277755570">
      <w:bodyDiv w:val="1"/>
      <w:marLeft w:val="0"/>
      <w:marRight w:val="0"/>
      <w:marTop w:val="0"/>
      <w:marBottom w:val="0"/>
      <w:divBdr>
        <w:top w:val="none" w:sz="0" w:space="0" w:color="auto"/>
        <w:left w:val="none" w:sz="0" w:space="0" w:color="auto"/>
        <w:bottom w:val="none" w:sz="0" w:space="0" w:color="auto"/>
        <w:right w:val="none" w:sz="0" w:space="0" w:color="auto"/>
      </w:divBdr>
    </w:div>
    <w:div w:id="1289553459">
      <w:bodyDiv w:val="1"/>
      <w:marLeft w:val="0"/>
      <w:marRight w:val="0"/>
      <w:marTop w:val="0"/>
      <w:marBottom w:val="0"/>
      <w:divBdr>
        <w:top w:val="none" w:sz="0" w:space="0" w:color="auto"/>
        <w:left w:val="none" w:sz="0" w:space="0" w:color="auto"/>
        <w:bottom w:val="none" w:sz="0" w:space="0" w:color="auto"/>
        <w:right w:val="none" w:sz="0" w:space="0" w:color="auto"/>
      </w:divBdr>
    </w:div>
    <w:div w:id="1368529133">
      <w:bodyDiv w:val="1"/>
      <w:marLeft w:val="0"/>
      <w:marRight w:val="0"/>
      <w:marTop w:val="0"/>
      <w:marBottom w:val="0"/>
      <w:divBdr>
        <w:top w:val="none" w:sz="0" w:space="0" w:color="auto"/>
        <w:left w:val="none" w:sz="0" w:space="0" w:color="auto"/>
        <w:bottom w:val="none" w:sz="0" w:space="0" w:color="auto"/>
        <w:right w:val="none" w:sz="0" w:space="0" w:color="auto"/>
      </w:divBdr>
    </w:div>
    <w:div w:id="1419131344">
      <w:bodyDiv w:val="1"/>
      <w:marLeft w:val="0"/>
      <w:marRight w:val="0"/>
      <w:marTop w:val="0"/>
      <w:marBottom w:val="0"/>
      <w:divBdr>
        <w:top w:val="none" w:sz="0" w:space="0" w:color="auto"/>
        <w:left w:val="none" w:sz="0" w:space="0" w:color="auto"/>
        <w:bottom w:val="none" w:sz="0" w:space="0" w:color="auto"/>
        <w:right w:val="none" w:sz="0" w:space="0" w:color="auto"/>
      </w:divBdr>
    </w:div>
    <w:div w:id="1450969891">
      <w:bodyDiv w:val="1"/>
      <w:marLeft w:val="0"/>
      <w:marRight w:val="0"/>
      <w:marTop w:val="0"/>
      <w:marBottom w:val="0"/>
      <w:divBdr>
        <w:top w:val="none" w:sz="0" w:space="0" w:color="auto"/>
        <w:left w:val="none" w:sz="0" w:space="0" w:color="auto"/>
        <w:bottom w:val="none" w:sz="0" w:space="0" w:color="auto"/>
        <w:right w:val="none" w:sz="0" w:space="0" w:color="auto"/>
      </w:divBdr>
    </w:div>
    <w:div w:id="1472869776">
      <w:bodyDiv w:val="1"/>
      <w:marLeft w:val="0"/>
      <w:marRight w:val="0"/>
      <w:marTop w:val="0"/>
      <w:marBottom w:val="0"/>
      <w:divBdr>
        <w:top w:val="none" w:sz="0" w:space="0" w:color="auto"/>
        <w:left w:val="none" w:sz="0" w:space="0" w:color="auto"/>
        <w:bottom w:val="none" w:sz="0" w:space="0" w:color="auto"/>
        <w:right w:val="none" w:sz="0" w:space="0" w:color="auto"/>
      </w:divBdr>
    </w:div>
    <w:div w:id="1544517159">
      <w:bodyDiv w:val="1"/>
      <w:marLeft w:val="0"/>
      <w:marRight w:val="0"/>
      <w:marTop w:val="0"/>
      <w:marBottom w:val="0"/>
      <w:divBdr>
        <w:top w:val="none" w:sz="0" w:space="0" w:color="auto"/>
        <w:left w:val="none" w:sz="0" w:space="0" w:color="auto"/>
        <w:bottom w:val="none" w:sz="0" w:space="0" w:color="auto"/>
        <w:right w:val="none" w:sz="0" w:space="0" w:color="auto"/>
      </w:divBdr>
    </w:div>
    <w:div w:id="1576355786">
      <w:bodyDiv w:val="1"/>
      <w:marLeft w:val="0"/>
      <w:marRight w:val="0"/>
      <w:marTop w:val="0"/>
      <w:marBottom w:val="0"/>
      <w:divBdr>
        <w:top w:val="none" w:sz="0" w:space="0" w:color="auto"/>
        <w:left w:val="none" w:sz="0" w:space="0" w:color="auto"/>
        <w:bottom w:val="none" w:sz="0" w:space="0" w:color="auto"/>
        <w:right w:val="none" w:sz="0" w:space="0" w:color="auto"/>
      </w:divBdr>
    </w:div>
    <w:div w:id="1588733488">
      <w:bodyDiv w:val="1"/>
      <w:marLeft w:val="0"/>
      <w:marRight w:val="0"/>
      <w:marTop w:val="0"/>
      <w:marBottom w:val="0"/>
      <w:divBdr>
        <w:top w:val="none" w:sz="0" w:space="0" w:color="auto"/>
        <w:left w:val="none" w:sz="0" w:space="0" w:color="auto"/>
        <w:bottom w:val="none" w:sz="0" w:space="0" w:color="auto"/>
        <w:right w:val="none" w:sz="0" w:space="0" w:color="auto"/>
      </w:divBdr>
    </w:div>
    <w:div w:id="1592079585">
      <w:bodyDiv w:val="1"/>
      <w:marLeft w:val="0"/>
      <w:marRight w:val="0"/>
      <w:marTop w:val="0"/>
      <w:marBottom w:val="0"/>
      <w:divBdr>
        <w:top w:val="none" w:sz="0" w:space="0" w:color="auto"/>
        <w:left w:val="none" w:sz="0" w:space="0" w:color="auto"/>
        <w:bottom w:val="none" w:sz="0" w:space="0" w:color="auto"/>
        <w:right w:val="none" w:sz="0" w:space="0" w:color="auto"/>
      </w:divBdr>
    </w:div>
    <w:div w:id="1701314627">
      <w:bodyDiv w:val="1"/>
      <w:marLeft w:val="0"/>
      <w:marRight w:val="0"/>
      <w:marTop w:val="0"/>
      <w:marBottom w:val="0"/>
      <w:divBdr>
        <w:top w:val="none" w:sz="0" w:space="0" w:color="auto"/>
        <w:left w:val="none" w:sz="0" w:space="0" w:color="auto"/>
        <w:bottom w:val="none" w:sz="0" w:space="0" w:color="auto"/>
        <w:right w:val="none" w:sz="0" w:space="0" w:color="auto"/>
      </w:divBdr>
    </w:div>
    <w:div w:id="1753699587">
      <w:bodyDiv w:val="1"/>
      <w:marLeft w:val="0"/>
      <w:marRight w:val="0"/>
      <w:marTop w:val="0"/>
      <w:marBottom w:val="0"/>
      <w:divBdr>
        <w:top w:val="none" w:sz="0" w:space="0" w:color="auto"/>
        <w:left w:val="none" w:sz="0" w:space="0" w:color="auto"/>
        <w:bottom w:val="none" w:sz="0" w:space="0" w:color="auto"/>
        <w:right w:val="none" w:sz="0" w:space="0" w:color="auto"/>
      </w:divBdr>
    </w:div>
    <w:div w:id="1804346728">
      <w:bodyDiv w:val="1"/>
      <w:marLeft w:val="0"/>
      <w:marRight w:val="0"/>
      <w:marTop w:val="0"/>
      <w:marBottom w:val="0"/>
      <w:divBdr>
        <w:top w:val="none" w:sz="0" w:space="0" w:color="auto"/>
        <w:left w:val="none" w:sz="0" w:space="0" w:color="auto"/>
        <w:bottom w:val="none" w:sz="0" w:space="0" w:color="auto"/>
        <w:right w:val="none" w:sz="0" w:space="0" w:color="auto"/>
      </w:divBdr>
    </w:div>
    <w:div w:id="1987969579">
      <w:bodyDiv w:val="1"/>
      <w:marLeft w:val="0"/>
      <w:marRight w:val="0"/>
      <w:marTop w:val="0"/>
      <w:marBottom w:val="0"/>
      <w:divBdr>
        <w:top w:val="none" w:sz="0" w:space="0" w:color="auto"/>
        <w:left w:val="none" w:sz="0" w:space="0" w:color="auto"/>
        <w:bottom w:val="none" w:sz="0" w:space="0" w:color="auto"/>
        <w:right w:val="none" w:sz="0" w:space="0" w:color="auto"/>
      </w:divBdr>
    </w:div>
    <w:div w:id="2081825897">
      <w:bodyDiv w:val="1"/>
      <w:marLeft w:val="0"/>
      <w:marRight w:val="0"/>
      <w:marTop w:val="0"/>
      <w:marBottom w:val="0"/>
      <w:divBdr>
        <w:top w:val="none" w:sz="0" w:space="0" w:color="auto"/>
        <w:left w:val="none" w:sz="0" w:space="0" w:color="auto"/>
        <w:bottom w:val="none" w:sz="0" w:space="0" w:color="auto"/>
        <w:right w:val="none" w:sz="0" w:space="0" w:color="auto"/>
      </w:divBdr>
    </w:div>
    <w:div w:id="212403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Mannette%20and%20Thomas\Clients\Kellie's%20Cases\Appeals\AAA-%20File%20Structure\Draft%20Filings\COA%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11CEF-CC43-4824-9F96-ECA41F058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 Brief Template</Template>
  <TotalTime>0</TotalTime>
  <Pages>23</Pages>
  <Words>4083</Words>
  <Characters>25717</Characters>
  <Application>Microsoft Office Word</Application>
  <DocSecurity>0</DocSecurity>
  <Lines>584</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2021-09-01T16:11:00Z</dcterms:created>
  <dcterms:modified xsi:type="dcterms:W3CDTF">2021-09-01T16:28:00Z</dcterms:modified>
</cp:coreProperties>
</file>